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left"/>
      </w:pPr>
      <w:r>
        <w:rPr>
          <w:rFonts w:ascii="Times New Roman" w:cs="Times New Roman" w:eastAsia="Times New Roman" w:hAnsi="Times New Roman"/>
          <w:b w:val="false"/>
          <w:bCs w:val="false"/>
          <w:i w:val="false"/>
          <w:iCs w:val="false"/>
          <w:sz w:val="20"/>
          <w:szCs w:val="20"/>
        </w:rPr>
        <w:t xml:space="preserve">УДК 004.056.55</w:t>
      </w:r>
    </w:p>
    <w:p>
      <w:pPr>
        <w:spacing w:line="240"/>
      </w:pPr>
    </w:p>
    <w:p>
      <w:pPr>
        <w:spacing w:after="60" w:before="0" w:line="240"/>
        <w:ind w:firstLine="0"/>
        <w:jc w:val="center"/>
      </w:pPr>
      <w:r>
        <w:rPr>
          <w:rFonts w:ascii="Times New Roman" w:cs="Times New Roman" w:eastAsia="Times New Roman" w:hAnsi="Times New Roman"/>
          <w:b/>
          <w:bCs/>
          <w:i w:val="false"/>
          <w:iCs w:val="false"/>
          <w:sz w:val="24"/>
          <w:szCs w:val="24"/>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2"/>
          <w:szCs w:val="22"/>
        </w:rPr>
        <w:t xml:space="preserve">К.В. Дергачев, Р.И. Курский</w:t>
      </w:r>
    </w:p>
    <w:p>
      <w:pPr>
        <w:spacing w:after="0" w:before="0" w:line="240"/>
        <w:ind w:firstLine="0"/>
        <w:jc w:val="center"/>
      </w:pPr>
      <w:r>
        <w:rPr>
          <w:rFonts w:ascii="Times New Roman" w:cs="Times New Roman" w:eastAsia="Times New Roman" w:hAnsi="Times New Roman"/>
          <w:b w:val="false"/>
          <w:bCs w:val="false"/>
          <w:i/>
          <w:iCs/>
          <w:sz w:val="22"/>
          <w:szCs w:val="22"/>
        </w:rPr>
        <w:t xml:space="preserve">Брянский государственный технический университет, г. Брянск, Россия</w:t>
      </w:r>
    </w:p>
    <w:p>
      <w:pPr>
        <w:spacing w:after="0" w:before="0" w:line="240"/>
        <w:ind w:firstLine="0"/>
        <w:jc w:val="center"/>
      </w:pPr>
      <w:r>
        <w:rPr>
          <w:rFonts w:ascii="Times New Roman" w:cs="Times New Roman" w:eastAsia="Times New Roman" w:hAnsi="Times New Roman"/>
          <w:b/>
          <w:bCs/>
          <w:i w:val="false"/>
          <w:iCs w:val="false"/>
          <w:sz w:val="22"/>
          <w:szCs w:val="22"/>
        </w:rPr>
        <w:t xml:space="preserve">K.V. Dergachev, R.I. Kurskiy</w:t>
      </w:r>
    </w:p>
    <w:p>
      <w:pPr>
        <w:spacing w:after="0" w:before="0" w:line="240"/>
        <w:ind w:firstLine="0"/>
        <w:jc w:val="center"/>
      </w:pPr>
      <w:r>
        <w:rPr>
          <w:rFonts w:ascii="Times New Roman" w:cs="Times New Roman" w:eastAsia="Times New Roman" w:hAnsi="Times New Roman"/>
          <w:b w:val="false"/>
          <w:bCs w:val="false"/>
          <w:i/>
          <w:iCs/>
          <w:sz w:val="22"/>
          <w:szCs w:val="22"/>
        </w:rPr>
        <w:t xml:space="preserve">Bryansk State Technical University, Bryansk, Russia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Аннотация. </w:t>
      </w:r>
      <w:r>
        <w:rPr>
          <w:rFonts w:ascii="Times New Roman" w:cs="Times New Roman" w:eastAsia="Times New Roman" w:hAnsi="Times New Roman"/>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Blowfish, ChaCha20 и ГОСТ 28147-89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(AES-128, ChaCha20) демонстрируют наивысшую криптостойкость по всем критериям, тогда как устаревшие (DES) обнаруживают статистически значимые отклонения от идеальных значений.</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The results of an experimental study of the cryptographic strength of six symmetric encryption algorithms are presented: AES-128, DES, 3DES, Blowfish, ChaCha20, and GOST 28147-89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(AES-128, ChaCha20) demonstrate the highest cryptographic strength across all criteria, while outdated ones (DES) show statistically significant deviations from ideal values.</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after="24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Введение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 Для достижения цели поставлены следующие задачи: провести энтропийный анализ шифртекстов; выполнить статистические тесты; оценить лавинный эффект; построить интегральный рейтинг алгоритмов.</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Методика экспериментального исследования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 эксперименте использовались шесть алгоритмов симметричного шифрования, представляющих различные поколения и архитектурные подходы (таблица 1).</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1. Характеристики исследуемых алгоритмов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Тип</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Длина ключа,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Размер блока, бит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Год</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(SPN)</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1977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168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1993</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Потоковый</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2008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Блочный (Фейстель)</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256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1989</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Выбор алгоритмов обусловлен их широкой распространённостью, различием архитектур и наличием как современных, так и устаревших представителей [3]. Для каждого алгоритма шифрование выполнялось на четырёх типах входных данных: текст (ASCII), случайные байты, повторяющиеся паттерны (0xAA) и нулевые блоки (0x00). Размер тестовых блоков — 100 КБ. Режим шифрования — CBC с фиксированным вектором инициализации.</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Оценка осуществлялась по четырём критериям: энтропия Шеннона H(X) — близость к максимуму 8,0 бит/байт; расхождение Кульбака–Лейблера D_KL — близость к нулю; коэффициент корреляции r(X, Y) между открытым и шифртекстом — близость к нулю; лавинный эффект — близость к 50 %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Интегральная оценка формировалась по формуле:</w:t>
      </w:r>
    </w:p>
    <w:p>
      <w:pPr>
        <w:spacing w:after="60" w:before="60" w:line="240"/>
        <w:ind w:firstLine="0"/>
        <w:jc w:val="center"/>
      </w:pPr>
      <w:r>
        <w:rPr>
          <w:rFonts w:ascii="Times New Roman" w:cs="Times New Roman" w:eastAsia="Times New Roman" w:hAnsi="Times New Roman"/>
          <w:b w:val="false"/>
          <w:bCs w:val="false"/>
          <w:i w:val="false"/>
          <w:iCs w:val="false"/>
          <w:sz w:val="22"/>
          <w:szCs w:val="22"/>
        </w:rPr>
        <w:t xml:space="preserve">S = (s_H + s_KL + s_corr + s_aval) / 4,</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где каждый показатель нормализован к шкале [0, 1].</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Результаты энтропийного и статистического анализа</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энтропийного анализа шифртекстов, полученных при шифровании текстовых данных (ASCII), представлены в таблице 2.</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2. Результаты энтропийного анализа (вход: текст ASCII, 100 КБ)</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H(X), бит/байт</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H_max</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D_KL</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7,9951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0,00147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7,9974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0,00072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0,00029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7,9996</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0,00011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1,0000</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7,9985</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8,0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0,00038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Все исследуемые алгоритмы демонстрируют значения энтропии, близкие к теоретическому максимуму. Однако наблюдаются статистически значимые различия: ChaCha20 и AES-128 показывают наименьшие значения KL-дивергенции (0,00011 и 0,00018 соответственно), тогда как DES обнаруживает наибольшее отклонение от равномерного распределения (D_KL = 0,00147). Данное различие объясняется меньшим размером блока DES (64 бит) [5].</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1. Результаты энтропийного анализа алгоритмов шифрования</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Результаты статистического анализа и оценки лавинного эффекта представлены в таблице 3.</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3. Результаты статистического анализа и оценки лавинного эффекта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χ² p-value</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r(X, Y)</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Лавинный эффект, %</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0,482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0,107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49,61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0,314</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0,0041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49,87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0,421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0,0019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50,01</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0,517</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0,0008</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50,02</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r>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0,389</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0,0023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49,93</w:t>
            </w:r>
          </w:p>
        </w:tc>
        <w:tc>
          <w:tcPr>
            <w:tcW w:type="dxa" w:w="187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Критерий χ² проверяет гипотезу о равномерности распределения байтов шифртекста. Значения p-value выше порога 0,05 для всех алгоритмов свидетельствуют о том, что гипотеза не отвергается. Тем не менее DES демонстрирует наименьшее значение (0,107) [6].</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Коэффициент корреляции r(X, Y) для всех алгоритмов близок к нулю. Наименьшее значение — у ChaCha20 (0,0008), наибольшее — у DES (0,0089).</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Лавинный эффект: AES-128 и ChaCha20 демонстрируют минимальное отклонение от идеала 50 %, тогда как DES показывает наибольшее отклонение (49,61 %).</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2. Оценка лавинного эффекта алгоритмов шифрования</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Комплексная оценка и рейтинг алгоритмов</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На основании нормализованных показателей сформирована интегральная оценка S (таблица 4).</w:t>
      </w:r>
    </w:p>
    <w:p>
      <w:pPr>
        <w:spacing w:after="60" w:before="0" w:line="240"/>
        <w:ind w:firstLine="0"/>
        <w:jc w:val="right"/>
      </w:pPr>
      <w:r>
        <w:rPr>
          <w:rFonts w:ascii="Times New Roman" w:cs="Times New Roman" w:eastAsia="Times New Roman" w:hAnsi="Times New Roman"/>
          <w:b/>
          <w:bCs/>
          <w:i w:val="false"/>
          <w:iCs w:val="false"/>
          <w:sz w:val="20"/>
          <w:szCs w:val="20"/>
        </w:rPr>
        <w:t xml:space="preserve">Таблица 4. Итоговый рейтинг алгоритмов по интегральной оценке</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1336"/>
        <w:gridCol w:w="1336"/>
        <w:gridCol w:w="1336"/>
        <w:gridCol w:w="1336"/>
        <w:gridCol w:w="1336"/>
      </w:tblGrid>
      <w:tr>
        <w:trPr>
          <w:tblHeader/>
        </w:trP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Место</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Алгоритм</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s_KL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s_stat</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s_aval</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S</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ChaCha20</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1,0000</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AES-128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Blowfish</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ГОСТ 28147-89</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0,9991</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3DES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0,9997</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0,9993</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0,9968</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0,9974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0,9983</w:t>
            </w:r>
          </w:p>
        </w:tc>
      </w:tr>
      <w:tr>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6</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DES</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0,9994</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0,9985</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0,9912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0,9922</w:t>
            </w:r>
          </w:p>
        </w:tc>
        <w:tc>
          <w:tcPr>
            <w:tcW w:type="dxa" w:w="133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after="0" w:line="240"/>
              <w:ind w:firstLine="0"/>
              <w:jc w:val="center"/>
            </w:pPr>
            <w:r>
              <w:rPr>
                <w:rFonts w:ascii="Times New Roman" w:cs="Times New Roman" w:eastAsia="Times New Roman" w:hAnsi="Times New Roman"/>
                <w:sz w:val="20"/>
                <w:szCs w:val="20"/>
              </w:rPr>
              <w:t xml:space="preserve">0,9953</w:t>
            </w:r>
          </w:p>
        </w:tc>
      </w:tr>
    </w:tbl>
    <w:p>
      <w:pPr>
        <w:spacing w:line="240"/>
      </w:pP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ChaCha20 и AES-128 занимают лидирующие позиции с интегральной оценкой выше 0,999. Blowfish демонстрирует результаты на уровне AES-128 благодаря эффективной архитектуре [7]. ГОСТ 28147-89 на четвёртом месте. DES закономерно последний — малая длина ключа (56 бит) и размер блока (64 бит)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Различия между алгоритмами находятся в четвёртом–пятом знаке после запятой, что объясняется стандартизированностью всех исследуемых алгоритмов. Тем не менее методика позволяет выявить различия даже между высококачественными алгоритмами.</w:t>
      </w:r>
    </w:p>
    <w:p>
      <w:pPr>
        <w:spacing w:after="0" w:before="120" w:line="240"/>
        <w:ind w:firstLine="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20"/>
          <w:szCs w:val="20"/>
        </w:rPr>
        <w:t xml:space="preserve">Рис. 3. Радарная диаграмма комплексной оценки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Заключение</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Проведено экспериментальное исследование криптостойкости шести симметричных алгоритмов шифрования. Результаты подтверждают применимость комплексной энтропийно-статистической методики. ChaCha20 и AES-128 демонстрируют наивысшую криптостойкость. Устаревший DES показывает статистически значимые отклонения [5].</w:t>
      </w:r>
    </w:p>
    <w:p>
      <w:pPr>
        <w:spacing w:after="0" w:before="0" w:line="240"/>
        <w:ind w:firstLine="709"/>
        <w:jc w:val="both"/>
      </w:pPr>
      <w:r>
        <w:rPr>
          <w:rFonts w:ascii="Times New Roman" w:cs="Times New Roman" w:eastAsia="Times New Roman" w:hAnsi="Times New Roman"/>
          <w:b w:val="false"/>
          <w:bCs w:val="false"/>
          <w:i w:val="false"/>
          <w:iCs w:val="false"/>
          <w:sz w:val="22"/>
          <w:szCs w:val="22"/>
        </w:rPr>
        <w:t xml:space="preserve">Предложенная интегральная оценка позволяет формировать обоснованные рекомендации по выбору алгоритмов. Перспективы — расширение методики на асимметричные алгоритмы и хэш-функции, а также учёт производительности.</w:t>
      </w:r>
    </w:p>
    <w:p>
      <w:pPr>
        <w:spacing w:after="120" w:before="120" w:line="240"/>
        <w:ind w:firstLine="0"/>
        <w:jc w:val="center"/>
      </w:pPr>
      <w:r>
        <w:rPr>
          <w:rFonts w:ascii="Times New Roman" w:cs="Times New Roman" w:eastAsia="Times New Roman" w:hAnsi="Times New Roman"/>
          <w:b/>
          <w:bCs/>
          <w:i w:val="false"/>
          <w:iCs w:val="false"/>
          <w:sz w:val="22"/>
          <w:szCs w:val="22"/>
        </w:rPr>
        <w:t xml:space="preserve">Список литературы</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1. Бабенко, Л.К. Современные алгоритмы блочного шифрования и методы их анализа / Л.К. Бабенко, Е.А. Ищукова. — М.: Гелиос АРВ, 2022. — 376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2. Коржик, В.И. Основы криптографии: учебное пособие / В.И. Коржик, В.А. Яковлев. — 4-е изд. — СПб.: ИЦ «Интермедия», 2020. — 312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3. Панасенко, С.П. Алгоритмы шифрования: специальный справочник / С.П. Панасенко. — СПб.: БХВ-Петербург, 2019. — 576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4. Шеннон, К. Теория связи в секретных системах / К. Шеннон // В мире математики. Пер. с англ. — М.: ИЛ, 1963. — С. 333–402.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5. Бабаш, А.В. Криптографические методы защиты информации в условиях развития квантовых вычислений / А.В. Бабаш, Е.К. Баранова // Вопросы кибербезопасности. — 2021. — № 3(43). — С. 2–12.</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6. NIST SP 800-22 Rev.1a. A Statistical Test Suite for Random and Pseudorandom Number Generators for Cryptographic Applications. — National Institute of Standards and Technology, 2010.</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7. Шнайер, Б. Прикладная криптография: протоколы, алгоритмы и исходные коды на языке Си / Б. Шнайер; пер. с англ. — М.: Вильямс, 2023. — 816 с.</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8. ГОСТ Р 34.12-2015. Информационная технология. Криптографическая защита информации. Блочные шифры. — М.: Стандартинформ, 2015.</w:t>
      </w:r>
    </w:p>
    <w:p>
      <w:pPr>
        <w:spacing w:after="40" w:before="0" w:line="240"/>
        <w:ind w:firstLine="0"/>
        <w:jc w:val="both"/>
      </w:pPr>
      <w:r>
        <w:rPr>
          <w:rFonts w:ascii="Times New Roman" w:cs="Times New Roman" w:eastAsia="Times New Roman" w:hAnsi="Times New Roman"/>
          <w:b w:val="false"/>
          <w:bCs w:val="false"/>
          <w:i w:val="false"/>
          <w:iCs w:val="false"/>
          <w:sz w:val="20"/>
          <w:szCs w:val="20"/>
        </w:rPr>
        <w:t xml:space="preserve">9. Молдовян, Н.А. Введение в криптосистемы с открытым ключом / Н.А. Молдовян, А.А. Молдовян. — СПб.: БХВ-Петербург, 2020. — 288 с.</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2026-03-31T17:55:50.963Z</dcterms:created>
  <dcterms:modified xsi:type="dcterms:W3CDTF">2026-03-31T17:55:50.964Z</dcterms:modified>
</cp:coreProperties>
</file>

<file path=docProps/custom.xml><?xml version="1.0" encoding="utf-8"?>
<Properties xmlns="http://schemas.openxmlformats.org/officeDocument/2006/custom-properties" xmlns:vt="http://schemas.openxmlformats.org/officeDocument/2006/docPropsVTypes"/>
</file>