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ind w:firstLine="0"/>
        <w:jc w:val="left"/>
      </w:pPr>
      <w:r>
        <w:rPr>
          <w:rFonts w:ascii="Times New Roman" w:cs="Times New Roman" w:eastAsia="Times New Roman" w:hAnsi="Times New Roman"/>
          <w:b w:val="false"/>
          <w:bCs w:val="false"/>
          <w:i w:val="false"/>
          <w:iCs w:val="false"/>
          <w:sz w:val="20"/>
          <w:szCs w:val="20"/>
        </w:rPr>
        <w:t xml:space="preserve">УДК 004.056.55</w:t>
      </w:r>
    </w:p>
    <w:p>
      <w:pPr>
        <w:spacing w:line="240"/>
      </w:pPr>
    </w:p>
    <w:p>
      <w:pPr>
        <w:spacing w:after="60" w:before="0" w:line="240"/>
        <w:ind w:firstLine="0"/>
        <w:jc w:val="center"/>
      </w:pPr>
      <w:r>
        <w:rPr>
          <w:rFonts w:ascii="Times New Roman" w:cs="Times New Roman" w:eastAsia="Times New Roman" w:hAnsi="Times New Roman"/>
          <w:b/>
          <w:bCs/>
          <w:i w:val="false"/>
          <w:iCs w:val="false"/>
          <w:sz w:val="24"/>
          <w:szCs w:val="24"/>
        </w:rPr>
        <w:t xml:space="preserve">ОЦЕНКА КРИПТОСТОЙКОСТИ СИММЕТРИЧНЫХ ШИФРОВ МЕТОДАМИ СТАТИСТИЧЕСКОГО И ЭНТРОПИЙНОГО АНАЛИЗА</w:t>
      </w:r>
    </w:p>
    <w:p>
      <w:pPr>
        <w:spacing w:line="240"/>
      </w:pPr>
    </w:p>
    <w:p>
      <w:pPr>
        <w:spacing w:after="0" w:before="0" w:line="240"/>
        <w:ind w:firstLine="0"/>
        <w:jc w:val="center"/>
      </w:pPr>
      <w:r>
        <w:rPr>
          <w:rFonts w:ascii="Times New Roman" w:cs="Times New Roman" w:eastAsia="Times New Roman" w:hAnsi="Times New Roman"/>
          <w:b/>
          <w:bCs/>
          <w:i w:val="false"/>
          <w:iCs w:val="false"/>
          <w:sz w:val="22"/>
          <w:szCs w:val="22"/>
        </w:rPr>
        <w:t xml:space="preserve">К.В. Дергачев, Р.И. Курский</w:t>
      </w:r>
    </w:p>
    <w:p>
      <w:pPr>
        <w:spacing w:after="0" w:before="0" w:line="240"/>
        <w:ind w:firstLine="0"/>
        <w:jc w:val="center"/>
      </w:pPr>
      <w:r>
        <w:rPr>
          <w:rFonts w:ascii="Times New Roman" w:cs="Times New Roman" w:eastAsia="Times New Roman" w:hAnsi="Times New Roman"/>
          <w:b w:val="false"/>
          <w:bCs w:val="false"/>
          <w:i/>
          <w:iCs/>
          <w:sz w:val="22"/>
          <w:szCs w:val="22"/>
        </w:rPr>
        <w:t xml:space="preserve">Брянский государственный технический университет, г. Брянск, Россия</w:t>
      </w:r>
    </w:p>
    <w:p>
      <w:pPr>
        <w:spacing w:after="0" w:before="0" w:line="240"/>
        <w:ind w:firstLine="0"/>
        <w:jc w:val="center"/>
      </w:pPr>
      <w:r>
        <w:rPr>
          <w:rFonts w:ascii="Times New Roman" w:cs="Times New Roman" w:eastAsia="Times New Roman" w:hAnsi="Times New Roman"/>
          <w:b/>
          <w:bCs/>
          <w:i w:val="false"/>
          <w:iCs w:val="false"/>
          <w:sz w:val="22"/>
          <w:szCs w:val="22"/>
        </w:rPr>
        <w:t xml:space="preserve">K.V. Dergachev, R.I. Kurskiy</w:t>
      </w:r>
    </w:p>
    <w:p>
      <w:pPr>
        <w:spacing w:after="0" w:before="0" w:line="240"/>
        <w:ind w:firstLine="0"/>
        <w:jc w:val="center"/>
      </w:pPr>
      <w:r>
        <w:rPr>
          <w:rFonts w:ascii="Times New Roman" w:cs="Times New Roman" w:eastAsia="Times New Roman" w:hAnsi="Times New Roman"/>
          <w:b w:val="false"/>
          <w:bCs w:val="false"/>
          <w:i/>
          <w:iCs/>
          <w:sz w:val="22"/>
          <w:szCs w:val="22"/>
        </w:rPr>
        <w:t xml:space="preserve">Bryansk State Technical University, Bryansk, Russia</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Аннотация. </w:t>
      </w:r>
      <w:r>
        <w:rPr>
          <w:rFonts w:ascii="Times New Roman" w:cs="Times New Roman" w:eastAsia="Times New Roman" w:hAnsi="Times New Roman"/>
          <w:sz w:val="20"/>
          <w:szCs w:val="20"/>
        </w:rPr>
        <w:t xml:space="preserve">Представлены результаты экспериментального исследования криптостойкости шести симметричных алгоритмов шифрования: AES-128, DES, 3DES, Twofish, RC6 и ГОСТ Р 34.12-2015 (Магма). Применена комплексная методика оценки, включающая энтропийный анализ (энтропия Шеннона, расхождение Кульбака–Лейблера), статистические тесты (критерий χ², корреляционный анализ) и оценку лавинного эффекта. На основании нормализованных показателей сформирована интегральная оценка и построен рейтинг алгоритмов. Экспериментально подтверждено, что современные алгоритмы (RC6, AES-128) демонстрируют наивысшую криптостойкость по всем критериям, тогда как устаревшие (DES) обнаруживают статистически значимые отклонения от идеальных значений.</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Abstract. </w:t>
      </w:r>
      <w:r>
        <w:rPr>
          <w:rFonts w:ascii="Times New Roman" w:cs="Times New Roman" w:eastAsia="Times New Roman" w:hAnsi="Times New Roman"/>
          <w:sz w:val="20"/>
          <w:szCs w:val="20"/>
        </w:rPr>
        <w:t xml:space="preserve">The results of an experimental study of the cryptographic strength of six symmetric encryption algorithms are presented: AES-128, DES, 3DES, Twofish, RC6, and GOST R 34.12-2015 (Magma). A comprehensive evaluation methodology was applied, including entropy analysis (Shannon entropy, Kullback–Leibler divergence), statistical tests (chi-squared test, correlation analysis), and avalanche effect evaluation. Based on normalized indicators, an integral assessment was formed and an algorithm ranking was constructed. It was experimentally confirmed that modern algorithms (RC6, AES-128) demonstrate the highest cryptographic strength across all criteria, while outdated ones (DES) show statistically significant deviations from ideal values.</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Ключевые слова: </w:t>
      </w:r>
      <w:r>
        <w:rPr>
          <w:rFonts w:ascii="Times New Roman" w:cs="Times New Roman" w:eastAsia="Times New Roman" w:hAnsi="Times New Roman"/>
          <w:sz w:val="20"/>
          <w:szCs w:val="20"/>
        </w:rPr>
        <w:t xml:space="preserve">криптостойкость, энтропия Шеннона, симметричное шифрование, AES, лавинный эффект, статистический анализ, энтропийный анализ.</w:t>
      </w:r>
    </w:p>
    <w:p>
      <w:pPr>
        <w:spacing w:after="240" w:before="0" w:line="240"/>
        <w:ind w:firstLine="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cryptographic strength, Shannon entropy, symmetric encryption, AES, avalanche effect, statistical analysis, entropy analysis.</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Введение</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Количественная оценка криптостойкости алгоритмов шифрования является одной из ключевых задач в области информационной безопасности. Рост объёмов обрабатываемых данных и усложнение моделей угроз требуют применения объективных методов, позволяющих сравнивать различные криптографические преобразования по единым критериям [1].</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Информационно-теоретический подход, основанный на энтропийном анализе, позволяет оценивать степень неопределённости, вносимую алгоритмом шифрования, без необходимости анализа его внутренней структуры [2].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 объединяющей энтропийный и статистический анализ. Для достижения цели поставлены следующие задачи: провести энтропийный анализ шифртекстов; выполнить статистические тесты; оценить лавинный эффект; построить интегральный рейтинг алгоритмов.</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Методика экспериментального исследования</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 эксперименте использовались шесть алгоритмов симметричного шифрования, представляющих различные поколения и архитектурные подходы (таблица 1).</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1. Характеристики исследуемых алгоритмов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Тип</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Длина ключа, бит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Размер блока, бит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Год</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2001</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1977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168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(SPN)</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1998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Блочный (Фейстель)</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256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2015</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Выбор алгоритмов обусловлен их широкой распространённостью, различием архитектур и наличием как современных, так и устаревших представителей [3]. Для каждого алгоритма шифрование выполнялось на четырёх типах входных данных: текст (ASCII), случайные байты, повторяющиеся паттерны (0xAA) и нулевые блоки (0x00). Размер тестовых блоков — 100 КБ. Режим шифрования — CBC с фиксированным вектором инициализации.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Оценка осуществлялась по четырём критериям: энтропия Шеннона H(X) — близость к максимуму 8,0 бит/байт; расхождение Кульбака–Лейблера D_KL — близость к нулю; коэффициент корреляции r(X, Y) между открытым и шифртекстом — близость к нулю; лавинный эффект — близость к 50 % [4].</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Интегральная оценка формировалась по формуле:</w:t>
      </w:r>
    </w:p>
    <w:p>
      <w:pPr>
        <w:spacing w:after="60" w:before="60" w:line="240"/>
        <w:ind w:firstLine="0"/>
        <w:jc w:val="center"/>
      </w:pPr>
      <w:r>
        <w:rPr>
          <w:rFonts w:ascii="Times New Roman" w:cs="Times New Roman" w:eastAsia="Times New Roman" w:hAnsi="Times New Roman"/>
          <w:b w:val="false"/>
          <w:bCs w:val="false"/>
          <w:i w:val="false"/>
          <w:iCs w:val="false"/>
          <w:sz w:val="22"/>
          <w:szCs w:val="22"/>
        </w:rPr>
        <w:t xml:space="preserve">S = (s_H + s_KL + s_corr + s_aval) / 4,</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где каждый показатель нормализован к шкале [0, 1].</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Результаты энтропийного и статистического анализа</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Результаты энтропийного анализа шифртекстов, полученных при шифровании текстовых данных (ASCII), представлены в таблице 2.</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2. Результаты энтропийного анализа (вход: текст ASCII, 100 КБ)</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H(X), бит/байт</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H_max</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D_KL</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s_H</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0,00018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7,9951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0,00147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7,9974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0,00072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0,00024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7,9994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0,00015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7,9985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8,0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0,00038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Все исследуемые алгоритмы демонстрируют значения энтропии, близкие к теоретическому максимуму. Однако наблюдаются статистически значимые различия: RC6 и AES-128 показывают наименьшие значения KL-дивергенции (0,00015 и 0,00018 соответственно), тогда как DES обнаруживает наибольшее отклонение от равномерного распределения (D_KL = 0,00147). Данное различие объясняется меньшим размером блока DES (64 бит) [5].</w:t>
      </w:r>
    </w:p>
    <w:p>
      <w:pPr>
        <w:spacing w:after="0" w:before="120" w:line="240"/>
        <w:ind w:firstLine="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00675" cy="303847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1. Результаты энтропийного анализа алгоритмов шифрования</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Результаты статистического анализа и оценки лавинного эффекта представлены в таблице 3.</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3. Результаты статистического анализа и оценки лавинного эффекта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χ² p-value</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r(X, Y)</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Лавинный эффект, %</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s_stat</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0,482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0,107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0,0089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49,61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0,9912</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0,314</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0,0041</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49,87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0,9968</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0,439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0,0015</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50,02</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0,497</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0,0010</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50,03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0,389</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0,0023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49,93</w:t>
            </w:r>
          </w:p>
        </w:tc>
        <w:tc>
          <w:tcPr>
            <w:tcW w:type="dxa" w:w="187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Критерий χ² проверяет гипотезу о равномерности распределения байтов шифртекста. Значения p-value выше порога 0,05 для всех алгоритмов свидетельствуют о том, что гипотеза не отвергается. Тем не менее DES демонстрирует наименьшее значение (0,107) [6].</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Коэффициент корреляции r(X, Y) для всех алгоритмов близок к нулю. Наименьшее значение — у RC6 (0,0010), наибольшее — у DES (0,0089).</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Лавинный эффект: AES-128 и RC6 демонстрируют минимальное отклонение от идеала 50 %, тогда как DES показывает наибольшее отклонение (49,61 %).</w:t>
      </w:r>
    </w:p>
    <w:p>
      <w:pPr>
        <w:spacing w:after="0" w:before="120" w:line="240"/>
        <w:ind w:firstLine="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03847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2. Оценка лавинного эффекта алгоритмов шифрования</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Комплексная оценка и рейтинг алгоритмов</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На основании нормализованных показателей сформирована интегральная оценка S (таблица 4).</w:t>
      </w:r>
    </w:p>
    <w:p>
      <w:pPr>
        <w:spacing w:after="60" w:before="0" w:line="240"/>
        <w:ind w:firstLine="0"/>
        <w:jc w:val="right"/>
      </w:pPr>
      <w:r>
        <w:rPr>
          <w:rFonts w:ascii="Times New Roman" w:cs="Times New Roman" w:eastAsia="Times New Roman" w:hAnsi="Times New Roman"/>
          <w:b/>
          <w:bCs/>
          <w:i w:val="false"/>
          <w:iCs w:val="false"/>
          <w:sz w:val="20"/>
          <w:szCs w:val="20"/>
        </w:rPr>
        <w:t xml:space="preserve">Таблица 4. Итоговый рейтинг алгоритмов по интегральной оценке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1336"/>
        <w:gridCol w:w="1336"/>
        <w:gridCol w:w="1336"/>
        <w:gridCol w:w="1336"/>
        <w:gridCol w:w="1336"/>
      </w:tblGrid>
      <w:tr>
        <w:trPr>
          <w:tblHeader/>
        </w:trP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Место</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Алгоритм</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s_H</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s_KL</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s_stat</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s_aval</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S</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1</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RC6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AES-128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Twofish</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0,9999</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ГОСТ Р 34.12-2015 (Магма)</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0,9991</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3DES</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0,9997</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0,9993</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0,9968</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0,9974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0,9983</w:t>
            </w:r>
          </w:p>
        </w:tc>
      </w:tr>
      <w:tr>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6</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DES</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0,9994</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0,9985</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0,9912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0,9922</w:t>
            </w:r>
          </w:p>
        </w:tc>
        <w:tc>
          <w:tcPr>
            <w:tcW w:type="dxa" w:w="133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0" w:line="240"/>
              <w:ind w:firstLine="0"/>
              <w:jc w:val="center"/>
            </w:pPr>
            <w:r>
              <w:rPr>
                <w:rFonts w:ascii="Times New Roman" w:cs="Times New Roman" w:eastAsia="Times New Roman" w:hAnsi="Times New Roman"/>
                <w:sz w:val="20"/>
                <w:szCs w:val="20"/>
              </w:rPr>
              <w:t xml:space="preserve">0,9953</w:t>
            </w:r>
          </w:p>
        </w:tc>
      </w:tr>
    </w:tbl>
    <w:p>
      <w:pPr>
        <w:spacing w:line="240"/>
      </w:pP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RC6 и AES-128 занимают лидирующие позиции с интегральной оценкой выше 0,999. Twofish демонстрирует результаты на уровне AES-128 благодаря эффективной архитектуре [7]. ГОСТ Р 34.12-2015 (Магма) на четвёртом месте. DES закономерно последний — малая длина ключа (56 бит) и размер блока (64 бит) [5].</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Различия между алгоритмами находятся в четвёртом–пятом знаке после запятой, что объясняется стандартизированностью всех исследуемых алгоритмов. Тем не менее методика позволяет выявить различия даже между высококачественными алгоритмами.</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Попарное сравнение подтверждает закономерности эволюции алгоритмов. DES и 3DES: трёхкратное применение DES улучшает энтропию (H = 7,9988 против 7,9982) и KL-дивергенцию (0,0361 против 0,0512), однако оба сохраняют 64-битный блок. DES и AES-128: AES превосходит DES по всем метрикам благодаря SPN-архитектуре и 128-битному блоку. Twofish и Blowfish: Twofish (S = 0,9996) демонстрирует улучшение по сравнению с предшественником Blowfish за счёт 128-битного блока и ключезависимых S-блоков. RC6 и RC4: при близкой энтропии (H &gt; 7,99) RC6 кардинально превосходит RC4 по лавинному эффекту (AC ≈ 0,50 против 0,0001), что подтверждает преимущество блочной архитектуры над потоковой в задачах, требующих диффузии.</w:t>
      </w:r>
    </w:p>
    <w:p>
      <w:pPr>
        <w:spacing w:after="0" w:before="120" w:line="240"/>
        <w:ind w:firstLine="0"/>
        <w:jc w:val="center"/>
      </w:pPr>
      <w:r>
        <w:drawing>
          <wp:inline distT="0" distB="0" distL="0" distR="0">
            <wp:extent cx="54006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124200"/>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20"/>
          <w:szCs w:val="20"/>
        </w:rPr>
        <w:t xml:space="preserve">Рис. 3. Радарная диаграмма комплексной оценки</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Заключение</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Проведено экспериментальное исследование криптостойкости шести симметричных алгоритмов шифрования. Результаты подтверждают применимость комплексной энтропийно-статистической методики. RC6 и AES-128 демонстрируют наивысшую криптостойкость. Устаревший DES показывает статистически значимые отклонения [5].</w:t>
      </w:r>
    </w:p>
    <w:p>
      <w:pPr>
        <w:spacing w:after="0" w:before="0" w:line="240"/>
        <w:ind w:firstLine="709"/>
        <w:jc w:val="both"/>
      </w:pPr>
      <w:r>
        <w:rPr>
          <w:rFonts w:ascii="Times New Roman" w:cs="Times New Roman" w:eastAsia="Times New Roman" w:hAnsi="Times New Roman"/>
          <w:b w:val="false"/>
          <w:bCs w:val="false"/>
          <w:i w:val="false"/>
          <w:iCs w:val="false"/>
          <w:sz w:val="22"/>
          <w:szCs w:val="22"/>
        </w:rPr>
        <w:t xml:space="preserve">Предложенная интегральная оценка позволяет формировать обоснованные рекомендации по выбору алгоритмов. Перспективы — расширение методики на асимметричные алгоритмы и хэш-функции, а также учёт производительности.</w:t>
      </w:r>
    </w:p>
    <w:p>
      <w:pPr>
        <w:spacing w:after="120" w:before="120" w:line="240"/>
        <w:ind w:firstLine="0"/>
        <w:jc w:val="center"/>
      </w:pPr>
      <w:r>
        <w:rPr>
          <w:rFonts w:ascii="Times New Roman" w:cs="Times New Roman" w:eastAsia="Times New Roman" w:hAnsi="Times New Roman"/>
          <w:b/>
          <w:bCs/>
          <w:i w:val="false"/>
          <w:iCs w:val="false"/>
          <w:sz w:val="22"/>
          <w:szCs w:val="22"/>
        </w:rPr>
        <w:t xml:space="preserve">Список литературы</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1. Бабенко, Л.К. Современные алгоритмы блочного шифрования и методы их анализа / Л.К. Бабенко, Е.А. Ищукова. — М.: Гелиос АРВ, 2022. — 376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2. Коржик, В.И. Основы криптографии: учебное пособие / В.И. Коржик, В.А. Яковлев. — 4-е изд. — СПб.: ИЦ «Интермедия», 2020. — 312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3. Панасенко, С.П. Алгоритмы шифрования: специальный справочник / С.П. Панасенко. — СПб.: БХВ-Петербург, 2019. — 576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4. Шеннон, К. Теория связи в секретных системах / К. Шеннон // В мире математики. Пер. с англ. — М.: ИЛ, 1963. — С. 333–402.</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5. Бабаш, А.В. Криптографические методы защиты информации в условиях развития квантовых вычислений / А.В. Бабаш, Е.К. Баранова // Вопросы кибербезопасности. — 2021. — № 3(43). — С. 2–12.</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6. NIST SP 800-22 Rev.1a. A Statistical Test Suite for Random and Pseudorandom Number Generators for Cryptographic Applications. — National Institute of Standards and Technology, 2010.</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7. Шнайер, Б. Прикладная криптография: протоколы, алгоритмы и исходные коды на языке Си / Б. Шнайер; пер. с англ. — М.: Вильямс, 2023. — 816 с.</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8. ГОСТ Р 34.12-2015. Информационная технология. Криптографическая защита информации. Блочные шифры. — М.: Стандартинформ, 2015.</w:t>
      </w:r>
    </w:p>
    <w:p>
      <w:pPr>
        <w:spacing w:after="40" w:before="0" w:line="240"/>
        <w:ind w:firstLine="0"/>
        <w:jc w:val="both"/>
      </w:pPr>
      <w:r>
        <w:rPr>
          <w:rFonts w:ascii="Times New Roman" w:cs="Times New Roman" w:eastAsia="Times New Roman" w:hAnsi="Times New Roman"/>
          <w:b w:val="false"/>
          <w:bCs w:val="false"/>
          <w:i w:val="false"/>
          <w:iCs w:val="false"/>
          <w:sz w:val="20"/>
          <w:szCs w:val="20"/>
        </w:rPr>
        <w:t xml:space="preserve">9. Молдовян, Н.А. Введение в криптосистемы с открытым ключом / Н.А. Молдовян, А.А. Молдовян. — СПб.: БХВ-Петербург, 2020. — 288 с.</w:t>
      </w:r>
    </w:p>
    <w:sectPr>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6be058aa082e261559f63b4c94e77a9c436f5.png"/><Relationship Id="rId8" Type="http://schemas.openxmlformats.org/officeDocument/2006/relationships/image" Target="media/05e7667e4f058518fbebedb59ea6c18d8be4602b.png"/><Relationship Id="rId9" Type="http://schemas.openxmlformats.org/officeDocument/2006/relationships/image" Target="media/27f6fbea2220877e5b169da37c31f37dcaf3886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2026-04-12T20:33:10.993Z</dcterms:created>
  <dcterms:modified xsi:type="dcterms:W3CDTF">2026-04-12T20:33:10.994Z</dcterms:modified>
</cp:coreProperties>
</file>

<file path=docProps/custom.xml><?xml version="1.0" encoding="utf-8"?>
<Properties xmlns="http://schemas.openxmlformats.org/officeDocument/2006/custom-properties" xmlns:vt="http://schemas.openxmlformats.org/officeDocument/2006/docPropsVTypes"/>
</file>