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ind w:firstLine="0"/>
        <w:jc w:val="center"/>
      </w:pPr>
      <w:r>
        <w:rPr>
          <w:rFonts w:ascii="Times New Roman" w:cs="Times New Roman" w:eastAsia="Times New Roman" w:hAnsi="Times New Roman"/>
          <w:b w:val="false"/>
          <w:bCs w:val="false"/>
          <w:i w:val="false"/>
          <w:iCs w:val="false"/>
          <w:sz w:val="20"/>
          <w:szCs w:val="20"/>
        </w:rPr>
        <w:t xml:space="preserve">ГРНТИ 20.01.04</w:t>
      </w:r>
    </w:p>
    <w:p>
      <w:pPr>
        <w:spacing w:after="0" w:before="0" w:line="240"/>
        <w:ind w:firstLine="0"/>
        <w:jc w:val="center"/>
      </w:pPr>
      <w:r>
        <w:rPr>
          <w:rFonts w:ascii="Times New Roman" w:cs="Times New Roman" w:eastAsia="Times New Roman" w:hAnsi="Times New Roman"/>
          <w:b w:val="false"/>
          <w:bCs w:val="false"/>
          <w:i w:val="false"/>
          <w:iCs w:val="false"/>
          <w:sz w:val="20"/>
          <w:szCs w:val="20"/>
        </w:rPr>
        <w:t>УДК 004.056.55</w:t>
      </w:r>
    </w:p>
    <w:p>
      <w:pPr>
        <w:spacing w:after="0" w:before="0" w:line="240"/>
        <w:ind w:firstLine="0"/>
        <w:jc w:val="center"/>
      </w:pPr>
      <w:r>
        <w:rPr>
          <w:rFonts w:ascii="Times New Roman" w:cs="Times New Roman" w:eastAsia="Times New Roman" w:hAnsi="Times New Roman"/>
          <w:b w:val="false"/>
          <w:bCs w:val="false"/>
          <w:i/>
          <w:iCs/>
          <w:sz w:val="20"/>
          <w:szCs w:val="20"/>
        </w:rPr>
        <w:t xml:space="preserve">К.В. Дергачев, кандидат технических наук, доцент</w:t>
      </w:r>
    </w:p>
    <w:p>
      <w:pPr>
        <w:spacing w:after="0" w:before="0" w:line="240"/>
        <w:ind w:firstLine="0"/>
        <w:jc w:val="center"/>
      </w:pPr>
      <w:r>
        <w:rPr>
          <w:rFonts w:ascii="Times New Roman" w:cs="Times New Roman" w:eastAsia="Times New Roman" w:hAnsi="Times New Roman"/>
          <w:b w:val="false"/>
          <w:bCs w:val="false"/>
          <w:i/>
          <w:iCs/>
          <w:sz w:val="20"/>
          <w:szCs w:val="20"/>
        </w:rPr>
        <w:t xml:space="preserve">Р.И. Курский, магистрант</w:t>
      </w:r>
    </w:p>
    <w:p>
      <w:pPr>
        <w:spacing w:after="0" w:before="0" w:line="240"/>
        <w:ind w:firstLine="0"/>
        <w:jc w:val="center"/>
      </w:pPr>
      <w:r>
        <w:rPr>
          <w:rFonts w:ascii="Times New Roman" w:cs="Times New Roman" w:eastAsia="Times New Roman" w:hAnsi="Times New Roman"/>
          <w:b w:val="false"/>
          <w:bCs w:val="false"/>
          <w:i w:val="false"/>
          <w:iCs w:val="false"/>
          <w:sz w:val="20"/>
          <w:szCs w:val="20"/>
        </w:rPr>
        <w:t xml:space="preserve">кафедра «Информатика и программное обеспечение»</w:t>
      </w:r>
    </w:p>
    <w:p>
      <w:pPr>
        <w:spacing w:after="0" w:before="0" w:line="240"/>
        <w:ind w:firstLine="0"/>
        <w:jc w:val="center"/>
      </w:pPr>
      <w:r>
        <w:rPr>
          <w:rFonts w:ascii="Times New Roman" w:cs="Times New Roman" w:eastAsia="Times New Roman" w:hAnsi="Times New Roman"/>
          <w:b w:val="false"/>
          <w:bCs w:val="false"/>
          <w:i w:val="false"/>
          <w:iCs w:val="false"/>
          <w:sz w:val="20"/>
          <w:szCs w:val="20"/>
        </w:rPr>
        <w:t xml:space="preserve">Брянский государственный технический университет</w:t>
      </w:r>
    </w:p>
    <w:p>
      <w:pPr>
        <w:spacing w:line="240"/>
      </w:pPr>
    </w:p>
    <w:p>
      <w:pPr>
        <w:spacing w:after="0" w:before="0" w:line="240"/>
        <w:ind w:firstLine="0"/>
        <w:jc w:val="center"/>
      </w:pPr>
      <w:r>
        <w:rPr>
          <w:rFonts w:ascii="Times New Roman" w:cs="Times New Roman" w:eastAsia="Times New Roman" w:hAnsi="Times New Roman"/>
          <w:b w:val="false"/>
          <w:bCs w:val="false"/>
          <w:i/>
          <w:iCs/>
          <w:sz w:val="20"/>
          <w:szCs w:val="20"/>
        </w:rPr>
        <w:t xml:space="preserve">K.V. Dergachev, PhD in Engineering, Associate Professor</w:t>
      </w:r>
    </w:p>
    <w:p>
      <w:pPr>
        <w:spacing w:after="0" w:before="0" w:line="240"/>
        <w:ind w:firstLine="0"/>
        <w:jc w:val="center"/>
      </w:pPr>
      <w:r>
        <w:rPr>
          <w:rFonts w:ascii="Times New Roman" w:cs="Times New Roman" w:eastAsia="Times New Roman" w:hAnsi="Times New Roman"/>
          <w:b w:val="false"/>
          <w:bCs w:val="false"/>
          <w:i/>
          <w:iCs/>
          <w:sz w:val="20"/>
          <w:szCs w:val="20"/>
        </w:rPr>
        <w:t xml:space="preserve">R.I. Kurskiy, Master's Degree Student</w:t>
      </w:r>
    </w:p>
    <w:p>
      <w:pPr>
        <w:spacing w:after="0" w:before="0" w:line="240"/>
        <w:ind w:firstLine="0"/>
        <w:jc w:val="center"/>
      </w:pPr>
      <w:r>
        <w:rPr>
          <w:rFonts w:ascii="Times New Roman" w:cs="Times New Roman" w:eastAsia="Times New Roman" w:hAnsi="Times New Roman"/>
          <w:b w:val="false"/>
          <w:bCs w:val="false"/>
          <w:i w:val="false"/>
          <w:iCs w:val="false"/>
          <w:sz w:val="20"/>
          <w:szCs w:val="20"/>
        </w:rPr>
        <w:t xml:space="preserve">Department of Computer Science and Software Engineering</w:t>
      </w:r>
    </w:p>
    <w:p>
      <w:pPr>
        <w:spacing w:after="0" w:before="0" w:line="240"/>
        <w:ind w:firstLine="0"/>
        <w:jc w:val="center"/>
      </w:pPr>
      <w:r>
        <w:rPr>
          <w:rFonts w:ascii="Times New Roman" w:cs="Times New Roman" w:eastAsia="Times New Roman" w:hAnsi="Times New Roman"/>
          <w:b w:val="false"/>
          <w:bCs w:val="false"/>
          <w:i w:val="false"/>
          <w:iCs w:val="false"/>
          <w:sz w:val="20"/>
          <w:szCs w:val="20"/>
        </w:rPr>
        <w:t xml:space="preserve">Bryansk State Technical University</w:t>
      </w:r>
    </w:p>
    <w:p>
      <w:pPr>
        <w:spacing w:line="240"/>
      </w:pPr>
    </w:p>
    <w:p>
      <w:pPr>
        <w:spacing w:after="0" w:before="0" w:line="240"/>
        <w:ind w:firstLine="0"/>
        <w:jc w:val="center"/>
      </w:pPr>
      <w:r>
        <w:rPr>
          <w:rFonts w:ascii="Times New Roman" w:cs="Times New Roman" w:eastAsia="Times New Roman" w:hAnsi="Times New Roman"/>
          <w:b/>
          <w:bCs/>
          <w:i w:val="false"/>
          <w:iCs w:val="false"/>
          <w:sz w:val="20"/>
          <w:szCs w:val="20"/>
        </w:rPr>
        <w:t xml:space="preserve">Оценка криптостойкости симметричных шифров методами статистического и энтропийного анализа</w:t>
      </w:r>
    </w:p>
    <w:p>
      <w:pPr>
        <w:spacing w:line="240"/>
      </w:pPr>
    </w:p>
    <w:p>
      <w:pPr>
        <w:spacing w:after="0" w:before="0" w:line="240"/>
        <w:ind w:firstLine="0"/>
        <w:jc w:val="center"/>
      </w:pPr>
      <w:r>
        <w:rPr>
          <w:rFonts w:ascii="Times New Roman" w:cs="Times New Roman" w:eastAsia="Times New Roman" w:hAnsi="Times New Roman"/>
          <w:b/>
          <w:bCs/>
          <w:i w:val="false"/>
          <w:iCs w:val="false"/>
          <w:sz w:val="20"/>
          <w:szCs w:val="20"/>
        </w:rPr>
        <w:t xml:space="preserve">Evaluation of cryptographic strength of symmetric ciphers by methods of statistical and entropy analysis</w:t>
      </w:r>
    </w:p>
    <w:p>
      <w:pPr>
        <w:spacing w:line="240"/>
      </w:pPr>
    </w:p>
    <w:p>
      <w:pPr>
        <w:spacing w:after="0" w:before="0" w:line="240"/>
        <w:ind w:firstLine="0"/>
        <w:jc w:val="both"/>
      </w:pPr>
      <w:r>
        <w:rPr>
          <w:rFonts w:ascii="Times New Roman" w:cs="Times New Roman" w:eastAsia="Times New Roman" w:hAnsi="Times New Roman"/>
          <w:b w:val="false"/>
          <w:bCs w:val="false"/>
          <w:i w:val="false"/>
          <w:iCs w:val="false"/>
          <w:sz w:val="20"/>
          <w:szCs w:val="20"/>
        </w:rPr>
        <w:t xml:space="preserve">Представлены результаты экспериментального исследования криптостойкости шести симметричных алгоритмов шифрования: AES-128, DES, 3DES, Blowfish, ChaCha20 и ГОСТ 28147-89 (Магма). Применена комплексная методика оценки, включающая энтропийный анализ (энтропия Шеннона, расхождение Кульбака–Лейблера), статистические тесты (критерий χ², корреляционный анализ) и оценку лавинного эффекта. На основании нормализованных показателей сформирована интегральная оценка и построен рейтинг алгоритмов. Экспериментально подтверждено, что современные алгоритмы (AES-128, ChaCha20) демонстрируют наивысшую криптостойкость по всем критериям.</w:t>
      </w:r>
    </w:p>
    <w:p>
      <w:pPr>
        <w:spacing w:line="240"/>
      </w:pPr>
    </w:p>
    <w:p>
      <w:pPr>
        <w:spacing w:after="0" w:before="0" w:line="240"/>
        <w:ind w:firstLine="0"/>
        <w:jc w:val="both"/>
      </w:pPr>
      <w:r>
        <w:rPr>
          <w:rFonts w:ascii="Times New Roman" w:cs="Times New Roman" w:eastAsia="Times New Roman" w:hAnsi="Times New Roman"/>
          <w:b w:val="false"/>
          <w:bCs w:val="false"/>
          <w:i w:val="false"/>
          <w:iCs w:val="false"/>
          <w:sz w:val="20"/>
          <w:szCs w:val="20"/>
        </w:rPr>
        <w:t xml:space="preserve">The results of an experimental study of the cryptographic strength of six symmetric encryption algorithms are presented: AES-128, DES, 3DES, Blowfish, ChaCha20, and GOST 28147-89 (Magma). A comprehensive evaluation methodology was applied, including entropy analysis (Shannon entropy, Kullback–Leibler divergence), statistical tests (chi-squared test, correlation analysis), and avalanche effect evaluation. Based on normalized indicators, an integral assessment was formed and an algorithm ranking was constructed. It was experimentally confirmed that modern algorithms (AES-128, ChaCha20) demonstrate the highest cryptographic strength across all criteria.</w:t>
      </w:r>
    </w:p>
    <w:p>
      <w:pPr>
        <w:spacing w:line="240"/>
      </w:pPr>
    </w:p>
    <w:p>
      <w:pPr>
        <w:spacing w:after="0" w:before="0" w:line="240"/>
        <w:ind w:firstLine="0"/>
        <w:jc w:val="both"/>
      </w:pPr>
      <w:r>
        <w:rPr>
          <w:rFonts w:ascii="Times New Roman" w:cs="Times New Roman" w:eastAsia="Times New Roman" w:hAnsi="Times New Roman"/>
          <w:b/>
          <w:bCs/>
          <w:sz w:val="20"/>
          <w:szCs w:val="20"/>
        </w:rPr>
        <w:t xml:space="preserve">Ключевые слова: </w:t>
      </w:r>
      <w:r>
        <w:rPr>
          <w:rFonts w:ascii="Times New Roman" w:cs="Times New Roman" w:eastAsia="Times New Roman" w:hAnsi="Times New Roman"/>
          <w:sz w:val="20"/>
          <w:szCs w:val="20"/>
        </w:rPr>
        <w:t xml:space="preserve">криптостойкость; энтропия Шеннона; симметричное шифрование; AES; лавинный эффект; статистический анализ; энтропийный анализ.</w:t>
      </w:r>
    </w:p>
    <w:p>
      <w:pPr>
        <w:spacing w:line="240"/>
      </w:pPr>
    </w:p>
    <w:p>
      <w:pPr>
        <w:spacing w:after="0" w:before="0" w:line="240"/>
        <w:ind w:firstLine="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cryptographic strength; Shannon entropy; symmetric encryption; AES; avalanche effect; statistical analysis; entropy analysis.</w:t>
      </w:r>
    </w:p>
    <w:p>
      <w:pPr>
        <w:spacing w:line="240"/>
      </w:pP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Количественная оценка криптостойкости алгоритмов шифрования является одной из ключевых задач в области информационной безопасности. Рост объёмов обрабатываемых данных и усложнение моделей угроз требуют применения объективных методов, позволяющих сравнивать различные криптографические преобразования по единым критериям [1].</w:t>
      </w: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Информационно-теоретический подход, основанный на энтропийном анализе, позволяет оценивать степень неопределённости, вносимую алгоритмом шифрования, без необходимости анализа его внутренней структуры [2]. В сочетании со статистическими тестами и оценкой лавинного эффекта энтропийные метрики формируют комплексный инструментарий для анализа криптостойкости.</w:t>
      </w: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Целью настоящей статьи является экспериментальное сравнение криптостойкости шести симметричных алгоритмов шифрования с применением комплексной методики, объединяющей энтропийный и статистический анализ.</w:t>
      </w: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В эксперименте использовались шесть алгоритмов симметричного шифрования (таблица 1).</w:t>
      </w:r>
    </w:p>
    <w:p>
      <w:pPr>
        <w:spacing w:line="240"/>
      </w:pPr>
    </w:p>
    <w:p>
      <w:pPr>
        <w:spacing w:after="60" w:before="0" w:line="240"/>
        <w:ind w:firstLine="0"/>
        <w:jc w:val="center"/>
      </w:pPr>
      <w:r>
        <w:rPr>
          <w:rFonts w:ascii="Times New Roman" w:cs="Times New Roman" w:eastAsia="Times New Roman" w:hAnsi="Times New Roman"/>
          <w:b/>
          <w:bCs/>
          <w:sz w:val="18"/>
          <w:szCs w:val="18"/>
        </w:rPr>
        <w:t xml:space="preserve">Таблица 1</w:t>
      </w:r>
      <w:r>
        <w:rPr>
          <w:rFonts w:ascii="Times New Roman" w:cs="Times New Roman" w:eastAsia="Times New Roman" w:hAnsi="Times New Roman"/>
          <w:sz w:val="18"/>
          <w:szCs w:val="18"/>
        </w:rPr>
        <w:t xml:space="preserve">. Характеристики исследуемых алгоритмов</w:t>
      </w:r>
    </w:p>
    <w:tbl>
      <w:tblPr>
        <w:tblW w:type="dxa" w:w="6123"/>
        <w:tblBorders>
          <w:top w:val="single" w:color="auto" w:sz="4"/>
          <w:left w:val="single" w:color="auto" w:sz="4"/>
          <w:bottom w:val="single" w:color="auto" w:sz="4"/>
          <w:right w:val="single" w:color="auto" w:sz="4"/>
          <w:insideH w:val="single" w:color="auto" w:sz="4"/>
          <w:insideV w:val="single" w:color="auto" w:sz="4"/>
        </w:tblBorders>
      </w:tblPr>
      <w:tblGrid>
        <w:gridCol w:w="1224"/>
        <w:gridCol w:w="1224"/>
        <w:gridCol w:w="1224"/>
        <w:gridCol w:w="1224"/>
        <w:gridCol w:w="1224"/>
      </w:tblGrid>
      <w:tr>
        <w:trPr>
          <w:tblHeader/>
        </w:trP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Алгоритм</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Тип</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Ключ, бит</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Блок, бит</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Год</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AES-128</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SPN</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128</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128</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2001</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DES</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Фейстель</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56</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64</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1977</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3DES</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Фейстель</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168</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64</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1998</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Blowfish</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Фейстель</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128</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64</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1993</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ChaCha20</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Потоковый</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256</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2008</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ГОСТ 28147-89</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Фейстель</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256</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64</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1989</w:t>
            </w:r>
          </w:p>
        </w:tc>
      </w:tr>
    </w:tbl>
    <w:p>
      <w:pPr>
        <w:spacing w:line="240"/>
      </w:pP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Для каждого алгоритма шифрование выполнялось на четырёх типах входных данных: текст (ASCII), случайные байты, паттерны (0xAA) и нулевые блоки (0x00). Размер тестовых блоков — 100 КБ. Режим — CBC [3].</w:t>
      </w: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Оценка осуществлялась по четырём критериям: H(X), D_KL, r(X, Y) и лавинный эффект. Интегральная оценка [4]:</w:t>
      </w:r>
    </w:p>
    <w:p>
      <w:pPr>
        <w:spacing w:after="60" w:before="60" w:line="240"/>
        <w:ind w:firstLine="0"/>
        <w:jc w:val="center"/>
      </w:pPr>
      <w:r>
        <w:rPr>
          <w:rFonts w:ascii="Times New Roman" w:cs="Times New Roman" w:eastAsia="Times New Roman" w:hAnsi="Times New Roman"/>
          <w:b w:val="false"/>
          <w:bCs w:val="false"/>
          <w:i w:val="false"/>
          <w:iCs w:val="false"/>
          <w:sz w:val="20"/>
          <w:szCs w:val="20"/>
        </w:rPr>
        <w:t xml:space="preserve">S = (s_H + s_KL + s_corr + s_aval) / 4.</w:t>
      </w: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Результаты энтропийного анализа представлены в таблице 2.</w:t>
      </w:r>
    </w:p>
    <w:p>
      <w:pPr>
        <w:spacing w:line="240"/>
      </w:pPr>
    </w:p>
    <w:p>
      <w:pPr>
        <w:spacing w:after="60" w:before="0" w:line="240"/>
        <w:ind w:firstLine="0"/>
        <w:jc w:val="center"/>
      </w:pPr>
      <w:r>
        <w:rPr>
          <w:rFonts w:ascii="Times New Roman" w:cs="Times New Roman" w:eastAsia="Times New Roman" w:hAnsi="Times New Roman"/>
          <w:b/>
          <w:bCs/>
          <w:sz w:val="18"/>
          <w:szCs w:val="18"/>
        </w:rPr>
        <w:t xml:space="preserve">Таблица 2</w:t>
      </w:r>
      <w:r>
        <w:rPr>
          <w:rFonts w:ascii="Times New Roman" w:cs="Times New Roman" w:eastAsia="Times New Roman" w:hAnsi="Times New Roman"/>
          <w:sz w:val="18"/>
          <w:szCs w:val="18"/>
        </w:rPr>
        <w:t xml:space="preserve">. Результаты энтропийного анализа</w:t>
      </w:r>
    </w:p>
    <w:tbl>
      <w:tblPr>
        <w:tblW w:type="dxa" w:w="6123"/>
        <w:tblBorders>
          <w:top w:val="single" w:color="auto" w:sz="4"/>
          <w:left w:val="single" w:color="auto" w:sz="4"/>
          <w:bottom w:val="single" w:color="auto" w:sz="4"/>
          <w:right w:val="single" w:color="auto" w:sz="4"/>
          <w:insideH w:val="single" w:color="auto" w:sz="4"/>
          <w:insideV w:val="single" w:color="auto" w:sz="4"/>
        </w:tblBorders>
      </w:tblPr>
      <w:tblGrid>
        <w:gridCol w:w="1530"/>
        <w:gridCol w:w="1530"/>
        <w:gridCol w:w="1530"/>
        <w:gridCol w:w="1530"/>
      </w:tblGrid>
      <w:tr>
        <w:trPr>
          <w:tblHeader/>
        </w:trPr>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Алгоритм</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H(X)</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D_KL</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s_H</w:t>
            </w:r>
          </w:p>
        </w:tc>
      </w:tr>
      <w:tr>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AES-128</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7,9993</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0,00018</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0,9999</w:t>
            </w:r>
          </w:p>
        </w:tc>
      </w:tr>
      <w:tr>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DES</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7,9951</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0,00147</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0,9994</w:t>
            </w:r>
          </w:p>
        </w:tc>
      </w:tr>
      <w:tr>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3DES</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7,9974</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0,00072</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0,9997</w:t>
            </w:r>
          </w:p>
        </w:tc>
      </w:tr>
      <w:tr>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Blowfish</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7,9989</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0,00029</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0,9999</w:t>
            </w:r>
          </w:p>
        </w:tc>
      </w:tr>
      <w:tr>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ChaCha20</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7,9996</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0,00011</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1,0000</w:t>
            </w:r>
          </w:p>
        </w:tc>
      </w:tr>
      <w:tr>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ГОСТ 28147-89</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7,9985</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0,00038</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0,9998</w:t>
            </w:r>
          </w:p>
        </w:tc>
      </w:tr>
    </w:tbl>
    <w:p>
      <w:pPr>
        <w:spacing w:line="240"/>
      </w:pP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ChaCha20 и AES-128 показывают наименьшие значения KL-дивергенции, DES — наибольшее отклонение (D_KL = 0,00147), что объясняется меньшим размером блока (64 бит) [5].</w:t>
      </w:r>
    </w:p>
    <w:p>
      <w:pPr>
        <w:spacing w:line="240"/>
      </w:pPr>
    </w:p>
    <w:p>
      <w:pPr>
        <w:spacing w:after="0" w:before="120" w:line="240"/>
        <w:ind w:firstLine="0"/>
        <w:jc w:val="center"/>
      </w:pPr>
      <w:r>
        <w:drawing>
          <wp:inline distT="0" distB="0" distL="0" distR="0">
            <wp:extent cx="36004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00450" cy="2028825"/>
                    </a:xfrm>
                    <a:prstGeom prst="rect">
                      <a:avLst/>
                    </a:prstGeom>
                  </pic:spPr>
                </pic:pic>
              </a:graphicData>
            </a:graphic>
          </wp:inline>
        </w:drawing>
      </w:r>
    </w:p>
    <w:p>
      <w:pPr>
        <w:spacing w:after="120" w:before="0" w:line="240"/>
        <w:ind w:firstLine="0"/>
        <w:jc w:val="center"/>
      </w:pPr>
      <w:r>
        <w:rPr>
          <w:rFonts w:ascii="Times New Roman" w:cs="Times New Roman" w:eastAsia="Times New Roman" w:hAnsi="Times New Roman"/>
          <w:b/>
          <w:bCs/>
          <w:i w:val="false"/>
          <w:iCs w:val="false"/>
          <w:sz w:val="18"/>
          <w:szCs w:val="18"/>
        </w:rPr>
        <w:t xml:space="preserve">Рис. 1. Энтропийный анализ алгоритмов</w:t>
      </w:r>
    </w:p>
    <w:p>
      <w:pPr>
        <w:spacing w:line="240"/>
      </w:pPr>
    </w:p>
    <w:p>
      <w:pPr>
        <w:spacing w:after="60" w:before="0" w:line="240"/>
        <w:ind w:firstLine="0"/>
        <w:jc w:val="center"/>
      </w:pPr>
      <w:r>
        <w:rPr>
          <w:rFonts w:ascii="Times New Roman" w:cs="Times New Roman" w:eastAsia="Times New Roman" w:hAnsi="Times New Roman"/>
          <w:b/>
          <w:bCs/>
          <w:sz w:val="18"/>
          <w:szCs w:val="18"/>
        </w:rPr>
        <w:t xml:space="preserve">Таблица 3</w:t>
      </w:r>
      <w:r>
        <w:rPr>
          <w:rFonts w:ascii="Times New Roman" w:cs="Times New Roman" w:eastAsia="Times New Roman" w:hAnsi="Times New Roman"/>
          <w:sz w:val="18"/>
          <w:szCs w:val="18"/>
        </w:rPr>
        <w:t xml:space="preserve">. Статистический анализ и лавинный эффект</w:t>
      </w:r>
    </w:p>
    <w:tbl>
      <w:tblPr>
        <w:tblW w:type="dxa" w:w="6123"/>
        <w:tblBorders>
          <w:top w:val="single" w:color="auto" w:sz="4"/>
          <w:left w:val="single" w:color="auto" w:sz="4"/>
          <w:bottom w:val="single" w:color="auto" w:sz="4"/>
          <w:right w:val="single" w:color="auto" w:sz="4"/>
          <w:insideH w:val="single" w:color="auto" w:sz="4"/>
          <w:insideV w:val="single" w:color="auto" w:sz="4"/>
        </w:tblBorders>
      </w:tblPr>
      <w:tblGrid>
        <w:gridCol w:w="1224"/>
        <w:gridCol w:w="1224"/>
        <w:gridCol w:w="1224"/>
        <w:gridCol w:w="1224"/>
        <w:gridCol w:w="1224"/>
      </w:tblGrid>
      <w:tr>
        <w:trPr>
          <w:tblHeader/>
        </w:trP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Алгоритм</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χ² p-value</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r(X,Y)</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Лав. эфф., %</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s_stat</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AES-128</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0,482</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0,0012</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50,04</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0,9996</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DES</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0,107</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0,0089</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49,61</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0,9912</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3DES</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0,314</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0,0041</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49,87</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0,9968</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Blowfish</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0,421</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0,0019</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50,01</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0,9991</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ChaCha20</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0,517</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0,0008</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50,02</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0,9998</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ГОСТ 28147-89</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0,389</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0,0023</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49,93</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0,9985</w:t>
            </w:r>
          </w:p>
        </w:tc>
      </w:tr>
    </w:tbl>
    <w:p>
      <w:pPr>
        <w:spacing w:line="240"/>
      </w:pP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Все алгоритмы проходят тест χ² (p &gt; 0,05). DES показывает наименьшее p-value (0,107) и наибольшую корреляцию (0,0089) [6].</w:t>
      </w:r>
    </w:p>
    <w:p>
      <w:pPr>
        <w:spacing w:line="240"/>
      </w:pPr>
    </w:p>
    <w:p>
      <w:pPr>
        <w:spacing w:after="0" w:before="120" w:line="240"/>
        <w:ind w:firstLine="0"/>
        <w:jc w:val="center"/>
      </w:pPr>
      <w:r>
        <w:drawing>
          <wp:inline distT="0" distB="0" distL="0" distR="0">
            <wp:extent cx="36004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00450" cy="2028825"/>
                    </a:xfrm>
                    <a:prstGeom prst="rect">
                      <a:avLst/>
                    </a:prstGeom>
                  </pic:spPr>
                </pic:pic>
              </a:graphicData>
            </a:graphic>
          </wp:inline>
        </w:drawing>
      </w:r>
    </w:p>
    <w:p>
      <w:pPr>
        <w:spacing w:after="120" w:before="0" w:line="240"/>
        <w:ind w:firstLine="0"/>
        <w:jc w:val="center"/>
      </w:pPr>
      <w:r>
        <w:rPr>
          <w:rFonts w:ascii="Times New Roman" w:cs="Times New Roman" w:eastAsia="Times New Roman" w:hAnsi="Times New Roman"/>
          <w:b/>
          <w:bCs/>
          <w:i w:val="false"/>
          <w:iCs w:val="false"/>
          <w:sz w:val="18"/>
          <w:szCs w:val="18"/>
        </w:rPr>
        <w:t xml:space="preserve">Рис. 2. Лавинный эффект</w:t>
      </w:r>
    </w:p>
    <w:p>
      <w:pPr>
        <w:spacing w:line="240"/>
      </w:pPr>
    </w:p>
    <w:p>
      <w:pPr>
        <w:spacing w:after="60" w:before="0" w:line="240"/>
        <w:ind w:firstLine="0"/>
        <w:jc w:val="center"/>
      </w:pPr>
      <w:r>
        <w:rPr>
          <w:rFonts w:ascii="Times New Roman" w:cs="Times New Roman" w:eastAsia="Times New Roman" w:hAnsi="Times New Roman"/>
          <w:b/>
          <w:bCs/>
          <w:sz w:val="18"/>
          <w:szCs w:val="18"/>
        </w:rPr>
        <w:t xml:space="preserve">Таблица 4</w:t>
      </w:r>
      <w:r>
        <w:rPr>
          <w:rFonts w:ascii="Times New Roman" w:cs="Times New Roman" w:eastAsia="Times New Roman" w:hAnsi="Times New Roman"/>
          <w:sz w:val="18"/>
          <w:szCs w:val="18"/>
        </w:rPr>
        <w:t xml:space="preserve">. Итоговый рейтинг</w:t>
      </w:r>
    </w:p>
    <w:tbl>
      <w:tblPr>
        <w:tblW w:type="dxa" w:w="6123"/>
        <w:tblBorders>
          <w:top w:val="single" w:color="auto" w:sz="4"/>
          <w:left w:val="single" w:color="auto" w:sz="4"/>
          <w:bottom w:val="single" w:color="auto" w:sz="4"/>
          <w:right w:val="single" w:color="auto" w:sz="4"/>
          <w:insideH w:val="single" w:color="auto" w:sz="4"/>
          <w:insideV w:val="single" w:color="auto" w:sz="4"/>
        </w:tblBorders>
      </w:tblPr>
      <w:tblGrid>
        <w:gridCol w:w="874"/>
        <w:gridCol w:w="874"/>
        <w:gridCol w:w="874"/>
        <w:gridCol w:w="874"/>
        <w:gridCol w:w="874"/>
        <w:gridCol w:w="874"/>
        <w:gridCol w:w="874"/>
      </w:tblGrid>
      <w:tr>
        <w:trPr>
          <w:tblHeader/>
        </w:trPr>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Алгоритм</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s_H</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s_KL</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s_stat</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s_aval</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w:t>
            </w:r>
          </w:p>
        </w:tc>
      </w:tr>
      <w:tr>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ChaCha20</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1,0000</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0,9999</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0,9998</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0,9996</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0,9998</w:t>
            </w:r>
          </w:p>
        </w:tc>
      </w:tr>
      <w:tr>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2</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AES-128</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0,9999</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0,9998</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0,9996</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0,9992</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0,9996</w:t>
            </w:r>
          </w:p>
        </w:tc>
      </w:tr>
      <w:tr>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3</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Blowfish</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0,9999</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0,9997</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0,9991</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0,9998</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0,9996</w:t>
            </w:r>
          </w:p>
        </w:tc>
      </w:tr>
      <w:tr>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4</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ГОСТ</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0,9998</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0,9996</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0,9985</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0,9986</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0,9991</w:t>
            </w:r>
          </w:p>
        </w:tc>
      </w:tr>
      <w:tr>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5</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3DES</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0,9997</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0,9993</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0,9968</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0,9974</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0,9983</w:t>
            </w:r>
          </w:p>
        </w:tc>
      </w:tr>
      <w:tr>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6</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DES</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0,9994</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0,9985</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0,9912</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0,9922</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0,9953</w:t>
            </w:r>
          </w:p>
        </w:tc>
      </w:tr>
    </w:tbl>
    <w:p>
      <w:pPr>
        <w:spacing w:line="240"/>
      </w:pP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ChaCha20 и AES-128 лидируют (S &gt; 0,999). Blowfish на уровне AES-128 благодаря архитектуре с ключезависимыми S-блоками [7]. DES — последний из-за малого ключа и блока [5].</w:t>
      </w:r>
    </w:p>
    <w:p>
      <w:pPr>
        <w:spacing w:line="240"/>
      </w:pPr>
    </w:p>
    <w:p>
      <w:pPr>
        <w:spacing w:after="0" w:before="120" w:line="240"/>
        <w:ind w:firstLine="0"/>
        <w:jc w:val="center"/>
      </w:pPr>
      <w:r>
        <w:drawing>
          <wp:inline distT="0" distB="0" distL="0" distR="0">
            <wp:extent cx="36004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00450" cy="2028825"/>
                    </a:xfrm>
                    <a:prstGeom prst="rect">
                      <a:avLst/>
                    </a:prstGeom>
                  </pic:spPr>
                </pic:pic>
              </a:graphicData>
            </a:graphic>
          </wp:inline>
        </w:drawing>
      </w:r>
    </w:p>
    <w:p>
      <w:pPr>
        <w:spacing w:after="120" w:before="0" w:line="240"/>
        <w:ind w:firstLine="0"/>
        <w:jc w:val="center"/>
      </w:pPr>
      <w:r>
        <w:rPr>
          <w:rFonts w:ascii="Times New Roman" w:cs="Times New Roman" w:eastAsia="Times New Roman" w:hAnsi="Times New Roman"/>
          <w:b/>
          <w:bCs/>
          <w:i w:val="false"/>
          <w:iCs w:val="false"/>
          <w:sz w:val="18"/>
          <w:szCs w:val="18"/>
        </w:rPr>
        <w:t xml:space="preserve">Рис. 3. Радарная диаграмма оценки</w:t>
      </w:r>
    </w:p>
    <w:p>
      <w:pPr>
        <w:spacing w:line="240"/>
      </w:pP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Проведено экспериментальное исследование криптостойкости шести алгоритмов. Результаты подтверждают применимость комплексной методики. Перспективы — расширение на асимметричные алгоритмы и хэш-функции.</w:t>
      </w:r>
    </w:p>
    <w:p>
      <w:pPr>
        <w:spacing w:line="240"/>
      </w:pPr>
    </w:p>
    <w:p>
      <w:pPr>
        <w:spacing w:after="60" w:before="0" w:line="240"/>
        <w:ind w:firstLine="0"/>
        <w:jc w:val="center"/>
      </w:pPr>
      <w:r>
        <w:rPr>
          <w:rFonts w:ascii="Times New Roman" w:cs="Times New Roman" w:eastAsia="Times New Roman" w:hAnsi="Times New Roman"/>
          <w:b/>
          <w:bCs/>
          <w:i w:val="false"/>
          <w:iCs w:val="false"/>
          <w:sz w:val="20"/>
          <w:szCs w:val="20"/>
        </w:rPr>
        <w:t xml:space="preserve">Список литературы</w:t>
      </w:r>
    </w:p>
    <w:p>
      <w:pPr>
        <w:spacing w:line="240"/>
      </w:pP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1. Бабенко, Л.К. Современные алгоритмы блочного шифрования и методы их анализа / Л.К. Бабенко, Е.А. Ищукова. — М.: Гелиос АРВ, 2022. — 376 с.</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2. Коржик, В.И. Основы криптографии / В.И. Коржик, В.А. Яковлев. — 4-е изд. — СПб.: ИЦ «Интермедия», 2020. — 312 с.</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3. Панасенко, С.П. Алгоритмы шифрования / С.П. Панасенко. — СПб.: БХВ-Петербург, 2019. — 576 с.</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4. Шеннон, К. Теория связи в секретных системах / К. Шеннон. — М.: ИЛ, 1963. — С. 333–402.</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5. Бабаш, А.В. Криптографические методы защиты информации / А.В. Бабаш, Е.К. Баранова // Вопросы кибербезопасности. — 2021. — № 3(43). — С. 2–12.</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6. NIST SP 800-22 Rev.1a. A Statistical Test Suite for Cryptographic Applications. — NIST, 2010.</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7. Шнайер, Б. Прикладная криптография / Б. Шнайер. — М.: Вильямс, 2023. — 816 с.</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8. ГОСТ Р 34.12-2015. Блочные шифры. — М.: Стандартинформ, 2015.</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9. Молдовян, Н.А. Введение в криптосистемы с открытым ключом / Н.А. Молдовян, А.А. Молдовян. — СПб.: БХВ-Петербург, 2020. — 288 с.</w:t>
      </w:r>
    </w:p>
    <w:sectPr>
      <w:pgSz w:w="8391" w:h="11907" w:orient="portrait"/>
      <w:pgMar w:top="964" w:right="1021" w:bottom="130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f46be058aa082e261559f63b4c94e77a9c436f5.png"/><Relationship Id="rId8" Type="http://schemas.openxmlformats.org/officeDocument/2006/relationships/image" Target="media/05e7667e4f058518fbebedb59ea6c18d8be4602b.png"/><Relationship Id="rId9" Type="http://schemas.openxmlformats.org/officeDocument/2006/relationships/image" Target="media/8e3cde35662b28402f9606d652274d3fcdc57b3f.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2026-03-31T15:39:57.650Z</dcterms:created>
  <dcterms:modified xsi:type="dcterms:W3CDTF">2026-03-31T15:39:57.650Z</dcterms:modified>
</cp:coreProperties>
</file>

<file path=docProps/custom.xml><?xml version="1.0" encoding="utf-8"?>
<Properties xmlns="http://schemas.openxmlformats.org/officeDocument/2006/custom-properties" xmlns:vt="http://schemas.openxmlformats.org/officeDocument/2006/docPropsVTypes"/>
</file>