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firstLine="0"/>
        <w:jc w:val="left"/>
      </w:pPr>
      <w:r>
        <w:rPr>
          <w:rFonts w:ascii="Times New Roman" w:cs="Times New Roman" w:eastAsia="Times New Roman" w:hAnsi="Times New Roman"/>
          <w:b w:val="false"/>
          <w:bCs w:val="false"/>
          <w:i w:val="false"/>
          <w:iCs w:val="false"/>
          <w:sz w:val="20"/>
          <w:szCs w:val="20"/>
        </w:rPr>
        <w:t>УДК 004.056.55</w:t>
      </w:r>
    </w:p>
    <w:p>
      <w:pPr>
        <w:spacing w:line="240"/>
      </w:pPr>
    </w:p>
    <w:p>
      <w:pPr>
        <w:spacing w:after="60" w:before="0" w:line="240"/>
        <w:ind w:firstLine="0"/>
        <w:jc w:val="center"/>
      </w:pPr>
      <w:r>
        <w:rPr>
          <w:rFonts w:ascii="Times New Roman" w:cs="Times New Roman" w:eastAsia="Times New Roman" w:hAnsi="Times New Roman"/>
          <w:b/>
          <w:bCs/>
          <w:i w:val="false"/>
          <w:iCs w:val="false"/>
          <w:sz w:val="24"/>
          <w:szCs w:val="24"/>
        </w:rPr>
        <w:t xml:space="preserve">ОЦЕНКА КРИПТОСТОЙКОСТИ СИММЕТРИЧНЫХ ШИФРОВ МЕТОДАМИ СТАТИСТИЧЕСКОГО И ЭНТРОПИЙНОГО АНАЛИЗА</w:t>
      </w:r>
    </w:p>
    <w:p>
      <w:pPr>
        <w:spacing w:line="240"/>
      </w:pPr>
    </w:p>
    <w:p>
      <w:pPr>
        <w:spacing w:after="0" w:before="0" w:line="240"/>
        <w:ind w:firstLine="0"/>
        <w:jc w:val="center"/>
      </w:pPr>
      <w:r>
        <w:rPr>
          <w:rFonts w:ascii="Times New Roman" w:cs="Times New Roman" w:eastAsia="Times New Roman" w:hAnsi="Times New Roman"/>
          <w:b/>
          <w:bCs/>
          <w:i w:val="false"/>
          <w:iCs w:val="false"/>
          <w:sz w:val="22"/>
          <w:szCs w:val="22"/>
        </w:rPr>
        <w:t xml:space="preserve">К.В. Дергачев, Р.И. Курский</w:t>
      </w:r>
    </w:p>
    <w:p>
      <w:pPr>
        <w:spacing w:after="0" w:before="0" w:line="240"/>
        <w:ind w:firstLine="0"/>
        <w:jc w:val="center"/>
      </w:pPr>
      <w:r>
        <w:rPr>
          <w:rFonts w:ascii="Times New Roman" w:cs="Times New Roman" w:eastAsia="Times New Roman" w:hAnsi="Times New Roman"/>
          <w:b w:val="false"/>
          <w:bCs w:val="false"/>
          <w:i/>
          <w:iCs/>
          <w:sz w:val="22"/>
          <w:szCs w:val="22"/>
        </w:rPr>
        <w:t xml:space="preserve">Брянский государственный технический университет, г. Брянск, Россия</w:t>
      </w:r>
    </w:p>
    <w:p>
      <w:pPr>
        <w:spacing w:after="0" w:before="0" w:line="240"/>
        <w:ind w:firstLine="0"/>
        <w:jc w:val="center"/>
      </w:pPr>
      <w:r>
        <w:rPr>
          <w:rFonts w:ascii="Times New Roman" w:cs="Times New Roman" w:eastAsia="Times New Roman" w:hAnsi="Times New Roman"/>
          <w:b/>
          <w:bCs/>
          <w:i w:val="false"/>
          <w:iCs w:val="false"/>
          <w:sz w:val="22"/>
          <w:szCs w:val="22"/>
        </w:rPr>
        <w:t xml:space="preserve">K.V. Dergachev, R.I. Kurskiy</w:t>
      </w:r>
    </w:p>
    <w:p>
      <w:pPr>
        <w:spacing w:after="0" w:before="0" w:line="240"/>
        <w:ind w:firstLine="0"/>
        <w:jc w:val="center"/>
      </w:pPr>
      <w:r>
        <w:rPr>
          <w:rFonts w:ascii="Times New Roman" w:cs="Times New Roman" w:eastAsia="Times New Roman" w:hAnsi="Times New Roman"/>
          <w:b w:val="false"/>
          <w:bCs w:val="false"/>
          <w:i/>
          <w:iCs/>
          <w:sz w:val="22"/>
          <w:szCs w:val="22"/>
        </w:rPr>
        <w:t xml:space="preserve">Bryansk State Technical University, Bryansk, Russia</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Аннотация. </w:t>
      </w:r>
      <w:r>
        <w:rPr>
          <w:rFonts w:ascii="Times New Roman" w:cs="Times New Roman" w:eastAsia="Times New Roman" w:hAnsi="Times New Roman"/>
          <w:sz w:val="20"/>
          <w:szCs w:val="20"/>
        </w:rPr>
        <w:t xml:space="preserve">Представлены результаты экспериментального исследования криптостойкости шести симметричных алгоритмов шифрования: AES-128, DES, 3DES, Blowfish, ChaCha20 и ГОСТ 28147-89 (Магма). Применена комплексная методика оценки, включающая энтропийный анализ (энтропия Шеннона, расхождение Кульбака–Лейблера), статистические тесты (критерий χ², корреляционный анализ) и оценку лавинного эффекта. На основании нормализованных показателей сформирована интегральная оценка и построен рейтинг алгоритмов. Экспериментально подтверждено, что современные алгоритмы (AES-128, ChaCha20) демонстрируют наивысшую криптостойкость по всем критериям, тогда как устаревшие (DES) обнаруживают статистически значимые отклонения от идеальных значений.</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The results of an experimental study of the cryptographic strength of six symmetric encryption algorithms are presented: AES-128, DES, 3DES, Blowfish, ChaCha20, and GOST 28147-89 (Magma). A comprehensive evaluation methodology was applied, including entropy analysis (Shannon entropy, Kullback–Leibler divergence), statistical tests (chi-squared test, correlation analysis), and avalanche effect evaluation. Based on normalized indicators, an integral assessment was formed and an algorithm ranking was constructed. It was experimentally confirmed that modern algorithms (AES-128, ChaCha20) demonstrate the highest cryptographic strength across all criteria, while outdated ones (DES) show statistically significant deviations from ideal values.</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Ключевые слова: </w:t>
      </w:r>
      <w:r>
        <w:rPr>
          <w:rFonts w:ascii="Times New Roman" w:cs="Times New Roman" w:eastAsia="Times New Roman" w:hAnsi="Times New Roman"/>
          <w:sz w:val="20"/>
          <w:szCs w:val="20"/>
        </w:rPr>
        <w:t xml:space="preserve">криптостойкость, энтропия Шеннона, симметричное шифрование, AES, лавинный эффект, статистический анализ, энтропийный анализ.</w:t>
      </w:r>
    </w:p>
    <w:p>
      <w:pPr>
        <w:spacing w:after="240" w:before="0" w:line="240"/>
        <w:ind w:firstLine="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cryptographic strength, Shannon entropy, symmetric encryption, AES, avalanche effect, statistical analysis, entropy analysis.</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Введение</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Количественная оценка криптостойкости алгоритмов шифрования является одной из ключевых задач в области информационной безопасности. Рост объёмов обрабатываемых данных и усложнение моделей угроз требуют применения объективных методов, позволяющих сравнивать различные криптографические преобразования по единым критериям [1].</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Информационно-теоретический подход, основанный на энтропийном анализе, позволяет оценивать степень неопределённости, вносимую алгоритмом шифрования, без необходимости анализа его внутренней структуры [2].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 объединяющей энтропийный и статистический анализ. Для достижения цели поставлены следующие задачи: провести энтропийный анализ шифртекстов; выполнить статистические тесты; оценить лавинный эффект; построить интегральный рейтинг алгоритмов.</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Методика экспериментального исследования</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 эксперименте использовались шесть алгоритмов симметричного шифрования, представляющих различные поколения и архитектурные подходы (таблица 1).</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1. Характеристики исследуемых алгоритмов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Тип</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Длина ключа, бит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Размер блока, бит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Год</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(SPN)</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2001</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1977</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168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1998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1993</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Потоковый</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2008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1989</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Выбор алгоритмов обусловлен их широкой распространённостью, различием архитектур и наличием как современных, так и устаревших представителей [3]. Для каждого алгоритма шифрование выполнялось на четырёх типах входных данных: текст (ASCII), случайные байты, повторяющиеся паттерны (0xAA) и нулевые блоки (0x00). Размер тестовых блоков — 100 КБ. Режим шифрования — CBC с фиксированным вектором инициализации.</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Оценка осуществлялась по четырём критериям: энтропия Шеннона H(X) — близость к максимуму 8,0 бит/байт; расхождение Кульбака–Лейблера D_KL — близость к нулю; коэффициент корреляции r(X, Y) между открытым и шифртекстом — близость к нулю; лавинный эффект — близость к 50 % [4].</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Интегральная оценка формировалась по формуле:</w:t>
      </w:r>
    </w:p>
    <w:p>
      <w:pPr>
        <w:spacing w:after="60" w:before="60" w:line="240"/>
        <w:ind w:firstLine="0"/>
        <w:jc w:val="center"/>
      </w:pPr>
      <w:r>
        <w:rPr>
          <w:rFonts w:ascii="Times New Roman" w:cs="Times New Roman" w:eastAsia="Times New Roman" w:hAnsi="Times New Roman"/>
          <w:b w:val="false"/>
          <w:bCs w:val="false"/>
          <w:i w:val="false"/>
          <w:iCs w:val="false"/>
          <w:sz w:val="22"/>
          <w:szCs w:val="22"/>
        </w:rPr>
        <w:t xml:space="preserve">S = (s_H + s_KL + s_corr + s_aval) / 4,</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где каждый показатель нормализован к шкале [0, 1].</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Результаты энтропийного и статистического анализа</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Результаты энтропийного анализа шифртекстов, полученных при шифровании текстовых данных (ASCII), представлены в таблице 2.</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2. Результаты энтропийного анализа (вход: текст ASCII, 100 КБ)</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H(X), бит/байт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H_max</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D_KL</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s_H</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7,9993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0,00018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7,9951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0,00147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0,9994</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7,9974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0,00072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0,00029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7,9996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0,00011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1,0000</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7,9985</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0,00038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Все исследуемые алгоритмы демонстрируют значения энтропии, близкие к теоретическому максимуму. Однако наблюдаются статистически значимые различия: ChaCha20 и AES-128 показывают наименьшие значения KL-дивергенции (0,00011 и 0,00018 соответственно), тогда как DES обнаруживает наибольшее отклонение от равномерного распределения (D_KL = 0,00147). Данное различие объясняется меньшим размером блока DES (64 бит) [5].</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1. Результаты энтропийного анализа алгоритмов шифрования</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Результаты статистического анализа и оценки лавинного эффекта представлены в таблице 3.</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3. Результаты статистического анализа и оценки лавинного эффекта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χ² p-value</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r(X, Y)</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Лавинный эффект, %</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s_stat</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0,482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0,107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49,61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0,9912</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0,314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0,0041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49,87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0,9968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0,421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0,9991</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0,517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0,389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0,0023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49,93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Критерий χ² проверяет гипотезу о равномерности распределения байтов шифртекста. Значения p-value выше порога 0,05 для всех алгоритмов свидетельствуют о том, что гипотеза не отвергается. Тем не менее DES демонстрирует наименьшее значение (0,107) [6].</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Коэффициент корреляции r(X, Y) для всех алгоритмов близок к нулю. Наименьшее значение — у ChaCha20 (0,0008), наибольшее — у DES (0,0089).</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Лавинный эффект: AES-128 и ChaCha20 демонстрируют минимальное отклонение от идеала 50 %, тогда как DES показывает наибольшее отклонение (49,61 %).</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2. Оценка лавинного эффекта алгоритмов шифрования</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Комплексная оценка и рейтинг алгоритмов</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На основании нормализованных показателей сформирована интегральная оценка S (таблица 4).</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4. Итоговый рейтинг алгоритмов по интегральной оценке</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36"/>
      </w:tblGrid>
      <w:tr>
        <w:trPr>
          <w:tblHeader/>
        </w:trP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Место</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s_H</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s_KL</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s_stat</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s_aval</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1,0000</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0,9991</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0,9991</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0,9993</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0,9968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0,9974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0,9983</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0,9912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0,9922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0,9953</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ChaCha20 и AES-128 занимают лидирующие позиции с интегральной оценкой выше 0,999. Blowfish демонстрирует результаты на уровне AES-128 благодаря эффективной архитектуре [7]. ГОСТ 28147-89 на четвёртом месте. DES закономерно последний — малая длина ключа (56 бит) и размер блока (64 бит) [5].</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Различия между алгоритмами находятся в четвёртом–пятом знаке после запятой, что объясняется стандартизированностью всех исследуемых алгоритмов. Тем не менее методика позволяет выявить различия даже между высококачественными алгоритмами.</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3. Радарная диаграмма комплексной оценки</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Заключение</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Проведено экспериментальное исследование криптостойкости шести симметричных алгоритмов шифрования. Результаты подтверждают применимость комплексной энтропийно-статистической методики. ChaCha20 и AES-128 демонстрируют наивысшую криптостойкость. Устаревший DES показывает статистически значимые отклонения [5].</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Предложенная интегральная оценка позволяет формировать обоснованные рекомендации по выбору алгоритмов. Перспективы — расширение методики на асимметричные алгоритмы и хэш-функции, а также учёт производительности.</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Список литературы</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1. Бабенко, Л.К. Современные алгоритмы блочного шифрования и методы их анализа / Л.К. Бабенко, Е.А. Ищукова. — М.: Гелиос АРВ, 2022. — 376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2. Коржик, В.И. Основы криптографии: учебное пособие / В.И. Коржик, В.А. Яковлев. — 4-е изд. — СПб.: ИЦ «Интермедия», 2020. — 312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3. Панасенко, С.П. Алгоритмы шифрования: специальный справочник / С.П. Панасенко. — СПб.: БХВ-Петербург, 2019. — 576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4. Шеннон, К. Теория связи в секретных системах / К. Шеннон // В мире математики. Пер. с англ. — М.: ИЛ, 1963. — С. 333–402.</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5. Бабаш, А.В. Криптографические методы защиты информации в условиях развития квантовых вычислений / А.В. Бабаш, Е.К. Баранова // Вопросы кибербезопасности. — 2021. — № 3(43). — С. 2–12.</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6. NIST SP 800-22 Rev.1a. A Statistical Test Suite for Random and Pseudorandom Number Generators for Cryptographic Applications. — National Institute of Standards and Technology, 2010.</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7. Шнайер, Б. Прикладная криптография: протоколы, алгоритмы и исходные коды на языке Си / Б. Шнайер; пер. с англ. — М.: Вильямс, 2023. — 816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8. ГОСТ Р 34.12-2015. Информационная технология. Криптографическая защита информации. Блочные шифры. — М.: Стандартинформ, 2015.</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9. Молдовян, Н.А. Введение в криптосистемы с открытым ключом / Н.А. Молдовян, А.А. Молдовян. — СПб.: БХВ-Петербург, 2020. — 288 с.</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46be058aa082e261559f63b4c94e77a9c436f5.png"/><Relationship Id="rId8" Type="http://schemas.openxmlformats.org/officeDocument/2006/relationships/image" Target="media/05e7667e4f058518fbebedb59ea6c18d8be4602b.png"/><Relationship Id="rId9" Type="http://schemas.openxmlformats.org/officeDocument/2006/relationships/image" Target="media/8e3cde35662b28402f9606d652274d3fcdc57b3f.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2026-03-31T15:39:46.913Z</dcterms:created>
  <dcterms:modified xsi:type="dcterms:W3CDTF">2026-03-31T15:39:46.913Z</dcterms:modified>
</cp:coreProperties>
</file>

<file path=docProps/custom.xml><?xml version="1.0" encoding="utf-8"?>
<Properties xmlns="http://schemas.openxmlformats.org/officeDocument/2006/custom-properties" xmlns:vt="http://schemas.openxmlformats.org/officeDocument/2006/docPropsVTypes"/>
</file>