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3B198" w14:textId="16DFBE74" w:rsidR="009F028C" w:rsidRPr="00F30D27" w:rsidRDefault="007135F1" w:rsidP="00C040ED">
      <w:pPr>
        <w:rPr>
          <w:rFonts w:ascii="Century Gothic" w:hAnsi="Century Gothic"/>
          <w:b/>
          <w:color w:val="595959" w:themeColor="text1" w:themeTint="A6"/>
          <w:sz w:val="44"/>
          <w:szCs w:val="44"/>
        </w:rPr>
      </w:pPr>
      <w:bookmarkStart w:id="0" w:name="_Toc516132378"/>
      <w:bookmarkStart w:id="1" w:name="_Toc113802786"/>
      <w:r>
        <w:rPr>
          <w:rFonts w:ascii="Century Gothic" w:hAnsi="Century Gothic"/>
          <w:b/>
          <w:color w:val="595959" w:themeColor="text1" w:themeTint="A6"/>
          <w:sz w:val="44"/>
          <w:szCs w:val="44"/>
        </w:rPr>
        <w:t xml:space="preserve">QUALITY ASSURANCE </w:t>
      </w:r>
      <w:r w:rsidR="00BE36BE">
        <w:rPr>
          <w:rFonts w:ascii="Century Gothic" w:hAnsi="Century Gothic"/>
          <w:b/>
          <w:color w:val="595959" w:themeColor="text1" w:themeTint="A6"/>
          <w:sz w:val="44"/>
          <w:szCs w:val="44"/>
        </w:rPr>
        <w:br/>
      </w:r>
      <w:r w:rsidR="00410274">
        <w:rPr>
          <w:rFonts w:ascii="Century Gothic" w:hAnsi="Century Gothic"/>
          <w:b/>
          <w:color w:val="595959" w:themeColor="text1" w:themeTint="A6"/>
          <w:sz w:val="44"/>
          <w:szCs w:val="44"/>
        </w:rPr>
        <w:t>POLICY</w:t>
      </w:r>
      <w:bookmarkEnd w:id="0"/>
      <w:bookmarkEnd w:id="1"/>
    </w:p>
    <w:p w14:paraId="510E0409" w14:textId="77777777" w:rsidR="00C040ED" w:rsidRDefault="00C040ED" w:rsidP="00713011">
      <w:pPr>
        <w:rPr>
          <w:rFonts w:ascii="Century Gothic" w:hAnsi="Century Gothic"/>
          <w:b/>
          <w:color w:val="44546A" w:themeColor="text2"/>
          <w:sz w:val="28"/>
        </w:rPr>
      </w:pPr>
      <w:bookmarkStart w:id="2" w:name="_Toc131584552"/>
      <w:bookmarkStart w:id="3" w:name="_Toc131584626"/>
      <w:bookmarkStart w:id="4" w:name="_Toc131585092"/>
      <w:bookmarkStart w:id="5" w:name="_Toc131585463"/>
      <w:bookmarkStart w:id="6" w:name="_Toc131587766"/>
      <w:bookmarkStart w:id="7" w:name="_Toc131588156"/>
      <w:bookmarkStart w:id="8" w:name="_Toc183409696"/>
    </w:p>
    <w:p w14:paraId="742071ED" w14:textId="2ED5AD3D" w:rsidR="00491059" w:rsidRPr="00410274" w:rsidRDefault="00410274" w:rsidP="00C040ED">
      <w:pPr>
        <w:pStyle w:val="Heading1"/>
        <w:rPr>
          <w:b w:val="0"/>
          <w:bCs/>
          <w:color w:val="2F5496" w:themeColor="accent1" w:themeShade="BF"/>
        </w:rPr>
      </w:pPr>
      <w:bookmarkStart w:id="9" w:name="_Toc354384073"/>
      <w:bookmarkStart w:id="10" w:name="_Toc510967335"/>
      <w:bookmarkEnd w:id="2"/>
      <w:bookmarkEnd w:id="3"/>
      <w:bookmarkEnd w:id="4"/>
      <w:bookmarkEnd w:id="5"/>
      <w:bookmarkEnd w:id="6"/>
      <w:bookmarkEnd w:id="7"/>
      <w:bookmarkEnd w:id="8"/>
      <w:r w:rsidRPr="00410274">
        <w:rPr>
          <w:b w:val="0"/>
          <w:bCs/>
          <w:color w:val="2F5496" w:themeColor="accent1" w:themeShade="BF"/>
        </w:rPr>
        <w:t>STATEMENT OF INTENT</w:t>
      </w:r>
    </w:p>
    <w:tbl>
      <w:tblPr>
        <w:tblStyle w:val="TableGrid"/>
        <w:tblW w:w="10800" w:type="dxa"/>
        <w:tblBorders>
          <w:top w:val="single" w:sz="12" w:space="0" w:color="8496B0" w:themeColor="text2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491059" w:rsidRPr="00410274" w14:paraId="46742CC0" w14:textId="77777777" w:rsidTr="00410274">
        <w:trPr>
          <w:trHeight w:val="1187"/>
        </w:trPr>
        <w:tc>
          <w:tcPr>
            <w:tcW w:w="10800" w:type="dxa"/>
          </w:tcPr>
          <w:p w14:paraId="1BBF74D4" w14:textId="77777777" w:rsidR="00491059" w:rsidRPr="00410274" w:rsidRDefault="00491059" w:rsidP="00F63F7D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1AF1B9DE" w14:textId="42646D0F" w:rsidR="00491059" w:rsidRPr="00410274" w:rsidRDefault="006270AA" w:rsidP="00F63F7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This document servs to outline the obligatory procedures to be followed when committing work to the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riipen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/unified-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lms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repository. The intent is to deliver an open-source Ruby client to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Riipen</w:t>
            </w:r>
            <w:proofErr w:type="spellEnd"/>
            <w:r w:rsidR="0009254A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1B0A94">
              <w:rPr>
                <w:rFonts w:ascii="Century Gothic" w:hAnsi="Century Gothic"/>
                <w:sz w:val="20"/>
                <w:szCs w:val="20"/>
              </w:rPr>
              <w:t>that can be extrapolated upon by different development teams in the future. The work done will be the baseline for a tool that can be developed further in the future.</w:t>
            </w:r>
          </w:p>
        </w:tc>
      </w:tr>
    </w:tbl>
    <w:p w14:paraId="0FDC898C" w14:textId="77777777" w:rsidR="00121D51" w:rsidRPr="00491059" w:rsidRDefault="00121D51" w:rsidP="001962A6">
      <w:pPr>
        <w:pStyle w:val="Heading1"/>
        <w:rPr>
          <w:color w:val="44546A" w:themeColor="text2"/>
        </w:rPr>
      </w:pPr>
    </w:p>
    <w:p w14:paraId="76BF474C" w14:textId="000E9944" w:rsidR="001962A6" w:rsidRDefault="001962A6" w:rsidP="001962A6">
      <w:pPr>
        <w:pStyle w:val="Heading2"/>
        <w:spacing w:line="276" w:lineRule="auto"/>
        <w:jc w:val="left"/>
        <w:rPr>
          <w:rFonts w:ascii="Century Gothic" w:hAnsi="Century Gothic"/>
          <w:sz w:val="18"/>
          <w:szCs w:val="18"/>
        </w:rPr>
      </w:pPr>
      <w:bookmarkStart w:id="11" w:name="_Toc354384016"/>
      <w:bookmarkStart w:id="12" w:name="_Toc354384077"/>
      <w:bookmarkStart w:id="13" w:name="_Toc510967336"/>
      <w:bookmarkEnd w:id="9"/>
      <w:bookmarkEnd w:id="10"/>
    </w:p>
    <w:p w14:paraId="50519AC6" w14:textId="0E352D2D" w:rsidR="00384B13" w:rsidRPr="00410274" w:rsidRDefault="00410274" w:rsidP="00C040ED">
      <w:pPr>
        <w:pStyle w:val="Heading1"/>
        <w:rPr>
          <w:b w:val="0"/>
          <w:bCs/>
          <w:color w:val="2F5496" w:themeColor="accent1" w:themeShade="BF"/>
        </w:rPr>
      </w:pPr>
      <w:r w:rsidRPr="00410274">
        <w:rPr>
          <w:b w:val="0"/>
          <w:bCs/>
          <w:color w:val="2F5496" w:themeColor="accent1" w:themeShade="BF"/>
        </w:rPr>
        <w:t>policy aims</w:t>
      </w:r>
    </w:p>
    <w:tbl>
      <w:tblPr>
        <w:tblStyle w:val="TableGrid"/>
        <w:tblW w:w="10800" w:type="dxa"/>
        <w:tblBorders>
          <w:top w:val="single" w:sz="12" w:space="0" w:color="8496B0" w:themeColor="text2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384B13" w:rsidRPr="00410274" w14:paraId="75BDEA71" w14:textId="77777777" w:rsidTr="00410274">
        <w:trPr>
          <w:trHeight w:val="1124"/>
        </w:trPr>
        <w:tc>
          <w:tcPr>
            <w:tcW w:w="10800" w:type="dxa"/>
          </w:tcPr>
          <w:p w14:paraId="65AB7CA3" w14:textId="338BCC86" w:rsidR="00384B13" w:rsidRDefault="0009254A" w:rsidP="0009254A">
            <w:pPr>
              <w:pStyle w:val="ListParagraph"/>
              <w:numPr>
                <w:ilvl w:val="0"/>
                <w:numId w:val="1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Keep branch nomenclature clear and consistent.</w:t>
            </w:r>
          </w:p>
          <w:p w14:paraId="7AF623BE" w14:textId="7D68399E" w:rsidR="0009254A" w:rsidRDefault="0009254A" w:rsidP="0009254A">
            <w:pPr>
              <w:pStyle w:val="ListParagraph"/>
              <w:numPr>
                <w:ilvl w:val="0"/>
                <w:numId w:val="1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Implement a standardized commit process.</w:t>
            </w:r>
          </w:p>
          <w:p w14:paraId="0C22D5A5" w14:textId="7E8709A1" w:rsidR="0009254A" w:rsidRDefault="0009254A" w:rsidP="0009254A">
            <w:pPr>
              <w:pStyle w:val="ListParagraph"/>
              <w:numPr>
                <w:ilvl w:val="0"/>
                <w:numId w:val="1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Implement a standardized review process.</w:t>
            </w:r>
          </w:p>
          <w:p w14:paraId="32FF4111" w14:textId="15320713" w:rsidR="0009254A" w:rsidRDefault="0009254A" w:rsidP="0009254A">
            <w:pPr>
              <w:pStyle w:val="ListParagraph"/>
              <w:numPr>
                <w:ilvl w:val="0"/>
                <w:numId w:val="1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Establish open communication between the development team and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Riipen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0D76F955" w14:textId="0F048F5E" w:rsidR="0009254A" w:rsidRDefault="0009254A" w:rsidP="0009254A">
            <w:pPr>
              <w:pStyle w:val="ListParagraph"/>
              <w:numPr>
                <w:ilvl w:val="0"/>
                <w:numId w:val="1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Implement a standard</w:t>
            </w:r>
            <w:r w:rsidR="00A45124">
              <w:rPr>
                <w:rFonts w:ascii="Century Gothic" w:hAnsi="Century Gothic"/>
                <w:sz w:val="20"/>
                <w:szCs w:val="20"/>
              </w:rPr>
              <w:t>ized nomenclature for file names.</w:t>
            </w:r>
          </w:p>
          <w:p w14:paraId="48D1414B" w14:textId="024DD0F3" w:rsidR="00A45124" w:rsidRPr="0009254A" w:rsidRDefault="00A45124" w:rsidP="0009254A">
            <w:pPr>
              <w:pStyle w:val="ListParagraph"/>
              <w:numPr>
                <w:ilvl w:val="0"/>
                <w:numId w:val="18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Establish unified code formatting for the code base.</w:t>
            </w:r>
          </w:p>
          <w:p w14:paraId="7ED969D4" w14:textId="77777777" w:rsidR="00384B13" w:rsidRPr="00410274" w:rsidRDefault="00384B13" w:rsidP="00C3549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F17CD01" w14:textId="44B39558" w:rsidR="00384B13" w:rsidRPr="00410274" w:rsidRDefault="00410274" w:rsidP="00C040ED">
      <w:pPr>
        <w:pStyle w:val="Heading1"/>
        <w:rPr>
          <w:b w:val="0"/>
          <w:bCs/>
          <w:color w:val="2F5496" w:themeColor="accent1" w:themeShade="BF"/>
        </w:rPr>
      </w:pPr>
      <w:bookmarkStart w:id="14" w:name="_Toc354384082"/>
      <w:bookmarkEnd w:id="11"/>
      <w:bookmarkEnd w:id="12"/>
      <w:bookmarkEnd w:id="13"/>
      <w:r w:rsidRPr="00410274">
        <w:rPr>
          <w:b w:val="0"/>
          <w:bCs/>
          <w:color w:val="2F5496" w:themeColor="accent1" w:themeShade="BF"/>
        </w:rPr>
        <w:t>strategies/actions to reach goals</w:t>
      </w:r>
    </w:p>
    <w:tbl>
      <w:tblPr>
        <w:tblStyle w:val="TableGrid"/>
        <w:tblW w:w="10800" w:type="dxa"/>
        <w:tblBorders>
          <w:top w:val="single" w:sz="12" w:space="0" w:color="8496B0" w:themeColor="text2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7"/>
        <w:gridCol w:w="5133"/>
      </w:tblGrid>
      <w:tr w:rsidR="001B0A94" w:rsidRPr="00410274" w14:paraId="33CE69D4" w14:textId="03E9BAEC" w:rsidTr="001B0A94">
        <w:trPr>
          <w:trHeight w:val="944"/>
        </w:trPr>
        <w:tc>
          <w:tcPr>
            <w:tcW w:w="5667" w:type="dxa"/>
          </w:tcPr>
          <w:p w14:paraId="2F2079CE" w14:textId="77777777" w:rsidR="001B0A94" w:rsidRPr="00410274" w:rsidRDefault="001B0A94" w:rsidP="00C35492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600B4DAF" w14:textId="15705CFA" w:rsidR="001B0A94" w:rsidRPr="00410274" w:rsidRDefault="001B0A94" w:rsidP="00C35492">
            <w:pPr>
              <w:rPr>
                <w:rFonts w:ascii="Century Gothic" w:hAnsi="Century Gothic"/>
                <w:sz w:val="20"/>
                <w:szCs w:val="20"/>
              </w:rPr>
            </w:pPr>
            <w:r w:rsidRPr="00410274">
              <w:rPr>
                <w:rFonts w:ascii="Century Gothic" w:hAnsi="Century Gothic"/>
                <w:sz w:val="20"/>
                <w:szCs w:val="20"/>
              </w:rPr>
              <w:t xml:space="preserve">•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Adhere to </w:t>
            </w:r>
            <w:proofErr w:type="gramStart"/>
            <w:r>
              <w:rPr>
                <w:rFonts w:ascii="Century Gothic" w:hAnsi="Century Gothic"/>
                <w:sz w:val="20"/>
                <w:szCs w:val="20"/>
              </w:rPr>
              <w:t>the  branching</w:t>
            </w:r>
            <w:proofErr w:type="gramEnd"/>
            <w:r>
              <w:rPr>
                <w:rFonts w:ascii="Century Gothic" w:hAnsi="Century Gothic"/>
                <w:sz w:val="20"/>
                <w:szCs w:val="20"/>
              </w:rPr>
              <w:t xml:space="preserve"> policy listed in section 1.0.</w:t>
            </w:r>
          </w:p>
          <w:p w14:paraId="7AC58BB4" w14:textId="3C89CAEA" w:rsidR="001B0A94" w:rsidRPr="00410274" w:rsidRDefault="001B0A94" w:rsidP="00C35492">
            <w:pPr>
              <w:rPr>
                <w:rFonts w:ascii="Century Gothic" w:hAnsi="Century Gothic"/>
                <w:sz w:val="20"/>
                <w:szCs w:val="20"/>
              </w:rPr>
            </w:pPr>
            <w:r w:rsidRPr="00410274">
              <w:rPr>
                <w:rFonts w:ascii="Century Gothic" w:hAnsi="Century Gothic"/>
                <w:sz w:val="20"/>
                <w:szCs w:val="20"/>
              </w:rPr>
              <w:t xml:space="preserve">• </w:t>
            </w:r>
            <w:r w:rsidR="002F7B60">
              <w:rPr>
                <w:rFonts w:ascii="Century Gothic" w:hAnsi="Century Gothic"/>
                <w:sz w:val="20"/>
                <w:szCs w:val="20"/>
              </w:rPr>
              <w:t>Adhere to the commit policy listed in section 2.0.</w:t>
            </w:r>
          </w:p>
          <w:p w14:paraId="73E79F6D" w14:textId="05269D11" w:rsidR="00E3084C" w:rsidRDefault="001B0A94" w:rsidP="00E3084C">
            <w:pPr>
              <w:rPr>
                <w:rFonts w:ascii="Century Gothic" w:hAnsi="Century Gothic"/>
                <w:sz w:val="20"/>
                <w:szCs w:val="20"/>
              </w:rPr>
            </w:pPr>
            <w:r w:rsidRPr="00410274">
              <w:rPr>
                <w:rFonts w:ascii="Century Gothic" w:hAnsi="Century Gothic"/>
                <w:sz w:val="20"/>
                <w:szCs w:val="20"/>
              </w:rPr>
              <w:t xml:space="preserve">• </w:t>
            </w:r>
            <w:r w:rsidR="00B56701">
              <w:rPr>
                <w:rFonts w:ascii="Century Gothic" w:hAnsi="Century Gothic"/>
                <w:sz w:val="20"/>
                <w:szCs w:val="20"/>
              </w:rPr>
              <w:t>Adhere to the naming policy listed in section 3.0</w:t>
            </w:r>
            <w:r w:rsidR="00E3084C"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6407778B" w14:textId="42EB35E8" w:rsidR="00E3084C" w:rsidRDefault="00E3084C" w:rsidP="00E3084C">
            <w:pPr>
              <w:rPr>
                <w:rFonts w:ascii="Century Gothic" w:hAnsi="Century Gothic"/>
                <w:sz w:val="20"/>
                <w:szCs w:val="20"/>
              </w:rPr>
            </w:pPr>
            <w:r w:rsidRPr="00410274">
              <w:rPr>
                <w:rFonts w:ascii="Century Gothic" w:hAnsi="Century Gothic"/>
                <w:sz w:val="20"/>
                <w:szCs w:val="20"/>
              </w:rPr>
              <w:t xml:space="preserve">•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Adhere to the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review policy listed in section </w:t>
            </w:r>
            <w:r w:rsidR="00951190">
              <w:rPr>
                <w:rFonts w:ascii="Century Gothic" w:hAnsi="Century Gothic"/>
                <w:sz w:val="20"/>
                <w:szCs w:val="20"/>
              </w:rPr>
              <w:t>4.0</w:t>
            </w:r>
            <w:r w:rsidR="00382634"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193557DC" w14:textId="647E5EC0" w:rsidR="00EB612B" w:rsidRPr="00E3084C" w:rsidRDefault="00EB612B" w:rsidP="00E3084C">
            <w:pPr>
              <w:rPr>
                <w:rFonts w:ascii="Century Gothic" w:hAnsi="Century Gothic"/>
                <w:sz w:val="20"/>
                <w:szCs w:val="20"/>
              </w:rPr>
            </w:pPr>
            <w:r w:rsidRPr="00410274">
              <w:rPr>
                <w:rFonts w:ascii="Century Gothic" w:hAnsi="Century Gothic"/>
                <w:sz w:val="20"/>
                <w:szCs w:val="20"/>
              </w:rPr>
              <w:t xml:space="preserve">•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Adhere to the </w:t>
            </w:r>
            <w:r>
              <w:rPr>
                <w:rFonts w:ascii="Century Gothic" w:hAnsi="Century Gothic"/>
                <w:sz w:val="20"/>
                <w:szCs w:val="20"/>
              </w:rPr>
              <w:t>code format policy listed in section 5.0.</w:t>
            </w:r>
          </w:p>
          <w:p w14:paraId="592A4D84" w14:textId="60543D92" w:rsidR="001B0A94" w:rsidRDefault="001B0A94" w:rsidP="001B0A94">
            <w:pPr>
              <w:pStyle w:val="TOCHeading"/>
            </w:pPr>
          </w:p>
          <w:p w14:paraId="0BED9088" w14:textId="28B26A1E" w:rsidR="001B0A94" w:rsidRPr="00410274" w:rsidRDefault="001B0A94" w:rsidP="00C35492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5133" w:type="dxa"/>
          </w:tcPr>
          <w:p w14:paraId="38B4B21F" w14:textId="77777777" w:rsidR="001B0A94" w:rsidRPr="00410274" w:rsidRDefault="001B0A94" w:rsidP="00C35492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7824553D" w14:textId="4B735CFD" w:rsidR="00A5405A" w:rsidRPr="00410274" w:rsidRDefault="00A5405A" w:rsidP="00A5405A">
      <w:pPr>
        <w:pStyle w:val="Heading1"/>
        <w:rPr>
          <w:b w:val="0"/>
          <w:bCs/>
          <w:color w:val="2F5496" w:themeColor="accent1" w:themeShade="BF"/>
        </w:rPr>
      </w:pPr>
      <w:r>
        <w:rPr>
          <w:b w:val="0"/>
          <w:bCs/>
          <w:color w:val="2F5496" w:themeColor="accent1" w:themeShade="BF"/>
        </w:rPr>
        <w:t>1.0 Branching policy</w:t>
      </w:r>
    </w:p>
    <w:p w14:paraId="457C1D6D" w14:textId="4581C759" w:rsidR="00EB612B" w:rsidRDefault="00EB612B"/>
    <w:tbl>
      <w:tblPr>
        <w:tblStyle w:val="TableGrid"/>
        <w:tblW w:w="10800" w:type="dxa"/>
        <w:tblBorders>
          <w:top w:val="single" w:sz="12" w:space="0" w:color="8496B0" w:themeColor="text2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4"/>
        <w:gridCol w:w="236"/>
      </w:tblGrid>
      <w:tr w:rsidR="00A5405A" w:rsidRPr="00410274" w14:paraId="7ECDEED8" w14:textId="77777777" w:rsidTr="00EB612B">
        <w:trPr>
          <w:trHeight w:val="944"/>
        </w:trPr>
        <w:tc>
          <w:tcPr>
            <w:tcW w:w="10578" w:type="dxa"/>
          </w:tcPr>
          <w:p w14:paraId="24E701FF" w14:textId="01200C14" w:rsidR="00A5405A" w:rsidRPr="00410274" w:rsidRDefault="00A5405A" w:rsidP="007B75B4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A6768B8" w14:textId="3493511A" w:rsidR="00A5405A" w:rsidRDefault="00A5405A" w:rsidP="00A5405A">
            <w:pPr>
              <w:pStyle w:val="Guideline"/>
              <w:numPr>
                <w:ilvl w:val="1"/>
                <w:numId w:val="20"/>
              </w:numPr>
            </w:pPr>
            <w:r>
              <w:t>Branch structure</w:t>
            </w:r>
          </w:p>
          <w:p w14:paraId="1A3973C3" w14:textId="168BCE8E" w:rsidR="0088541D" w:rsidRPr="009A61FD" w:rsidRDefault="00A5405A" w:rsidP="009A61FD">
            <w:pPr>
              <w:pStyle w:val="Guideline"/>
              <w:numPr>
                <w:ilvl w:val="1"/>
                <w:numId w:val="20"/>
              </w:numPr>
            </w:pPr>
            <w:r>
              <w:t>Creating a branch for a new user story</w:t>
            </w:r>
          </w:p>
          <w:p w14:paraId="23226A38" w14:textId="1C23C9F0" w:rsidR="009A61FD" w:rsidRPr="0088541D" w:rsidRDefault="009A61FD" w:rsidP="0088541D">
            <w:pPr>
              <w:pStyle w:val="Guideline"/>
              <w:numPr>
                <w:ilvl w:val="0"/>
                <w:numId w:val="26"/>
              </w:numPr>
            </w:pPr>
            <w:r>
              <w:t>When creating a branch for a new User Story the branch must originate from the Dev branch in the repository.</w:t>
            </w:r>
          </w:p>
          <w:p w14:paraId="3FA0309F" w14:textId="21B609F4" w:rsidR="0088541D" w:rsidRPr="0088541D" w:rsidRDefault="0088541D" w:rsidP="0088541D">
            <w:pPr>
              <w:pStyle w:val="Guideline"/>
              <w:numPr>
                <w:ilvl w:val="0"/>
                <w:numId w:val="26"/>
              </w:numPr>
            </w:pPr>
            <w:r>
              <w:t>The branch must be named as follows: US#&lt;user story number&gt;</w:t>
            </w:r>
          </w:p>
          <w:p w14:paraId="09184300" w14:textId="49C0F58A" w:rsidR="00A5405A" w:rsidRDefault="00A5405A" w:rsidP="00A5405A">
            <w:pPr>
              <w:pStyle w:val="Guideline"/>
              <w:numPr>
                <w:ilvl w:val="1"/>
                <w:numId w:val="20"/>
              </w:numPr>
            </w:pPr>
            <w:r>
              <w:t>Creating a branch for a new task</w:t>
            </w:r>
          </w:p>
          <w:p w14:paraId="64F95802" w14:textId="6AF03794" w:rsidR="0088541D" w:rsidRDefault="0088541D" w:rsidP="0088541D">
            <w:pPr>
              <w:pStyle w:val="Guideline"/>
              <w:numPr>
                <w:ilvl w:val="0"/>
                <w:numId w:val="27"/>
              </w:numPr>
            </w:pPr>
            <w:r>
              <w:lastRenderedPageBreak/>
              <w:t>When creating a new branch for a new task, the branch must originate from the User Story branch that the task belongs to</w:t>
            </w:r>
          </w:p>
          <w:p w14:paraId="05903E6E" w14:textId="2F20F936" w:rsidR="0088541D" w:rsidRDefault="0088541D" w:rsidP="0088541D">
            <w:pPr>
              <w:pStyle w:val="Guideline"/>
              <w:numPr>
                <w:ilvl w:val="0"/>
                <w:numId w:val="27"/>
              </w:numPr>
            </w:pPr>
            <w:r>
              <w:t xml:space="preserve">The branch must be named as follows: Task#&lt;number of </w:t>
            </w:r>
            <w:proofErr w:type="gramStart"/>
            <w:r>
              <w:t>task</w:t>
            </w:r>
            <w:proofErr w:type="gramEnd"/>
            <w:r>
              <w:t>&gt;_&lt;name of task&gt;</w:t>
            </w:r>
          </w:p>
          <w:p w14:paraId="17F3F3D5" w14:textId="4237E838" w:rsidR="00A5405A" w:rsidRDefault="00A5405A" w:rsidP="00A5405A">
            <w:pPr>
              <w:pStyle w:val="Guideline"/>
              <w:numPr>
                <w:ilvl w:val="1"/>
                <w:numId w:val="20"/>
              </w:numPr>
            </w:pPr>
            <w:r>
              <w:t>Resolving review findings</w:t>
            </w:r>
          </w:p>
          <w:p w14:paraId="2933567A" w14:textId="5334D154" w:rsidR="0088541D" w:rsidRDefault="0088541D" w:rsidP="0088541D">
            <w:pPr>
              <w:pStyle w:val="Guideline"/>
              <w:numPr>
                <w:ilvl w:val="0"/>
                <w:numId w:val="28"/>
              </w:numPr>
            </w:pPr>
            <w:r>
              <w:t xml:space="preserve">Review findings must be resolved in the task branch they originated from </w:t>
            </w:r>
          </w:p>
          <w:p w14:paraId="21D78432" w14:textId="092163C3" w:rsidR="0088541D" w:rsidRDefault="0088541D" w:rsidP="00A5405A">
            <w:pPr>
              <w:pStyle w:val="Guideline"/>
              <w:numPr>
                <w:ilvl w:val="1"/>
                <w:numId w:val="20"/>
              </w:numPr>
            </w:pPr>
            <w:r>
              <w:t>Merging branches</w:t>
            </w:r>
          </w:p>
          <w:p w14:paraId="13AF569A" w14:textId="49B47098" w:rsidR="009A61FD" w:rsidRDefault="009A61FD" w:rsidP="009A61FD">
            <w:pPr>
              <w:pStyle w:val="Guideline"/>
              <w:numPr>
                <w:ilvl w:val="0"/>
                <w:numId w:val="28"/>
              </w:numPr>
            </w:pPr>
            <w:r>
              <w:t>Every merge into a parent branch should be a fast-forward</w:t>
            </w:r>
            <w:r w:rsidR="00B56701">
              <w:t>.</w:t>
            </w:r>
          </w:p>
          <w:p w14:paraId="055E566A" w14:textId="123FE528" w:rsidR="009A61FD" w:rsidRDefault="009A61FD" w:rsidP="009A61FD">
            <w:pPr>
              <w:pStyle w:val="Guideline"/>
              <w:numPr>
                <w:ilvl w:val="0"/>
                <w:numId w:val="28"/>
              </w:numPr>
            </w:pPr>
            <w:r>
              <w:t>First merge the parent branch into the child branch and resolve any conflicts.</w:t>
            </w:r>
          </w:p>
          <w:p w14:paraId="5BD1D1E3" w14:textId="5D0A6CE1" w:rsidR="009A61FD" w:rsidRDefault="009A61FD" w:rsidP="009A61FD">
            <w:pPr>
              <w:pStyle w:val="Guideline"/>
              <w:numPr>
                <w:ilvl w:val="0"/>
                <w:numId w:val="28"/>
              </w:numPr>
            </w:pPr>
            <w:r>
              <w:t>The child branch can then be merged into the parent branch.</w:t>
            </w:r>
          </w:p>
          <w:p w14:paraId="7F603FAE" w14:textId="61A65A26" w:rsidR="000C4644" w:rsidRDefault="000C4644" w:rsidP="009A61FD">
            <w:pPr>
              <w:pStyle w:val="Guideline"/>
              <w:numPr>
                <w:ilvl w:val="0"/>
                <w:numId w:val="28"/>
              </w:numPr>
            </w:pPr>
            <w:r>
              <w:t>Reviews</w:t>
            </w:r>
            <w:r w:rsidR="002F7B60">
              <w:t>/PR’s</w:t>
            </w:r>
            <w:r>
              <w:t xml:space="preserve"> are required for</w:t>
            </w:r>
            <w:r w:rsidR="002F7B60">
              <w:t xml:space="preserve"> merges into the Dev and Master branch.</w:t>
            </w:r>
            <w:r>
              <w:t xml:space="preserve"> </w:t>
            </w:r>
          </w:p>
          <w:p w14:paraId="1D1A5197" w14:textId="530005CC" w:rsidR="00951190" w:rsidRDefault="00951190" w:rsidP="009A61FD">
            <w:pPr>
              <w:pStyle w:val="Guideline"/>
              <w:numPr>
                <w:ilvl w:val="0"/>
                <w:numId w:val="28"/>
              </w:numPr>
            </w:pPr>
            <w:r>
              <w:t xml:space="preserve">When </w:t>
            </w:r>
            <w:r w:rsidR="00B551D5">
              <w:t>A User Story is approved and merged into the dev branch</w:t>
            </w:r>
            <w:r w:rsidR="00382634">
              <w:t xml:space="preserve"> the User Story branches and task branches will be deleted. (Any issues found in the future will require opening a new task).</w:t>
            </w:r>
          </w:p>
          <w:p w14:paraId="70739B18" w14:textId="77777777" w:rsidR="00B56701" w:rsidRDefault="00B56701" w:rsidP="00B56701">
            <w:pPr>
              <w:pStyle w:val="Guideline"/>
            </w:pPr>
          </w:p>
          <w:p w14:paraId="1CBA0586" w14:textId="680E4C12" w:rsidR="00B56701" w:rsidRPr="00410274" w:rsidRDefault="00B56701" w:rsidP="00B56701">
            <w:pPr>
              <w:pStyle w:val="Heading1"/>
              <w:rPr>
                <w:b w:val="0"/>
                <w:bCs/>
                <w:color w:val="2F5496" w:themeColor="accent1" w:themeShade="BF"/>
              </w:rPr>
            </w:pPr>
            <w:r>
              <w:rPr>
                <w:b w:val="0"/>
                <w:bCs/>
                <w:color w:val="2F5496" w:themeColor="accent1" w:themeShade="BF"/>
              </w:rPr>
              <w:t>2.0 Commit policy</w:t>
            </w:r>
          </w:p>
          <w:tbl>
            <w:tblPr>
              <w:tblStyle w:val="TableGrid"/>
              <w:tblW w:w="10800" w:type="dxa"/>
              <w:tblBorders>
                <w:top w:val="single" w:sz="12" w:space="0" w:color="8496B0" w:themeColor="text2" w:themeTint="99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30"/>
              <w:gridCol w:w="270"/>
            </w:tblGrid>
            <w:tr w:rsidR="00B56701" w:rsidRPr="00410274" w14:paraId="526CAFD4" w14:textId="77777777" w:rsidTr="00EB612B">
              <w:trPr>
                <w:trHeight w:val="944"/>
              </w:trPr>
              <w:tc>
                <w:tcPr>
                  <w:tcW w:w="10530" w:type="dxa"/>
                </w:tcPr>
                <w:p w14:paraId="5E300861" w14:textId="1FE2EEC1" w:rsidR="00B56701" w:rsidRDefault="00E3084C" w:rsidP="00B56701">
                  <w:pPr>
                    <w:pStyle w:val="Guideline"/>
                    <w:numPr>
                      <w:ilvl w:val="0"/>
                      <w:numId w:val="29"/>
                    </w:numPr>
                  </w:pPr>
                  <w:r>
                    <w:t xml:space="preserve">When committing </w:t>
                  </w:r>
                  <w:proofErr w:type="gramStart"/>
                  <w:r>
                    <w:t>changes</w:t>
                  </w:r>
                  <w:proofErr w:type="gramEnd"/>
                  <w:r>
                    <w:t xml:space="preserve"> a commit message must be made including the User Story number and Task number along with a description of the change made.</w:t>
                  </w:r>
                </w:p>
                <w:p w14:paraId="73BE574A" w14:textId="77777777" w:rsidR="00B56701" w:rsidRPr="00410274" w:rsidRDefault="00B56701" w:rsidP="00B56701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270" w:type="dxa"/>
                </w:tcPr>
                <w:p w14:paraId="68279ADB" w14:textId="77777777" w:rsidR="00B56701" w:rsidRPr="00410274" w:rsidRDefault="00B56701" w:rsidP="00B56701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</w:tbl>
          <w:p w14:paraId="0329B0DD" w14:textId="5FA0FD80" w:rsidR="00B56701" w:rsidRPr="00410274" w:rsidRDefault="00B56701" w:rsidP="00B56701">
            <w:pPr>
              <w:pStyle w:val="Heading1"/>
              <w:rPr>
                <w:b w:val="0"/>
                <w:bCs/>
                <w:color w:val="2F5496" w:themeColor="accent1" w:themeShade="BF"/>
              </w:rPr>
            </w:pPr>
            <w:r>
              <w:rPr>
                <w:b w:val="0"/>
                <w:bCs/>
                <w:color w:val="2F5496" w:themeColor="accent1" w:themeShade="BF"/>
              </w:rPr>
              <w:t>3</w:t>
            </w:r>
            <w:r>
              <w:rPr>
                <w:b w:val="0"/>
                <w:bCs/>
                <w:color w:val="2F5496" w:themeColor="accent1" w:themeShade="BF"/>
              </w:rPr>
              <w:t xml:space="preserve">.0 </w:t>
            </w:r>
            <w:r>
              <w:rPr>
                <w:b w:val="0"/>
                <w:bCs/>
                <w:color w:val="2F5496" w:themeColor="accent1" w:themeShade="BF"/>
              </w:rPr>
              <w:t>naming policy</w:t>
            </w:r>
          </w:p>
          <w:tbl>
            <w:tblPr>
              <w:tblStyle w:val="TableGrid"/>
              <w:tblW w:w="10800" w:type="dxa"/>
              <w:tblBorders>
                <w:top w:val="single" w:sz="12" w:space="0" w:color="8496B0" w:themeColor="text2" w:themeTint="99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30"/>
              <w:gridCol w:w="270"/>
            </w:tblGrid>
            <w:tr w:rsidR="00B56701" w:rsidRPr="00410274" w14:paraId="04341C40" w14:textId="77777777" w:rsidTr="00EB612B">
              <w:trPr>
                <w:trHeight w:val="944"/>
              </w:trPr>
              <w:tc>
                <w:tcPr>
                  <w:tcW w:w="10530" w:type="dxa"/>
                </w:tcPr>
                <w:p w14:paraId="7172B8C4" w14:textId="78C8AB43" w:rsidR="00B56701" w:rsidRDefault="00B56701" w:rsidP="00B56701">
                  <w:pPr>
                    <w:pStyle w:val="Guideline"/>
                    <w:numPr>
                      <w:ilvl w:val="0"/>
                      <w:numId w:val="29"/>
                    </w:numPr>
                  </w:pPr>
                  <w:r>
                    <w:t>Filenames must be written in snake case</w:t>
                  </w:r>
                  <w:r w:rsidR="00E3084C">
                    <w:t>.</w:t>
                  </w:r>
                </w:p>
                <w:p w14:paraId="7E41A917" w14:textId="455F10E4" w:rsidR="00B56701" w:rsidRDefault="00B56701" w:rsidP="00B56701">
                  <w:pPr>
                    <w:pStyle w:val="Guideline"/>
                    <w:numPr>
                      <w:ilvl w:val="0"/>
                      <w:numId w:val="29"/>
                    </w:numPr>
                  </w:pPr>
                  <w:r>
                    <w:t>Class names must be written camel case</w:t>
                  </w:r>
                  <w:r w:rsidR="00E3084C">
                    <w:t>.</w:t>
                  </w:r>
                </w:p>
                <w:p w14:paraId="33DD2944" w14:textId="77777777" w:rsidR="00B56701" w:rsidRDefault="00B56701" w:rsidP="00B56701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14:paraId="76144B96" w14:textId="77777777" w:rsidR="00EB612B" w:rsidRDefault="00EB612B" w:rsidP="00B56701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14:paraId="5FC866C1" w14:textId="77777777" w:rsidR="00EB612B" w:rsidRDefault="00EB612B" w:rsidP="00B56701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14:paraId="705011A5" w14:textId="77777777" w:rsidR="00EB612B" w:rsidRDefault="00EB612B" w:rsidP="00B56701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14:paraId="07F3547A" w14:textId="77777777" w:rsidR="00EB612B" w:rsidRDefault="00EB612B" w:rsidP="00B56701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14:paraId="1CCB31C7" w14:textId="77777777" w:rsidR="00EB612B" w:rsidRDefault="00EB612B" w:rsidP="00B56701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14:paraId="77C07959" w14:textId="77777777" w:rsidR="00EB612B" w:rsidRDefault="00EB612B" w:rsidP="00B56701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14:paraId="3FABDDF7" w14:textId="77777777" w:rsidR="00EB612B" w:rsidRDefault="00EB612B" w:rsidP="00B56701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14:paraId="286F0676" w14:textId="77777777" w:rsidR="00EB612B" w:rsidRDefault="00EB612B" w:rsidP="00B56701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14:paraId="2954A59D" w14:textId="77777777" w:rsidR="00EB612B" w:rsidRDefault="00EB612B" w:rsidP="00B56701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14:paraId="69E8F02D" w14:textId="77777777" w:rsidR="00EB612B" w:rsidRDefault="00EB612B" w:rsidP="00B56701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14:paraId="0B6384C7" w14:textId="77777777" w:rsidR="00EB612B" w:rsidRDefault="00EB612B" w:rsidP="00B56701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14:paraId="2D5BFE7A" w14:textId="77777777" w:rsidR="00EB612B" w:rsidRDefault="00EB612B" w:rsidP="00B56701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  <w:p w14:paraId="59273708" w14:textId="77777777" w:rsidR="00EB612B" w:rsidRPr="00410274" w:rsidRDefault="00EB612B" w:rsidP="00B56701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270" w:type="dxa"/>
                </w:tcPr>
                <w:p w14:paraId="50771A2D" w14:textId="77777777" w:rsidR="00B56701" w:rsidRPr="00410274" w:rsidRDefault="00B56701" w:rsidP="00B56701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</w:tbl>
          <w:p w14:paraId="43C9AB91" w14:textId="2090CC6E" w:rsidR="00382634" w:rsidRPr="00410274" w:rsidRDefault="00382634" w:rsidP="00382634">
            <w:pPr>
              <w:pStyle w:val="Heading1"/>
              <w:rPr>
                <w:b w:val="0"/>
                <w:bCs/>
                <w:color w:val="2F5496" w:themeColor="accent1" w:themeShade="BF"/>
              </w:rPr>
            </w:pPr>
            <w:r>
              <w:rPr>
                <w:b w:val="0"/>
                <w:bCs/>
                <w:color w:val="2F5496" w:themeColor="accent1" w:themeShade="BF"/>
              </w:rPr>
              <w:lastRenderedPageBreak/>
              <w:t>4</w:t>
            </w:r>
            <w:r>
              <w:rPr>
                <w:b w:val="0"/>
                <w:bCs/>
                <w:color w:val="2F5496" w:themeColor="accent1" w:themeShade="BF"/>
              </w:rPr>
              <w:t xml:space="preserve">.0 </w:t>
            </w:r>
            <w:r>
              <w:rPr>
                <w:b w:val="0"/>
                <w:bCs/>
                <w:color w:val="2F5496" w:themeColor="accent1" w:themeShade="BF"/>
              </w:rPr>
              <w:t>Review Policy</w:t>
            </w:r>
          </w:p>
          <w:tbl>
            <w:tblPr>
              <w:tblStyle w:val="TableGrid"/>
              <w:tblW w:w="10378" w:type="dxa"/>
              <w:tblBorders>
                <w:top w:val="single" w:sz="12" w:space="0" w:color="8496B0" w:themeColor="text2" w:themeTint="99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42"/>
              <w:gridCol w:w="236"/>
            </w:tblGrid>
            <w:tr w:rsidR="00382634" w:rsidRPr="00410274" w14:paraId="6D28ACEE" w14:textId="77777777" w:rsidTr="00EB612B">
              <w:trPr>
                <w:trHeight w:val="944"/>
              </w:trPr>
              <w:tc>
                <w:tcPr>
                  <w:tcW w:w="10142" w:type="dxa"/>
                </w:tcPr>
                <w:p w14:paraId="4C2D0A61" w14:textId="2435F2EA" w:rsidR="00382634" w:rsidRDefault="00382634" w:rsidP="00382634">
                  <w:pPr>
                    <w:pStyle w:val="Guideline"/>
                  </w:pPr>
                  <w:r>
                    <w:t>Reviews will be constructed using the following check-</w:t>
                  </w:r>
                  <w:proofErr w:type="gramStart"/>
                  <w:r>
                    <w:t>list</w:t>
                  </w:r>
                  <w:proofErr w:type="gramEnd"/>
                </w:p>
                <w:p w14:paraId="63DB6E1A" w14:textId="73B2A4E7" w:rsidR="00382634" w:rsidRDefault="00382634" w:rsidP="00382634">
                  <w:pPr>
                    <w:pStyle w:val="Guideline"/>
                  </w:pPr>
                  <w:r>
                    <w:t>[] Branching for the task is structured correctly</w:t>
                  </w:r>
                  <w:r w:rsidR="00EB612B">
                    <w:t>.</w:t>
                  </w:r>
                </w:p>
                <w:p w14:paraId="3C6E3870" w14:textId="6D4B9F95" w:rsidR="00382634" w:rsidRDefault="00382634" w:rsidP="00382634">
                  <w:pPr>
                    <w:pStyle w:val="Guideline"/>
                  </w:pPr>
                  <w:r>
                    <w:t xml:space="preserve">[] No failures in the </w:t>
                  </w:r>
                  <w:r w:rsidR="00EB612B">
                    <w:t>testing cases</w:t>
                  </w:r>
                </w:p>
                <w:p w14:paraId="79AB9AE6" w14:textId="276D1C65" w:rsidR="00EB612B" w:rsidRDefault="00EB612B" w:rsidP="00382634">
                  <w:pPr>
                    <w:pStyle w:val="Guideline"/>
                  </w:pPr>
                  <w:r>
                    <w:t>[] No commented-out code is present.</w:t>
                  </w:r>
                </w:p>
                <w:p w14:paraId="10FF41F6" w14:textId="1FE70684" w:rsidR="00EB612B" w:rsidRDefault="00EB612B" w:rsidP="00382634">
                  <w:pPr>
                    <w:pStyle w:val="Guideline"/>
                  </w:pPr>
                  <w:r>
                    <w:t>[] All functions have the appropriate documentation.</w:t>
                  </w:r>
                </w:p>
                <w:p w14:paraId="37E9F725" w14:textId="7CF1B5CA" w:rsidR="00EB612B" w:rsidRDefault="00EB612B" w:rsidP="00382634">
                  <w:pPr>
                    <w:pStyle w:val="Guideline"/>
                  </w:pPr>
                  <w:r>
                    <w:t xml:space="preserve">[] No </w:t>
                  </w:r>
                  <w:proofErr w:type="spellStart"/>
                  <w:r>
                    <w:t>rubocop</w:t>
                  </w:r>
                  <w:proofErr w:type="spellEnd"/>
                  <w:r>
                    <w:t xml:space="preserve"> flags are present.</w:t>
                  </w:r>
                </w:p>
                <w:p w14:paraId="30673C1E" w14:textId="77777777" w:rsidR="00EB612B" w:rsidRDefault="00EB612B" w:rsidP="00382634">
                  <w:pPr>
                    <w:pStyle w:val="Guideline"/>
                  </w:pPr>
                </w:p>
                <w:p w14:paraId="7F1CC11F" w14:textId="77777777" w:rsidR="00EB612B" w:rsidRDefault="00EB612B" w:rsidP="00382634">
                  <w:pPr>
                    <w:pStyle w:val="Guideline"/>
                  </w:pPr>
                </w:p>
                <w:p w14:paraId="073E02C8" w14:textId="336788E9" w:rsidR="00EB612B" w:rsidRPr="00410274" w:rsidRDefault="00EB612B" w:rsidP="00EB612B">
                  <w:pPr>
                    <w:pStyle w:val="Heading1"/>
                    <w:rPr>
                      <w:b w:val="0"/>
                      <w:bCs/>
                      <w:color w:val="2F5496" w:themeColor="accent1" w:themeShade="BF"/>
                    </w:rPr>
                  </w:pPr>
                  <w:r>
                    <w:rPr>
                      <w:b w:val="0"/>
                      <w:bCs/>
                      <w:color w:val="2F5496" w:themeColor="accent1" w:themeShade="BF"/>
                    </w:rPr>
                    <w:t>5</w:t>
                  </w:r>
                  <w:r>
                    <w:rPr>
                      <w:b w:val="0"/>
                      <w:bCs/>
                      <w:color w:val="2F5496" w:themeColor="accent1" w:themeShade="BF"/>
                    </w:rPr>
                    <w:t xml:space="preserve">.0 </w:t>
                  </w:r>
                  <w:r>
                    <w:rPr>
                      <w:b w:val="0"/>
                      <w:bCs/>
                      <w:color w:val="2F5496" w:themeColor="accent1" w:themeShade="BF"/>
                    </w:rPr>
                    <w:t>Code Format Policy</w:t>
                  </w:r>
                </w:p>
                <w:tbl>
                  <w:tblPr>
                    <w:tblStyle w:val="TableGrid"/>
                    <w:tblW w:w="10800" w:type="dxa"/>
                    <w:tblBorders>
                      <w:top w:val="single" w:sz="12" w:space="0" w:color="8496B0" w:themeColor="text2" w:themeTint="99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530"/>
                    <w:gridCol w:w="270"/>
                  </w:tblGrid>
                  <w:tr w:rsidR="00EB612B" w:rsidRPr="00410274" w14:paraId="254F4FAF" w14:textId="77777777" w:rsidTr="00EB612B">
                    <w:trPr>
                      <w:trHeight w:val="944"/>
                    </w:trPr>
                    <w:tc>
                      <w:tcPr>
                        <w:tcW w:w="10530" w:type="dxa"/>
                      </w:tcPr>
                      <w:p w14:paraId="4C4CCDAF" w14:textId="17B8CAF2" w:rsidR="00EB612B" w:rsidRPr="00EB612B" w:rsidRDefault="00EB612B" w:rsidP="00EB612B">
                        <w:pPr>
                          <w:pStyle w:val="Guideline"/>
                          <w:numPr>
                            <w:ilvl w:val="0"/>
                            <w:numId w:val="29"/>
                          </w:numPr>
                        </w:pPr>
                        <w:r>
                          <w:t>The formatting of the code will be enforced by robocop.</w:t>
                        </w:r>
                      </w:p>
                      <w:p w14:paraId="44947467" w14:textId="77777777" w:rsidR="00EB612B" w:rsidRPr="00410274" w:rsidRDefault="00EB612B" w:rsidP="00EB612B">
                        <w:pPr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70" w:type="dxa"/>
                      </w:tcPr>
                      <w:p w14:paraId="0E426CA9" w14:textId="77777777" w:rsidR="00EB612B" w:rsidRPr="00410274" w:rsidRDefault="00EB612B" w:rsidP="00EB612B">
                        <w:pPr>
                          <w:rPr>
                            <w:rFonts w:ascii="Century Gothic" w:hAnsi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6F418B5" w14:textId="77777777" w:rsidR="00382634" w:rsidRPr="00410274" w:rsidRDefault="00382634" w:rsidP="00382634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</w:tcPr>
                <w:p w14:paraId="0D64C00F" w14:textId="77777777" w:rsidR="00382634" w:rsidRPr="00410274" w:rsidRDefault="00382634" w:rsidP="00382634">
                  <w:pPr>
                    <w:rPr>
                      <w:rFonts w:ascii="Century Gothic" w:hAnsi="Century Gothic"/>
                      <w:sz w:val="20"/>
                      <w:szCs w:val="20"/>
                    </w:rPr>
                  </w:pPr>
                </w:p>
              </w:tc>
            </w:tr>
          </w:tbl>
          <w:p w14:paraId="7EC66913" w14:textId="77777777" w:rsidR="00B56701" w:rsidRDefault="00B56701" w:rsidP="00B56701">
            <w:pPr>
              <w:pStyle w:val="Guideline"/>
            </w:pPr>
          </w:p>
          <w:p w14:paraId="30EB931D" w14:textId="77777777" w:rsidR="00A5405A" w:rsidRPr="00410274" w:rsidRDefault="00A5405A" w:rsidP="0088541D">
            <w:pPr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22" w:type="dxa"/>
          </w:tcPr>
          <w:p w14:paraId="5877964D" w14:textId="77777777" w:rsidR="00A5405A" w:rsidRPr="00410274" w:rsidRDefault="00A5405A" w:rsidP="007B75B4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282AC20C" w14:textId="3959BDEA" w:rsidR="00384B13" w:rsidRPr="00410274" w:rsidRDefault="00410274" w:rsidP="00384B13">
      <w:pPr>
        <w:pStyle w:val="Heading1"/>
        <w:rPr>
          <w:b w:val="0"/>
          <w:bCs/>
          <w:color w:val="2F5496" w:themeColor="accent1" w:themeShade="BF"/>
        </w:rPr>
      </w:pPr>
      <w:r w:rsidRPr="00410274">
        <w:rPr>
          <w:b w:val="0"/>
          <w:bCs/>
          <w:color w:val="2F5496" w:themeColor="accent1" w:themeShade="BF"/>
        </w:rPr>
        <w:lastRenderedPageBreak/>
        <w:t>monitoring</w:t>
      </w:r>
    </w:p>
    <w:tbl>
      <w:tblPr>
        <w:tblStyle w:val="TableGrid"/>
        <w:tblW w:w="10800" w:type="dxa"/>
        <w:tblBorders>
          <w:top w:val="single" w:sz="12" w:space="0" w:color="8496B0" w:themeColor="text2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384B13" w:rsidRPr="00410274" w14:paraId="456DD6B2" w14:textId="77777777" w:rsidTr="00410274">
        <w:trPr>
          <w:trHeight w:val="1043"/>
        </w:trPr>
        <w:tc>
          <w:tcPr>
            <w:tcW w:w="10800" w:type="dxa"/>
          </w:tcPr>
          <w:p w14:paraId="0B631B8E" w14:textId="77777777" w:rsidR="00384B13" w:rsidRPr="00410274" w:rsidRDefault="00384B13" w:rsidP="00C35492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7424DE37" w14:textId="07BA0F88" w:rsidR="00384B13" w:rsidRPr="00410274" w:rsidRDefault="00A45124" w:rsidP="00C3549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To monitor the </w:t>
            </w:r>
            <w:proofErr w:type="gramStart"/>
            <w:r>
              <w:rPr>
                <w:rFonts w:ascii="Century Gothic" w:hAnsi="Century Gothic"/>
                <w:sz w:val="20"/>
                <w:szCs w:val="20"/>
              </w:rPr>
              <w:t>project is</w:t>
            </w:r>
            <w:proofErr w:type="gramEnd"/>
            <w:r>
              <w:rPr>
                <w:rFonts w:ascii="Century Gothic" w:hAnsi="Century Gothic"/>
                <w:sz w:val="20"/>
                <w:szCs w:val="20"/>
              </w:rPr>
              <w:t xml:space="preserve"> meeting the quality assurance guidelines, the team will conduct bi-weekly audits on the code base to ensure no policy violations are present. Any findings will be documented and resolved.</w:t>
            </w:r>
          </w:p>
        </w:tc>
      </w:tr>
    </w:tbl>
    <w:tbl>
      <w:tblPr>
        <w:tblpPr w:leftFromText="180" w:rightFromText="180" w:vertAnchor="text" w:horzAnchor="margin" w:tblpY="762"/>
        <w:tblW w:w="10938" w:type="dxa"/>
        <w:tblLook w:val="04A0" w:firstRow="1" w:lastRow="0" w:firstColumn="1" w:lastColumn="0" w:noHBand="0" w:noVBand="1"/>
      </w:tblPr>
      <w:tblGrid>
        <w:gridCol w:w="1476"/>
        <w:gridCol w:w="289"/>
        <w:gridCol w:w="4080"/>
        <w:gridCol w:w="1013"/>
        <w:gridCol w:w="4080"/>
      </w:tblGrid>
      <w:tr w:rsidR="00410274" w:rsidRPr="00D823FF" w14:paraId="319EC020" w14:textId="77777777" w:rsidTr="00410274">
        <w:trPr>
          <w:trHeight w:val="488"/>
        </w:trPr>
        <w:tc>
          <w:tcPr>
            <w:tcW w:w="147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808080"/>
            <w:vAlign w:val="center"/>
            <w:hideMark/>
          </w:tcPr>
          <w:p w14:paraId="29A0C25F" w14:textId="77777777" w:rsidR="00410274" w:rsidRPr="0067508E" w:rsidRDefault="00410274" w:rsidP="00410274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7508E">
              <w:rPr>
                <w:rFonts w:ascii="Century Gothic" w:hAnsi="Century Gothic"/>
                <w:b/>
                <w:bCs/>
                <w:color w:val="FFFFFF"/>
                <w:szCs w:val="18"/>
              </w:rPr>
              <w:t>SIGNATURE</w:t>
            </w:r>
          </w:p>
        </w:tc>
        <w:tc>
          <w:tcPr>
            <w:tcW w:w="436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174D79BA" w14:textId="00ECF85D" w:rsidR="00410274" w:rsidRPr="00D823FF" w:rsidRDefault="00410274" w:rsidP="00410274">
            <w:pPr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D823FF">
              <w:rPr>
                <w:rFonts w:ascii="Century Gothic" w:hAnsi="Century Gothic"/>
                <w:color w:val="000000"/>
                <w:sz w:val="22"/>
                <w:szCs w:val="22"/>
              </w:rPr>
              <w:t> </w:t>
            </w:r>
            <w:r w:rsidR="00026BA0">
              <w:rPr>
                <w:rFonts w:ascii="Century Gothic" w:hAnsi="Century Gothic"/>
                <w:color w:val="000000"/>
                <w:sz w:val="22"/>
                <w:szCs w:val="22"/>
              </w:rPr>
              <w:t>Anthony Passetti</w:t>
            </w:r>
          </w:p>
        </w:tc>
        <w:tc>
          <w:tcPr>
            <w:tcW w:w="10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808080"/>
            <w:vAlign w:val="center"/>
            <w:hideMark/>
          </w:tcPr>
          <w:p w14:paraId="1243856D" w14:textId="77777777" w:rsidR="00410274" w:rsidRPr="0067508E" w:rsidRDefault="00410274" w:rsidP="00410274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7508E">
              <w:rPr>
                <w:rFonts w:ascii="Century Gothic" w:hAnsi="Century Gothic"/>
                <w:b/>
                <w:bCs/>
                <w:color w:val="FFFFFF"/>
                <w:szCs w:val="18"/>
              </w:rPr>
              <w:t>DATE</w:t>
            </w:r>
          </w:p>
        </w:tc>
        <w:tc>
          <w:tcPr>
            <w:tcW w:w="4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3626A8F" w14:textId="6C5D7FD1" w:rsidR="00410274" w:rsidRPr="00D823FF" w:rsidRDefault="00410274" w:rsidP="00410274">
            <w:pPr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D823FF">
              <w:rPr>
                <w:rFonts w:ascii="Century Gothic" w:hAnsi="Century Gothic"/>
                <w:color w:val="000000"/>
                <w:sz w:val="22"/>
                <w:szCs w:val="22"/>
              </w:rPr>
              <w:t> </w:t>
            </w:r>
            <w:r w:rsidR="00026BA0">
              <w:rPr>
                <w:rFonts w:ascii="Century Gothic" w:hAnsi="Century Gothic"/>
                <w:color w:val="000000"/>
                <w:sz w:val="22"/>
                <w:szCs w:val="22"/>
              </w:rPr>
              <w:t>01/31/2024</w:t>
            </w:r>
          </w:p>
        </w:tc>
      </w:tr>
      <w:tr w:rsidR="00410274" w:rsidRPr="004D42B0" w14:paraId="5F544607" w14:textId="77777777" w:rsidTr="00410274">
        <w:trPr>
          <w:trHeight w:val="116"/>
        </w:trPr>
        <w:tc>
          <w:tcPr>
            <w:tcW w:w="17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D4CBD" w14:textId="77777777" w:rsidR="00410274" w:rsidRPr="0067508E" w:rsidRDefault="00410274" w:rsidP="00410274">
            <w:pPr>
              <w:rPr>
                <w:rFonts w:ascii="Calibri" w:hAnsi="Calibri"/>
                <w:color w:val="000000"/>
                <w:szCs w:val="22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5C294" w14:textId="77777777" w:rsidR="00410274" w:rsidRPr="004D42B0" w:rsidRDefault="00410274" w:rsidP="00410274">
            <w:pPr>
              <w:rPr>
                <w:rFonts w:ascii="Times New Roman" w:hAnsi="Times New Roman"/>
                <w:sz w:val="11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69263" w14:textId="77777777" w:rsidR="00410274" w:rsidRPr="0067508E" w:rsidRDefault="00410274" w:rsidP="00410274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ACC16" w14:textId="77777777" w:rsidR="00410274" w:rsidRPr="004D42B0" w:rsidRDefault="00410274" w:rsidP="00410274">
            <w:pPr>
              <w:rPr>
                <w:rFonts w:ascii="Times New Roman" w:hAnsi="Times New Roman"/>
                <w:sz w:val="11"/>
                <w:szCs w:val="20"/>
              </w:rPr>
            </w:pPr>
          </w:p>
        </w:tc>
      </w:tr>
      <w:tr w:rsidR="00410274" w:rsidRPr="00D823FF" w14:paraId="28D9F609" w14:textId="77777777" w:rsidTr="00410274">
        <w:trPr>
          <w:trHeight w:val="461"/>
        </w:trPr>
        <w:tc>
          <w:tcPr>
            <w:tcW w:w="147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808080"/>
            <w:vAlign w:val="center"/>
            <w:hideMark/>
          </w:tcPr>
          <w:p w14:paraId="3F0F52CF" w14:textId="77777777" w:rsidR="00410274" w:rsidRPr="0067508E" w:rsidRDefault="00410274" w:rsidP="00410274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7508E">
              <w:rPr>
                <w:rFonts w:ascii="Century Gothic" w:hAnsi="Century Gothic"/>
                <w:b/>
                <w:bCs/>
                <w:color w:val="FFFFFF"/>
                <w:szCs w:val="18"/>
              </w:rPr>
              <w:t>SIGNATURE</w:t>
            </w:r>
          </w:p>
        </w:tc>
        <w:tc>
          <w:tcPr>
            <w:tcW w:w="436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49E8A7FD" w14:textId="77777777" w:rsidR="00410274" w:rsidRPr="00D823FF" w:rsidRDefault="00410274" w:rsidP="00410274">
            <w:pPr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D823FF">
              <w:rPr>
                <w:rFonts w:ascii="Century Gothic" w:hAnsi="Century Gothic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nil"/>
            </w:tcBorders>
            <w:shd w:val="clear" w:color="000000" w:fill="808080"/>
            <w:vAlign w:val="center"/>
            <w:hideMark/>
          </w:tcPr>
          <w:p w14:paraId="7D81781D" w14:textId="77777777" w:rsidR="00410274" w:rsidRPr="0067508E" w:rsidRDefault="00410274" w:rsidP="00410274">
            <w:pPr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7508E">
              <w:rPr>
                <w:rFonts w:ascii="Century Gothic" w:hAnsi="Century Gothic"/>
                <w:b/>
                <w:bCs/>
                <w:color w:val="FFFFFF"/>
                <w:szCs w:val="18"/>
              </w:rPr>
              <w:t>DATE</w:t>
            </w:r>
          </w:p>
        </w:tc>
        <w:tc>
          <w:tcPr>
            <w:tcW w:w="4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14:paraId="6AE9DD41" w14:textId="77777777" w:rsidR="00410274" w:rsidRPr="00D823FF" w:rsidRDefault="00410274" w:rsidP="00410274">
            <w:pPr>
              <w:rPr>
                <w:rFonts w:ascii="Century Gothic" w:hAnsi="Century Gothic"/>
                <w:color w:val="000000"/>
                <w:sz w:val="22"/>
                <w:szCs w:val="22"/>
              </w:rPr>
            </w:pPr>
            <w:r w:rsidRPr="00D823FF">
              <w:rPr>
                <w:rFonts w:ascii="Century Gothic" w:hAnsi="Century Gothic"/>
                <w:color w:val="000000"/>
                <w:sz w:val="22"/>
                <w:szCs w:val="22"/>
              </w:rPr>
              <w:t> </w:t>
            </w:r>
          </w:p>
        </w:tc>
      </w:tr>
    </w:tbl>
    <w:p w14:paraId="73801D0A" w14:textId="77777777" w:rsidR="00491059" w:rsidRPr="00491059" w:rsidRDefault="00491059" w:rsidP="00111C4F">
      <w:pPr>
        <w:pStyle w:val="Heading1"/>
        <w:spacing w:line="276" w:lineRule="auto"/>
        <w:rPr>
          <w:color w:val="44546A" w:themeColor="text2"/>
        </w:rPr>
        <w:sectPr w:rsidR="00491059" w:rsidRPr="00491059" w:rsidSect="00D675F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5567E0" w14:textId="77777777" w:rsidR="00491059" w:rsidRPr="00491059" w:rsidRDefault="00491059" w:rsidP="00111C4F">
      <w:pPr>
        <w:pStyle w:val="Heading1"/>
        <w:rPr>
          <w:color w:val="44546A" w:themeColor="text2"/>
        </w:rPr>
        <w:sectPr w:rsidR="00491059" w:rsidRPr="00491059" w:rsidSect="00384B1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bookmarkEnd w:id="14"/>
    <w:p w14:paraId="176AB549" w14:textId="246B3C4F" w:rsidR="006B5ECE" w:rsidRPr="00AC58A4" w:rsidRDefault="006B5ECE" w:rsidP="00D022DF">
      <w:pPr>
        <w:rPr>
          <w:rFonts w:ascii="Century Gothic" w:hAnsi="Century Gothic"/>
        </w:rPr>
      </w:pPr>
    </w:p>
    <w:sectPr w:rsidR="006B5ECE" w:rsidRPr="00AC58A4" w:rsidSect="00491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AC49B5"/>
    <w:multiLevelType w:val="hybridMultilevel"/>
    <w:tmpl w:val="B0484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07970"/>
    <w:multiLevelType w:val="hybridMultilevel"/>
    <w:tmpl w:val="1E38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12283A"/>
    <w:multiLevelType w:val="multilevel"/>
    <w:tmpl w:val="DAE2D2A4"/>
    <w:lvl w:ilvl="0">
      <w:start w:val="1"/>
      <w:numFmt w:val="decimal"/>
      <w:lvlText w:val="%1.0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08" w:hanging="46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5DC5563"/>
    <w:multiLevelType w:val="multilevel"/>
    <w:tmpl w:val="F712268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A8C327B"/>
    <w:multiLevelType w:val="hybridMultilevel"/>
    <w:tmpl w:val="C4EE56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B013CDE"/>
    <w:multiLevelType w:val="hybridMultilevel"/>
    <w:tmpl w:val="92C894D6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6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6D2AD8"/>
    <w:multiLevelType w:val="hybridMultilevel"/>
    <w:tmpl w:val="C8EA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9A7878"/>
    <w:multiLevelType w:val="hybridMultilevel"/>
    <w:tmpl w:val="EB5485FE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9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A4BAE"/>
    <w:multiLevelType w:val="hybridMultilevel"/>
    <w:tmpl w:val="8B0E38D4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3" w15:restartNumberingAfterBreak="0">
    <w:nsid w:val="4D0C1A14"/>
    <w:multiLevelType w:val="hybridMultilevel"/>
    <w:tmpl w:val="48126154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4" w15:restartNumberingAfterBreak="0">
    <w:nsid w:val="56A2569B"/>
    <w:multiLevelType w:val="hybridMultilevel"/>
    <w:tmpl w:val="894E0616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5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23C6E"/>
    <w:multiLevelType w:val="hybridMultilevel"/>
    <w:tmpl w:val="1EA64B2A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F40FF"/>
    <w:multiLevelType w:val="hybridMultilevel"/>
    <w:tmpl w:val="821293AE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30" w15:restartNumberingAfterBreak="0">
    <w:nsid w:val="7DC949D4"/>
    <w:multiLevelType w:val="hybridMultilevel"/>
    <w:tmpl w:val="FA005C96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 w16cid:durableId="983896065">
    <w:abstractNumId w:val="9"/>
  </w:num>
  <w:num w:numId="2" w16cid:durableId="1019087566">
    <w:abstractNumId w:val="8"/>
  </w:num>
  <w:num w:numId="3" w16cid:durableId="736826951">
    <w:abstractNumId w:val="7"/>
  </w:num>
  <w:num w:numId="4" w16cid:durableId="207885747">
    <w:abstractNumId w:val="6"/>
  </w:num>
  <w:num w:numId="5" w16cid:durableId="1018580282">
    <w:abstractNumId w:val="5"/>
  </w:num>
  <w:num w:numId="6" w16cid:durableId="200634767">
    <w:abstractNumId w:val="4"/>
  </w:num>
  <w:num w:numId="7" w16cid:durableId="629823674">
    <w:abstractNumId w:val="3"/>
  </w:num>
  <w:num w:numId="8" w16cid:durableId="426658379">
    <w:abstractNumId w:val="2"/>
  </w:num>
  <w:num w:numId="9" w16cid:durableId="1806048941">
    <w:abstractNumId w:val="1"/>
  </w:num>
  <w:num w:numId="10" w16cid:durableId="507791969">
    <w:abstractNumId w:val="0"/>
  </w:num>
  <w:num w:numId="11" w16cid:durableId="1392462028">
    <w:abstractNumId w:val="21"/>
  </w:num>
  <w:num w:numId="12" w16cid:durableId="1518499175">
    <w:abstractNumId w:val="28"/>
  </w:num>
  <w:num w:numId="13" w16cid:durableId="1469514285">
    <w:abstractNumId w:val="27"/>
  </w:num>
  <w:num w:numId="14" w16cid:durableId="722606433">
    <w:abstractNumId w:val="19"/>
  </w:num>
  <w:num w:numId="15" w16cid:durableId="1263958252">
    <w:abstractNumId w:val="16"/>
  </w:num>
  <w:num w:numId="16" w16cid:durableId="1793014200">
    <w:abstractNumId w:val="20"/>
  </w:num>
  <w:num w:numId="17" w16cid:durableId="991715994">
    <w:abstractNumId w:val="25"/>
  </w:num>
  <w:num w:numId="18" w16cid:durableId="1110080003">
    <w:abstractNumId w:val="10"/>
  </w:num>
  <w:num w:numId="19" w16cid:durableId="1244224157">
    <w:abstractNumId w:val="12"/>
  </w:num>
  <w:num w:numId="20" w16cid:durableId="1270621421">
    <w:abstractNumId w:val="13"/>
  </w:num>
  <w:num w:numId="21" w16cid:durableId="666401396">
    <w:abstractNumId w:val="29"/>
  </w:num>
  <w:num w:numId="22" w16cid:durableId="465509187">
    <w:abstractNumId w:val="15"/>
  </w:num>
  <w:num w:numId="23" w16cid:durableId="1082606524">
    <w:abstractNumId w:val="24"/>
  </w:num>
  <w:num w:numId="24" w16cid:durableId="48891163">
    <w:abstractNumId w:val="30"/>
  </w:num>
  <w:num w:numId="25" w16cid:durableId="344405181">
    <w:abstractNumId w:val="26"/>
  </w:num>
  <w:num w:numId="26" w16cid:durableId="1397849954">
    <w:abstractNumId w:val="18"/>
  </w:num>
  <w:num w:numId="27" w16cid:durableId="525948078">
    <w:abstractNumId w:val="23"/>
  </w:num>
  <w:num w:numId="28" w16cid:durableId="442261768">
    <w:abstractNumId w:val="22"/>
  </w:num>
  <w:num w:numId="29" w16cid:durableId="1249537014">
    <w:abstractNumId w:val="14"/>
  </w:num>
  <w:num w:numId="30" w16cid:durableId="1817448512">
    <w:abstractNumId w:val="11"/>
  </w:num>
  <w:num w:numId="31" w16cid:durableId="15373041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0F"/>
    <w:rsid w:val="00026BA0"/>
    <w:rsid w:val="00031AF7"/>
    <w:rsid w:val="0009254A"/>
    <w:rsid w:val="000B3AA5"/>
    <w:rsid w:val="000C4644"/>
    <w:rsid w:val="000D5F7F"/>
    <w:rsid w:val="000E7AF5"/>
    <w:rsid w:val="00101233"/>
    <w:rsid w:val="00111C4F"/>
    <w:rsid w:val="00121D51"/>
    <w:rsid w:val="001472A1"/>
    <w:rsid w:val="00167AA6"/>
    <w:rsid w:val="001962A6"/>
    <w:rsid w:val="001B0A94"/>
    <w:rsid w:val="001F6DE4"/>
    <w:rsid w:val="002039C1"/>
    <w:rsid w:val="002507EE"/>
    <w:rsid w:val="002A45FC"/>
    <w:rsid w:val="002E4407"/>
    <w:rsid w:val="002F2C0D"/>
    <w:rsid w:val="002F39CD"/>
    <w:rsid w:val="002F7B60"/>
    <w:rsid w:val="00303C60"/>
    <w:rsid w:val="0036595F"/>
    <w:rsid w:val="003758D7"/>
    <w:rsid w:val="00382634"/>
    <w:rsid w:val="00384B13"/>
    <w:rsid w:val="00394B8A"/>
    <w:rsid w:val="003953A4"/>
    <w:rsid w:val="003D28EE"/>
    <w:rsid w:val="003F787D"/>
    <w:rsid w:val="00410274"/>
    <w:rsid w:val="00422668"/>
    <w:rsid w:val="00446325"/>
    <w:rsid w:val="0045552B"/>
    <w:rsid w:val="00482909"/>
    <w:rsid w:val="00491059"/>
    <w:rsid w:val="00492BF1"/>
    <w:rsid w:val="00493BCE"/>
    <w:rsid w:val="004952F9"/>
    <w:rsid w:val="004B4C32"/>
    <w:rsid w:val="004D59AF"/>
    <w:rsid w:val="004E7C78"/>
    <w:rsid w:val="005152AB"/>
    <w:rsid w:val="00531F82"/>
    <w:rsid w:val="00547183"/>
    <w:rsid w:val="00557C38"/>
    <w:rsid w:val="005A2BD6"/>
    <w:rsid w:val="005B7C30"/>
    <w:rsid w:val="005C1013"/>
    <w:rsid w:val="005D648F"/>
    <w:rsid w:val="005F5ABE"/>
    <w:rsid w:val="006270AA"/>
    <w:rsid w:val="00687128"/>
    <w:rsid w:val="006B5ECE"/>
    <w:rsid w:val="006B6267"/>
    <w:rsid w:val="006C1052"/>
    <w:rsid w:val="006C66DE"/>
    <w:rsid w:val="006D36F2"/>
    <w:rsid w:val="006D6888"/>
    <w:rsid w:val="00713011"/>
    <w:rsid w:val="007135F1"/>
    <w:rsid w:val="00714325"/>
    <w:rsid w:val="00733E82"/>
    <w:rsid w:val="00756B3B"/>
    <w:rsid w:val="00774101"/>
    <w:rsid w:val="0078197E"/>
    <w:rsid w:val="007F08AA"/>
    <w:rsid w:val="0081690B"/>
    <w:rsid w:val="008350B3"/>
    <w:rsid w:val="00863730"/>
    <w:rsid w:val="0088541D"/>
    <w:rsid w:val="008F0F82"/>
    <w:rsid w:val="009152A8"/>
    <w:rsid w:val="0091598F"/>
    <w:rsid w:val="00937FE6"/>
    <w:rsid w:val="00942BD8"/>
    <w:rsid w:val="00951190"/>
    <w:rsid w:val="009A61FD"/>
    <w:rsid w:val="009C2E35"/>
    <w:rsid w:val="009C4A98"/>
    <w:rsid w:val="009C6682"/>
    <w:rsid w:val="009E31FD"/>
    <w:rsid w:val="009E71D3"/>
    <w:rsid w:val="009F028C"/>
    <w:rsid w:val="00A06691"/>
    <w:rsid w:val="00A12C16"/>
    <w:rsid w:val="00A2037C"/>
    <w:rsid w:val="00A30AE6"/>
    <w:rsid w:val="00A45124"/>
    <w:rsid w:val="00A5405A"/>
    <w:rsid w:val="00A6738D"/>
    <w:rsid w:val="00A95536"/>
    <w:rsid w:val="00AA640C"/>
    <w:rsid w:val="00AB1F2A"/>
    <w:rsid w:val="00AC58A4"/>
    <w:rsid w:val="00AE1A89"/>
    <w:rsid w:val="00B551D5"/>
    <w:rsid w:val="00B56701"/>
    <w:rsid w:val="00B8500C"/>
    <w:rsid w:val="00BC38F6"/>
    <w:rsid w:val="00BC7F9D"/>
    <w:rsid w:val="00BD48DF"/>
    <w:rsid w:val="00BE36BE"/>
    <w:rsid w:val="00C040ED"/>
    <w:rsid w:val="00C12C0B"/>
    <w:rsid w:val="00CA2CD6"/>
    <w:rsid w:val="00CB4DF0"/>
    <w:rsid w:val="00CB7FA5"/>
    <w:rsid w:val="00CF6AE7"/>
    <w:rsid w:val="00D022DF"/>
    <w:rsid w:val="00D2644E"/>
    <w:rsid w:val="00D26580"/>
    <w:rsid w:val="00D660EC"/>
    <w:rsid w:val="00D675F4"/>
    <w:rsid w:val="00D82ADF"/>
    <w:rsid w:val="00D85B0F"/>
    <w:rsid w:val="00D90B36"/>
    <w:rsid w:val="00DB1AE1"/>
    <w:rsid w:val="00E3084C"/>
    <w:rsid w:val="00E62BF6"/>
    <w:rsid w:val="00E8348B"/>
    <w:rsid w:val="00E85804"/>
    <w:rsid w:val="00E91771"/>
    <w:rsid w:val="00EB23F8"/>
    <w:rsid w:val="00EB612B"/>
    <w:rsid w:val="00F30D27"/>
    <w:rsid w:val="00F85E87"/>
    <w:rsid w:val="00F90516"/>
    <w:rsid w:val="00FB4C7E"/>
    <w:rsid w:val="00FF51C2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3260E"/>
  <w15:docId w15:val="{D354E064-8BD9-8049-9E3B-2A667EE2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2668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C040ED"/>
    <w:pPr>
      <w:outlineLvl w:val="0"/>
    </w:pPr>
    <w:rPr>
      <w:rFonts w:ascii="Century Gothic" w:hAnsi="Century Gothic"/>
      <w:b/>
      <w:caps/>
      <w:color w:val="323E4F" w:themeColor="text2" w:themeShade="BF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  <w:rPr>
      <w:sz w:val="20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rFonts w:ascii="Century Gothic" w:hAnsi="Century Gothic"/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rFonts w:ascii="Century Gothic" w:hAnsi="Century Gothic"/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rFonts w:ascii="Century Gothic" w:hAnsi="Century Gothic"/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rFonts w:ascii="Century Gothic" w:hAnsi="Century Gothic"/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tabs>
        <w:tab w:val="right" w:leader="dot" w:pos="10790"/>
      </w:tabs>
      <w:spacing w:before="120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6192CEDD-9984-EB42-9275-B392D74065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489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of lading</vt:lpstr>
    </vt:vector>
  </TitlesOfParts>
  <Company>Microsoft Corporation</Company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of lading</dc:title>
  <dc:creator>Thomas Blosel</dc:creator>
  <cp:lastModifiedBy>Anthony Passetti (Student)</cp:lastModifiedBy>
  <cp:revision>7</cp:revision>
  <cp:lastPrinted>2022-09-11T20:34:00Z</cp:lastPrinted>
  <dcterms:created xsi:type="dcterms:W3CDTF">2024-01-31T04:43:00Z</dcterms:created>
  <dcterms:modified xsi:type="dcterms:W3CDTF">2024-02-01T00:11:00Z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