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Root 首期健康状态评测和量表确认稿</w:t>
      </w:r>
    </w:p>
    <w:p>
      <w:pPr>
        <w:pStyle w:val="Subtitle"/>
        <w:jc w:val="center"/>
      </w:pPr>
      <w:r>
        <w:t>运营与专家沟通版｜2026年7月5日</w:t>
      </w:r>
    </w:p>
    <w:p>
      <w:pPr>
        <w:spacing w:after="80"/>
      </w:pPr>
      <w:r>
        <w:rPr>
          <w:rFonts w:ascii="Microsoft YaHei" w:hAnsi="Microsoft YaHei" w:eastAsia="Microsoft YaHei"/>
        </w:rPr>
        <w:t>本文用于安排运营同事做人群核对、专家建议征集，并确认 Root 首期采用哪些健康状态评测和量表。本文只用于用户健康状态记录、体验反馈和风险提示，不作为疾病诊断、治疗建议或用药依据。</w:t>
      </w:r>
    </w:p>
    <w:p>
      <w:pPr>
        <w:pStyle w:val="Heading1"/>
        <w:spacing w:before="200" w:after="120"/>
      </w:pPr>
      <w:r>
        <w:t>一、首期定位</w:t>
      </w:r>
    </w:p>
    <w:p>
      <w:pPr>
        <w:pStyle w:val="ListBullet"/>
        <w:spacing w:after="40"/>
      </w:pPr>
      <w:r>
        <w:t>围绕 Root 当前的 7 天体验和复购判断，优先观察用户的总体状态、肠道感受、睡眠、心理幸福感和生活方式。</w:t>
      </w:r>
    </w:p>
    <w:p>
      <w:pPr>
        <w:pStyle w:val="ListBullet"/>
        <w:spacing w:after="40"/>
      </w:pPr>
      <w:r>
        <w:t>首期目标是让用户愿意填写、愿意复测、能看懂结果；运营能据此分层跟进；专家能判断量表是否合适。</w:t>
      </w:r>
    </w:p>
    <w:p>
      <w:pPr>
        <w:pStyle w:val="ListBullet"/>
        <w:spacing w:after="40"/>
      </w:pPr>
      <w:r>
        <w:t>所有结果统一使用“状态提示、复测建议、生活方式建议、建议咨询专业人士”的表达。</w:t>
      </w:r>
    </w:p>
    <w:p>
      <w:pPr>
        <w:pStyle w:val="ListBullet"/>
        <w:spacing w:after="40"/>
      </w:pPr>
      <w:r>
        <w:t>避免使用“诊断为、治疗、保证改善、适用于所有人”等表达。</w:t>
      </w:r>
    </w:p>
    <w:p>
      <w:pPr>
        <w:pStyle w:val="Heading1"/>
        <w:spacing w:before="200" w:after="120"/>
      </w:pPr>
      <w:r>
        <w:t>二、首期建议采用的评测组合</w:t>
      </w:r>
    </w:p>
    <w:p>
      <w:pPr>
        <w:spacing w:after="80"/>
      </w:pPr>
      <w:r>
        <w:rPr>
          <w:rFonts w:ascii="Microsoft YaHei" w:hAnsi="Microsoft YaHei" w:eastAsia="Microsoft YaHei"/>
        </w:rPr>
        <w:t>建议先采用“轻量主问卷 + 条件触发问卷”的方式。主问卷控制在 5 分钟以内，条件触发问卷只在用户出现对应症状或人群特征时出现。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c>
          <w:tcPr>
            <w:tcW w:type="dxa" w:w="1639"/>
            <w:vAlign w:val="top"/>
            <w:shd w:fill="DBEA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评测方向</w:t>
            </w:r>
          </w:p>
        </w:tc>
        <w:tc>
          <w:tcPr>
            <w:tcW w:type="dxa" w:w="1639"/>
            <w:vAlign w:val="top"/>
            <w:shd w:fill="DBEA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首期建议工具</w:t>
            </w:r>
          </w:p>
        </w:tc>
        <w:tc>
          <w:tcPr>
            <w:tcW w:type="dxa" w:w="1639"/>
            <w:vAlign w:val="top"/>
            <w:shd w:fill="DBEA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主要用途</w:t>
            </w:r>
          </w:p>
        </w:tc>
        <w:tc>
          <w:tcPr>
            <w:tcW w:type="dxa" w:w="1639"/>
            <w:vAlign w:val="top"/>
            <w:shd w:fill="DBEA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适用人群</w:t>
            </w:r>
          </w:p>
        </w:tc>
        <w:tc>
          <w:tcPr>
            <w:tcW w:type="dxa" w:w="1639"/>
            <w:vAlign w:val="top"/>
            <w:shd w:fill="DBEA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建议频率</w:t>
            </w:r>
          </w:p>
        </w:tc>
        <w:tc>
          <w:tcPr>
            <w:tcW w:type="dxa" w:w="1639"/>
            <w:vAlign w:val="top"/>
            <w:shd w:fill="DBEA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专家需确认</w:t>
            </w:r>
          </w:p>
        </w:tc>
      </w:tr>
      <w:tr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总体健康状态</w:t>
            </w:r>
          </w:p>
        </w:tc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CDC HRQOL-4；专家确认后可考虑 PROMIS Global Health-10 或 EQ-5D-5L</w:t>
            </w:r>
          </w:p>
        </w:tc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快速了解近 30 天自评健康、身体不适天数、心理不适天数和活动受限情况</w:t>
            </w:r>
          </w:p>
        </w:tc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普通成人用户</w:t>
            </w:r>
          </w:p>
        </w:tc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加入前、首日、第 7 天、复购前</w:t>
            </w:r>
          </w:p>
        </w:tc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是否采用更完整的国际通用量表；如使用 EQ-5D-5L，需先确认授权</w:t>
            </w:r>
          </w:p>
        </w:tc>
      </w:tr>
      <w:tr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排便状态</w:t>
            </w:r>
          </w:p>
        </w:tc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Bristol Stool Form Scale</w:t>
            </w:r>
          </w:p>
        </w:tc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记录粪便形态，辅助观察便秘、腹泻、排便变化和产品体验反馈</w:t>
            </w:r>
          </w:p>
        </w:tc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普通成人用户；儿童、孕产妇需单独确认</w:t>
            </w:r>
          </w:p>
        </w:tc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每次排便后或每日一次</w:t>
            </w:r>
          </w:p>
        </w:tc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图片与文字表达是否适合中文用户；商业和线上收集授权</w:t>
            </w:r>
          </w:p>
        </w:tc>
      </w:tr>
      <w:tr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消化道感受</w:t>
            </w:r>
          </w:p>
        </w:tc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首期可用简化症状追踪；如专家建议，可评估 GSRS 或 GerdQ</w:t>
            </w:r>
          </w:p>
        </w:tc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记录腹胀、腹痛、反酸、恶心、排便频率、排便困难等体验变化</w:t>
            </w:r>
          </w:p>
        </w:tc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有消化不适或肠道体验反馈的用户</w:t>
            </w:r>
          </w:p>
        </w:tc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过去 7 天；第 3 天和第 7 天复测</w:t>
            </w:r>
          </w:p>
        </w:tc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是否需要正式量表；如使用 GSRS、GerdQ，需确认授权和中文版本</w:t>
            </w:r>
          </w:p>
        </w:tc>
      </w:tr>
      <w:tr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睡眠状态</w:t>
            </w:r>
          </w:p>
        </w:tc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ISI 作为优先候选；研究型场景可考虑 PSQI；白天嗜睡可加 ESS</w:t>
            </w:r>
          </w:p>
        </w:tc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观察入睡困难、夜醒、早醒、睡眠满意度和白天影响</w:t>
            </w:r>
          </w:p>
        </w:tc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普通成人用户；严重睡眠问题需提示专业咨询</w:t>
            </w:r>
          </w:p>
        </w:tc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过去 2 周；首日和第 7 天</w:t>
            </w:r>
          </w:p>
        </w:tc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ISI 与 PSQI 哪个更适合首期；是否需要设定转介提醒</w:t>
            </w:r>
          </w:p>
        </w:tc>
      </w:tr>
      <w:tr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心理幸福感与压力</w:t>
            </w:r>
          </w:p>
        </w:tc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WHO-5；如低分或用户主动表达困扰，再触发 PHQ-2/GAD-2，必要时 PHQ-9/GAD-7；PSS-10 可作为压力补充</w:t>
            </w:r>
          </w:p>
        </w:tc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用更温和的方式了解近期精神状态、活力和压力；发现需要进一步关怀的用户</w:t>
            </w:r>
          </w:p>
        </w:tc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普通成人用户；高风险回答需明确提醒求助</w:t>
            </w:r>
          </w:p>
        </w:tc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过去 2 周；首日和第 7 天</w:t>
            </w:r>
          </w:p>
        </w:tc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低分阈值、提醒文案、求助路径和运营跟进边界</w:t>
            </w:r>
          </w:p>
        </w:tc>
      </w:tr>
      <w:tr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生活方式</w:t>
            </w:r>
          </w:p>
        </w:tc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IPAQ-SF 可作为运动参考；首期也可用饮食、饮水、运动、咖啡因、饮酒、作息等简短问题</w:t>
            </w:r>
          </w:p>
        </w:tc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解释状态变化的背景因素，帮助运营和专家判断反馈是否与生活方式相关</w:t>
            </w:r>
          </w:p>
        </w:tc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普通成人用户</w:t>
            </w:r>
          </w:p>
        </w:tc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首日、第 7 天；必要时每日简短记录</w:t>
            </w:r>
          </w:p>
        </w:tc>
        <w:tc>
          <w:tcPr>
            <w:tcW w:type="dxa" w:w="1639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哪些生活方式问题必须问，哪些会增加填写负担</w:t>
            </w:r>
          </w:p>
        </w:tc>
      </w:tr>
    </w:tbl>
    <w:p>
      <w:pPr>
        <w:pStyle w:val="Heading1"/>
        <w:spacing w:before="200" w:after="120"/>
      </w:pPr>
      <w:r>
        <w:t>三、首期推荐清单</w:t>
      </w:r>
    </w:p>
    <w:p>
      <w:pPr>
        <w:pStyle w:val="Heading2"/>
        <w:spacing w:before="160" w:after="80"/>
      </w:pPr>
      <w:r>
        <w:t>1. 建议作为首期默认填写</w:t>
      </w:r>
    </w:p>
    <w:p>
      <w:pPr>
        <w:pStyle w:val="ListBullet"/>
        <w:spacing w:after="40"/>
      </w:pPr>
      <w:r>
        <w:t>CDC HRQOL-4：用于获得极短的总体健康基线。</w:t>
      </w:r>
    </w:p>
    <w:p>
      <w:pPr>
        <w:pStyle w:val="ListBullet"/>
        <w:spacing w:after="40"/>
      </w:pPr>
      <w:r>
        <w:t>WHO-5：用于温和评估近期心理幸福感和活力。</w:t>
      </w:r>
    </w:p>
    <w:p>
      <w:pPr>
        <w:pStyle w:val="ListBullet"/>
        <w:spacing w:after="40"/>
      </w:pPr>
      <w:r>
        <w:t>Bristol Stool Form Scale：用于排便形态记录，是 Root 肠道体验最核心的观察项。</w:t>
      </w:r>
    </w:p>
    <w:p>
      <w:pPr>
        <w:pStyle w:val="ListBullet"/>
        <w:spacing w:after="40"/>
      </w:pPr>
      <w:r>
        <w:t>消化道简化症状追踪：记录腹胀、腹痛、反酸、恶心、排便频率、排便困难等，先用于体验反馈，不直接写成疾病判断。</w:t>
      </w:r>
    </w:p>
    <w:p>
      <w:pPr>
        <w:pStyle w:val="ListBullet"/>
        <w:spacing w:after="40"/>
      </w:pPr>
      <w:r>
        <w:t>ISI：用于评估失眠相关困扰，适合轻量填写。</w:t>
      </w:r>
    </w:p>
    <w:p>
      <w:pPr>
        <w:pStyle w:val="ListBullet"/>
        <w:spacing w:after="40"/>
      </w:pPr>
      <w:r>
        <w:t>生活方式简短问题：饮食、饮水、运动、睡眠时间、咖啡因/饮酒、近期压力。</w:t>
      </w:r>
    </w:p>
    <w:p>
      <w:pPr>
        <w:pStyle w:val="Heading2"/>
        <w:spacing w:before="160" w:after="80"/>
      </w:pPr>
      <w:r>
        <w:t>2. 建议作为条件触发</w:t>
      </w:r>
    </w:p>
    <w:p>
      <w:pPr>
        <w:pStyle w:val="ListBullet"/>
        <w:spacing w:after="40"/>
      </w:pPr>
      <w:r>
        <w:t>PHQ-2/GAD-2：当 WHO-5 低分，或用户主动表达明显情绪困扰时触发。</w:t>
      </w:r>
    </w:p>
    <w:p>
      <w:pPr>
        <w:pStyle w:val="ListBullet"/>
        <w:spacing w:after="40"/>
      </w:pPr>
      <w:r>
        <w:t>PHQ-9/GAD-7：只在轻筛提示需要进一步了解时触发，并配套求助提醒。</w:t>
      </w:r>
    </w:p>
    <w:p>
      <w:pPr>
        <w:pStyle w:val="ListBullet"/>
        <w:spacing w:after="40"/>
      </w:pPr>
      <w:r>
        <w:t>GerdQ：当用户反酸、烧心、夜间反流明显时触发。</w:t>
      </w:r>
    </w:p>
    <w:p>
      <w:pPr>
        <w:pStyle w:val="ListBullet"/>
        <w:spacing w:after="40"/>
      </w:pPr>
      <w:r>
        <w:t>ESS 或 STOP-Bang：当用户有明显白天嗜睡、打鼾、憋醒或睡眠呼吸风险时触发。</w:t>
      </w:r>
    </w:p>
    <w:p>
      <w:pPr>
        <w:pStyle w:val="ListBullet"/>
        <w:spacing w:after="40"/>
      </w:pPr>
      <w:r>
        <w:t>MNA-SF、SARC-F、Clinical Frailty Scale：仅针对 65 岁以上或专家指定人群。</w:t>
      </w:r>
    </w:p>
    <w:p>
      <w:pPr>
        <w:pStyle w:val="ListBullet"/>
        <w:spacing w:after="40"/>
      </w:pPr>
      <w:r>
        <w:t>FINDRISC：仅当需要评估 2 型糖尿病风险，并且运营能收集年龄、BMI、腰围、活动、家族史等信息时使用。</w:t>
      </w:r>
    </w:p>
    <w:p>
      <w:pPr>
        <w:pStyle w:val="Heading2"/>
        <w:spacing w:before="160" w:after="80"/>
      </w:pPr>
      <w:r>
        <w:t>3. 首期暂缓作为默认填写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vAlign w:val="top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暂缓工具</w:t>
            </w:r>
          </w:p>
        </w:tc>
        <w:tc>
          <w:tcPr>
            <w:tcW w:type="dxa" w:w="3278"/>
            <w:vAlign w:val="top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暂缓原因</w:t>
            </w:r>
          </w:p>
        </w:tc>
        <w:tc>
          <w:tcPr>
            <w:tcW w:type="dxa" w:w="3278"/>
            <w:vAlign w:val="top"/>
            <w:shd w:fill="F1F5F9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后续使用条件</w:t>
            </w:r>
          </w:p>
        </w:tc>
      </w:tr>
      <w:tr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WHOQOL-BREF、SF-36、SF-12、WHODAS 2.0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题量和解释成本较高，更适合正式研究或长期随访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专家明确需要生活质量或功能受限评估时再加入</w:t>
            </w:r>
          </w:p>
        </w:tc>
      </w:tr>
      <w:tr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Rome IV Diagnostic Questionnaire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更偏专业诊断标准，普通运营场景不宜直接作为默认问卷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专家确认适用人群、红旗排除和解释口径后使用</w:t>
            </w:r>
          </w:p>
        </w:tc>
      </w:tr>
      <w:tr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PSQI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信息完整但题量较长，首期可能影响填写完成率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如果睡眠是重点研究方向，可替代或补充 ISI</w:t>
            </w:r>
          </w:p>
        </w:tc>
      </w:tr>
      <w:tr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MoCA、MMSE、AD8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认知评估专业性强，且部分工具有授权限制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只在老年专项或医生建议下使用</w:t>
            </w:r>
          </w:p>
        </w:tc>
      </w:tr>
      <w:tr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EPDS、Menopause Rating Scale、IPSS、ICIQ-UI SF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适用人群很明确，不适合所有用户默认填写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孕产妇、更年期、泌尿专项分别单独评估</w:t>
            </w:r>
          </w:p>
        </w:tc>
      </w:tr>
      <w:tr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AUDIT、ASSIST、CAGE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涉及饮酒或物质使用，提问敏感且需清晰支持路径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只在健康管理专项或专家建议下加入</w:t>
            </w:r>
          </w:p>
        </w:tc>
      </w:tr>
    </w:tbl>
    <w:p>
      <w:pPr>
        <w:pStyle w:val="Heading1"/>
        <w:spacing w:before="200" w:after="120"/>
      </w:pPr>
      <w:r>
        <w:t>四、全球公认量表候选池</w:t>
      </w:r>
    </w:p>
    <w:p>
      <w:pPr>
        <w:spacing w:after="80"/>
      </w:pPr>
      <w:r>
        <w:rPr>
          <w:rFonts w:ascii="Microsoft YaHei" w:hAnsi="Microsoft YaHei" w:eastAsia="Microsoft YaHei"/>
        </w:rPr>
        <w:t>以下清单用于专家讨论，不代表首期都要采用。运营可按人群、场景和填写负担筛选。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8"/>
        <w:gridCol w:w="3278"/>
        <w:gridCol w:w="3278"/>
      </w:tblGrid>
      <w:tr>
        <w:tc>
          <w:tcPr>
            <w:tcW w:type="dxa" w:w="3278"/>
            <w:vAlign w:val="top"/>
            <w:shd w:fill="E0F2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领域</w:t>
            </w:r>
          </w:p>
        </w:tc>
        <w:tc>
          <w:tcPr>
            <w:tcW w:type="dxa" w:w="3278"/>
            <w:vAlign w:val="top"/>
            <w:shd w:fill="E0F2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全球常见量表或评测</w:t>
            </w:r>
          </w:p>
        </w:tc>
        <w:tc>
          <w:tcPr>
            <w:tcW w:type="dxa" w:w="3278"/>
            <w:vAlign w:val="top"/>
            <w:shd w:fill="E0F2FE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Root 使用建议</w:t>
            </w:r>
          </w:p>
        </w:tc>
      </w:tr>
      <w:tr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通用健康状态/生活质量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EQ-5D-3L/5L、PROMIS Global Health-10、SF-36/RAND-36、SF-12、WHOQOL-BREF、CDC HRQOL-4、HUI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首期优先 CDC HRQOL-4；如专家需要国际可比性，再看 PROMIS 或 EQ-5D 授权</w:t>
            </w:r>
          </w:p>
        </w:tc>
      </w:tr>
      <w:tr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功能与日常活动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WHODAS 2.0、Barthel Index、Katz ADL、Lawton IADL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普通用户首期暂缓；老年或康复人群再考虑</w:t>
            </w:r>
          </w:p>
        </w:tc>
      </w:tr>
      <w:tr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肠道与消化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Bristol Stool Form Scale、Rome IV、GSRS、GerdQ、IBS-SSS、IBS-QOL、PAC-SYM、PAC-QOL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首期重点：BSFS + 简化消化症状；正式量表由专家确认</w:t>
            </w:r>
          </w:p>
        </w:tc>
      </w:tr>
      <w:tr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睡眠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PSQI、ISI、ESS、STOP-Bang、Berlin Questionnaire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首期优先 ISI；其他按症状触发</w:t>
            </w:r>
          </w:p>
        </w:tc>
      </w:tr>
      <w:tr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心理与压力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WHO-5、PHQ-9/PHQ-2、GAD-7/GAD-2、PSS-10、HADS、DASS-21、PHQ-15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首期用 WHO-5 做温和入口；PHQ/GAD 只做必要时补充</w:t>
            </w:r>
          </w:p>
        </w:tc>
      </w:tr>
      <w:tr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饮酒、烟草与物质使用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AUDIT、AUDIT-C、WHO ASSIST、CAGE/CAGE-AID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敏感问题，首期不默认；如专家建议再加入</w:t>
            </w:r>
          </w:p>
        </w:tc>
      </w:tr>
      <w:tr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疼痛与疲劳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NRS/VAS Pain、Brief Pain Inventory、Fatigue Severity Scale、FACIT-F、PROMIS Pain/Fatigue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首期不默认；用户有明显疼痛或疲劳反馈时触发</w:t>
            </w:r>
          </w:p>
        </w:tc>
      </w:tr>
      <w:tr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运动与活动能力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IPAQ-SF/LF、6-Minute Walk Test、Timed Up and Go、30-Second Chair Stand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首期用简短活动问题；线下活动或老年专项再使用体力测试</w:t>
            </w:r>
          </w:p>
        </w:tc>
      </w:tr>
      <w:tr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营养、肌少与虚弱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MNA/MNA-SF、MUST、NRS-2002、SGA/PG-SGA、SARC-F、Clinical Frailty Scale、FRAIL Scale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65 岁以上或营养专项再启用</w:t>
            </w:r>
          </w:p>
        </w:tc>
      </w:tr>
      <w:tr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代谢和慢病风险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BMI、腰围/腰高比、FINDRISC、Framingham Risk Score、ASCVD/PCE/PREVENT、SCORE2/SCORE2-OP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需要年龄、血压、血脂、吸烟等信息；首期只做基础记录</w:t>
            </w:r>
          </w:p>
        </w:tc>
      </w:tr>
      <w:tr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呼吸与心肺症状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mMRC Dyspnea Scale、CAT、ACT、NYHA Functional Class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有呼吸或心肺症状时再触发，并建议专业咨询</w:t>
            </w:r>
          </w:p>
        </w:tc>
      </w:tr>
      <w:tr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认知与老年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MoCA、MMSE、Mini-Cog、AD8、GDS-15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老年专项再考虑；授权和使用资质需先确认</w:t>
            </w:r>
          </w:p>
        </w:tc>
      </w:tr>
      <w:tr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女性、泌尿与性健康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EPDS、Menopause Rating Scale、IPSS/AUA-SI、ICIQ-UI SF、FSFI、IIEF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按特定人群单独设计，不进入默认问卷</w:t>
            </w:r>
          </w:p>
        </w:tc>
      </w:tr>
      <w:tr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皮肤与过敏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DLQI、POEM、UAS7、SCORAD、EASI</w:t>
            </w:r>
          </w:p>
        </w:tc>
        <w:tc>
          <w:tcPr>
            <w:tcW w:type="dxa" w:w="3278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仅在皮肤/过敏专项中使用</w:t>
            </w:r>
          </w:p>
        </w:tc>
      </w:tr>
    </w:tbl>
    <w:p>
      <w:pPr>
        <w:pStyle w:val="Heading1"/>
        <w:spacing w:before="200" w:after="120"/>
      </w:pPr>
      <w:r>
        <w:t>五、运营需要先确认的人群问题</w:t>
      </w:r>
    </w:p>
    <w:p>
      <w:pPr>
        <w:pStyle w:val="ListBullet"/>
        <w:spacing w:after="40"/>
      </w:pPr>
      <w:r>
        <w:t>首期是否只面向 18 岁以上普通成人。建议首期先排除未成年人、孕产妇、严重慢病、正在治疗中的急性疾病用户。</w:t>
      </w:r>
    </w:p>
    <w:p>
      <w:pPr>
        <w:pStyle w:val="ListBullet"/>
        <w:spacing w:after="40"/>
      </w:pPr>
      <w:r>
        <w:t>Root 当前最重要的人群是便秘型、腹泻型、腹胀型、作息压力型，还是“想改善日常状态”的泛人群。</w:t>
      </w:r>
    </w:p>
    <w:p>
      <w:pPr>
        <w:pStyle w:val="ListBullet"/>
        <w:spacing w:after="40"/>
      </w:pPr>
      <w:r>
        <w:t>用户是否能接受每日 1 分钟记录，以及第 3 天、第 7 天各一次完整复测。</w:t>
      </w:r>
    </w:p>
    <w:p>
      <w:pPr>
        <w:pStyle w:val="ListBullet"/>
        <w:spacing w:after="40"/>
      </w:pPr>
      <w:r>
        <w:t>是否要把“想继续使用、愿意分享真实体验、愿意复购”的反馈和健康状态变化放在同一张运营表里。</w:t>
      </w:r>
    </w:p>
    <w:p>
      <w:pPr>
        <w:pStyle w:val="ListBullet"/>
        <w:spacing w:after="40"/>
      </w:pPr>
      <w:r>
        <w:t>哪些问题对用户过于敏感，例如情绪、饮酒、体重、孕产、泌尿等，是否需要放在条件触发中。</w:t>
      </w:r>
    </w:p>
    <w:p>
      <w:pPr>
        <w:pStyle w:val="Heading1"/>
        <w:spacing w:before="200" w:after="120"/>
      </w:pPr>
      <w:r>
        <w:t>六、专家需要确认的问题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7"/>
        <w:gridCol w:w="4917"/>
      </w:tblGrid>
      <w:tr>
        <w:tc>
          <w:tcPr>
            <w:tcW w:type="dxa" w:w="4917"/>
            <w:vAlign w:val="top"/>
            <w:shd w:fill="DCFCE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确认项</w:t>
            </w:r>
          </w:p>
        </w:tc>
        <w:tc>
          <w:tcPr>
            <w:tcW w:type="dxa" w:w="4917"/>
            <w:vAlign w:val="top"/>
            <w:shd w:fill="DCFCE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请专家判断</w:t>
            </w:r>
          </w:p>
        </w:tc>
      </w:tr>
      <w:tr>
        <w:tc>
          <w:tcPr>
            <w:tcW w:type="dxa" w:w="4917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首期核心量表</w:t>
            </w:r>
          </w:p>
        </w:tc>
        <w:tc>
          <w:tcPr>
            <w:tcW w:type="dxa" w:w="4917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CDC HRQOL-4、WHO-5、Bristol Stool Form Scale、ISI、消化症状追踪是否足够支撑首期观察</w:t>
            </w:r>
          </w:p>
        </w:tc>
      </w:tr>
      <w:tr>
        <w:tc>
          <w:tcPr>
            <w:tcW w:type="dxa" w:w="4917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肠道部分</w:t>
            </w:r>
          </w:p>
        </w:tc>
        <w:tc>
          <w:tcPr>
            <w:tcW w:type="dxa" w:w="4917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是否需要正式采用 GSRS、GerdQ 或 Rome IV；如果采用，适用人群和授权要求是什么</w:t>
            </w:r>
          </w:p>
        </w:tc>
      </w:tr>
      <w:tr>
        <w:tc>
          <w:tcPr>
            <w:tcW w:type="dxa" w:w="4917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心理部分</w:t>
            </w:r>
          </w:p>
        </w:tc>
        <w:tc>
          <w:tcPr>
            <w:tcW w:type="dxa" w:w="4917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WHO-5 低分后是否触发 PHQ-2/GAD-2；PHQ-9/GAD-7 的提醒文案和求助路径如何写</w:t>
            </w:r>
          </w:p>
        </w:tc>
      </w:tr>
      <w:tr>
        <w:tc>
          <w:tcPr>
            <w:tcW w:type="dxa" w:w="4917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睡眠部分</w:t>
            </w:r>
          </w:p>
        </w:tc>
        <w:tc>
          <w:tcPr>
            <w:tcW w:type="dxa" w:w="4917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ISI 是否足够；哪些情况需要加 ESS、STOP-Bang 或建议线下检查</w:t>
            </w:r>
          </w:p>
        </w:tc>
      </w:tr>
      <w:tr>
        <w:tc>
          <w:tcPr>
            <w:tcW w:type="dxa" w:w="4917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红旗提醒</w:t>
            </w:r>
          </w:p>
        </w:tc>
        <w:tc>
          <w:tcPr>
            <w:tcW w:type="dxa" w:w="4917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血便、黑便、持续腹痛、发热、严重腹泻、明显体重下降、严重情绪风险等情况如何提示</w:t>
            </w:r>
          </w:p>
        </w:tc>
      </w:tr>
      <w:tr>
        <w:tc>
          <w:tcPr>
            <w:tcW w:type="dxa" w:w="4917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复测频率</w:t>
            </w:r>
          </w:p>
        </w:tc>
        <w:tc>
          <w:tcPr>
            <w:tcW w:type="dxa" w:w="4917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首日、第 3 天、第 7 天、复购前的安排是否合适</w:t>
            </w:r>
          </w:p>
        </w:tc>
      </w:tr>
      <w:tr>
        <w:tc>
          <w:tcPr>
            <w:tcW w:type="dxa" w:w="4917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结果表达</w:t>
            </w:r>
          </w:p>
        </w:tc>
        <w:tc>
          <w:tcPr>
            <w:tcW w:type="dxa" w:w="4917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哪些表述可以给用户看，哪些只能给运营或专家参考</w:t>
            </w:r>
          </w:p>
        </w:tc>
      </w:tr>
      <w:tr>
        <w:tc>
          <w:tcPr>
            <w:tcW w:type="dxa" w:w="4917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授权和中文版本</w:t>
            </w:r>
          </w:p>
        </w:tc>
        <w:tc>
          <w:tcPr>
            <w:tcW w:type="dxa" w:w="4917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所有正式量表是否可用于 Root 的商业和线上收集场景；中文翻译是否有指定版本</w:t>
            </w:r>
          </w:p>
        </w:tc>
      </w:tr>
    </w:tbl>
    <w:p>
      <w:pPr>
        <w:pStyle w:val="Heading1"/>
        <w:spacing w:before="200" w:after="120"/>
      </w:pPr>
      <w:r>
        <w:t>七、对用户展示的结果口径</w:t>
      </w:r>
    </w:p>
    <w:p>
      <w:pPr>
        <w:pStyle w:val="Heading2"/>
        <w:spacing w:before="160" w:after="80"/>
      </w:pPr>
      <w:r>
        <w:t>推荐表达</w:t>
      </w:r>
    </w:p>
    <w:p>
      <w:pPr>
        <w:pStyle w:val="ListBullet"/>
        <w:spacing w:after="40"/>
      </w:pPr>
      <w:r>
        <w:t>“你的近期状态提示：肠道规律性较前几天有所变化，建议继续记录 3 天。”</w:t>
      </w:r>
    </w:p>
    <w:p>
      <w:pPr>
        <w:pStyle w:val="ListBullet"/>
        <w:spacing w:after="40"/>
      </w:pPr>
      <w:r>
        <w:t>“这不是诊断结果，只是帮助你了解近期状态变化。”</w:t>
      </w:r>
    </w:p>
    <w:p>
      <w:pPr>
        <w:pStyle w:val="ListBullet"/>
        <w:spacing w:after="40"/>
      </w:pPr>
      <w:r>
        <w:t>“如果出现血便、黑便、持续腹痛、发热或明显体重下降，请及时咨询医生。”</w:t>
      </w:r>
    </w:p>
    <w:p>
      <w:pPr>
        <w:pStyle w:val="ListBullet"/>
        <w:spacing w:after="40"/>
      </w:pPr>
      <w:r>
        <w:t>“如果你最近情绪持续低落，或出现伤害自己的想法，请尽快联系身边可信任的人并寻求专业帮助。”</w:t>
      </w:r>
    </w:p>
    <w:p>
      <w:pPr>
        <w:pStyle w:val="Heading2"/>
        <w:spacing w:before="160" w:after="80"/>
      </w:pPr>
      <w:r>
        <w:t>不建议表达</w:t>
      </w:r>
    </w:p>
    <w:p>
      <w:pPr>
        <w:pStyle w:val="ListBullet"/>
        <w:spacing w:after="40"/>
      </w:pPr>
      <w:r>
        <w:t>“你患有某某疾病。”</w:t>
      </w:r>
    </w:p>
    <w:p>
      <w:pPr>
        <w:pStyle w:val="ListBullet"/>
        <w:spacing w:after="40"/>
      </w:pPr>
      <w:r>
        <w:t>“这个产品可以治疗某某问题。”</w:t>
      </w:r>
    </w:p>
    <w:p>
      <w:pPr>
        <w:pStyle w:val="ListBullet"/>
        <w:spacing w:after="40"/>
      </w:pPr>
      <w:r>
        <w:t>“按这个建议做一定会改善。”</w:t>
      </w:r>
    </w:p>
    <w:p>
      <w:pPr>
        <w:pStyle w:val="ListBullet"/>
        <w:spacing w:after="40"/>
      </w:pPr>
      <w:r>
        <w:t>“所有人都适用。”</w:t>
      </w:r>
    </w:p>
    <w:p>
      <w:pPr>
        <w:pStyle w:val="Heading1"/>
        <w:spacing w:before="200" w:after="120"/>
      </w:pPr>
      <w:r>
        <w:t>八、建议的运营推进顺序</w:t>
      </w:r>
    </w:p>
    <w:p>
      <w:pPr>
        <w:pStyle w:val="ListNumber"/>
        <w:spacing w:after="40"/>
      </w:pPr>
      <w:r>
        <w:t>先请专家确认首期默认填写清单和条件触发清单。</w:t>
      </w:r>
    </w:p>
    <w:p>
      <w:pPr>
        <w:pStyle w:val="ListNumber"/>
        <w:spacing w:after="40"/>
      </w:pPr>
      <w:r>
        <w:t>找 10 到 20 名目标用户试填，记录完成时长、理解障碍、敏感问题、愿意复测的意愿。</w:t>
      </w:r>
    </w:p>
    <w:p>
      <w:pPr>
        <w:pStyle w:val="ListNumber"/>
        <w:spacing w:after="40"/>
      </w:pPr>
      <w:r>
        <w:t>把试填结果按“能直接保留、需要改问法、暂缓使用、需要专家再看”四类整理。</w:t>
      </w:r>
    </w:p>
    <w:p>
      <w:pPr>
        <w:pStyle w:val="ListNumber"/>
        <w:spacing w:after="40"/>
      </w:pPr>
      <w:r>
        <w:t>确认所有正式量表的授权、中文版本、图片使用和线上收集要求。</w:t>
      </w:r>
    </w:p>
    <w:p>
      <w:pPr>
        <w:pStyle w:val="ListNumber"/>
        <w:spacing w:after="40"/>
      </w:pPr>
      <w:r>
        <w:t>形成首期最终清单：默认填写项、条件触发项、暂缓项、红旗提醒项。</w:t>
      </w:r>
    </w:p>
    <w:p>
      <w:pPr>
        <w:pStyle w:val="Heading1"/>
        <w:spacing w:before="200" w:after="120"/>
      </w:pPr>
      <w:r>
        <w:t>九、专家确认表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05"/>
        <w:gridCol w:w="1405"/>
        <w:gridCol w:w="1405"/>
        <w:gridCol w:w="1405"/>
        <w:gridCol w:w="1405"/>
        <w:gridCol w:w="1405"/>
        <w:gridCol w:w="1405"/>
      </w:tblGrid>
      <w:tr>
        <w:tc>
          <w:tcPr>
            <w:tcW w:type="dxa" w:w="1405"/>
            <w:vAlign w:val="top"/>
            <w:shd w:fill="FEF3C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评测工具</w:t>
            </w:r>
          </w:p>
        </w:tc>
        <w:tc>
          <w:tcPr>
            <w:tcW w:type="dxa" w:w="1405"/>
            <w:vAlign w:val="top"/>
            <w:shd w:fill="FEF3C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是否建议首期使用</w:t>
            </w:r>
          </w:p>
        </w:tc>
        <w:tc>
          <w:tcPr>
            <w:tcW w:type="dxa" w:w="1405"/>
            <w:vAlign w:val="top"/>
            <w:shd w:fill="FEF3C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适用人群</w:t>
            </w:r>
          </w:p>
        </w:tc>
        <w:tc>
          <w:tcPr>
            <w:tcW w:type="dxa" w:w="1405"/>
            <w:vAlign w:val="top"/>
            <w:shd w:fill="FEF3C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使用频率</w:t>
            </w:r>
          </w:p>
        </w:tc>
        <w:tc>
          <w:tcPr>
            <w:tcW w:type="dxa" w:w="1405"/>
            <w:vAlign w:val="top"/>
            <w:shd w:fill="FEF3C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结果如何解释</w:t>
            </w:r>
          </w:p>
        </w:tc>
        <w:tc>
          <w:tcPr>
            <w:tcW w:type="dxa" w:w="1405"/>
            <w:vAlign w:val="top"/>
            <w:shd w:fill="FEF3C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授权/中文版本</w:t>
            </w:r>
          </w:p>
        </w:tc>
        <w:tc>
          <w:tcPr>
            <w:tcW w:type="dxa" w:w="1405"/>
            <w:vAlign w:val="top"/>
            <w:shd w:fill="FEF3C7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</w:r>
            <w:r>
              <w:rPr>
                <w:rFonts w:ascii="Microsoft YaHei" w:hAnsi="Microsoft YaHei" w:eastAsia="Microsoft YaHei"/>
                <w:b/>
                <w:color w:val="0F172A"/>
                <w:sz w:val="18"/>
              </w:rPr>
              <w:t>专家备注</w:t>
            </w:r>
          </w:p>
        </w:tc>
      </w:tr>
      <w:tr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CDC HRQOL-4</w:t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WHO-5</w:t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Bristol Stool Form Scale</w:t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消化症状追踪</w:t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GSRS</w:t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GerdQ</w:t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ISI</w:t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PHQ-2/GAD-2</w:t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PHQ-9/GAD-7</w:t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  <w:tr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  <w:t>PSS-10</w:t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  <w:tc>
          <w:tcPr>
            <w:tcW w:type="dxa" w:w="1405"/>
            <w:vAlign w:val="top"/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sz w:val="18"/>
              </w:rPr>
            </w:r>
            <w:r>
              <w:rPr>
                <w:rFonts w:ascii="Microsoft YaHei" w:hAnsi="Microsoft YaHei" w:eastAsia="Microsoft YaHei"/>
                <w:b w:val="0"/>
                <w:sz w:val="18"/>
              </w:rPr>
            </w:r>
          </w:p>
        </w:tc>
      </w:tr>
    </w:tbl>
    <w:p>
      <w:pPr>
        <w:pStyle w:val="Heading1"/>
        <w:spacing w:before="200" w:after="120"/>
      </w:pPr>
      <w:r>
        <w:t>十、参考来源</w:t>
      </w:r>
    </w:p>
    <w:p>
      <w:pPr>
        <w:spacing w:after="80"/>
      </w:pPr>
      <w:r>
        <w:rPr>
          <w:rFonts w:ascii="Microsoft YaHei" w:hAnsi="Microsoft YaHei" w:eastAsia="Microsoft YaHei"/>
        </w:rPr>
        <w:t>以下来源用于帮助运营和专家核对量表背景、适用范围和授权要求。正式使用前，建议逐项确认中文版本与商业/线上收集许可。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WHO-5 Well-Being Index：</w:t>
      </w:r>
      <w:hyperlink r:id="rId10">
        <w:r>
          <w:rPr>
            <w:rStyle w:val="Hyperlink"/>
          </w:rPr>
          <w:t>https://www.who.int/publications/m/item/WHO-UCN-MSD-MHE-2024.01</w:t>
        </w:r>
      </w:hyperlink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WHOQOL-BREF：</w:t>
      </w:r>
      <w:hyperlink r:id="rId11">
        <w:r>
          <w:rPr>
            <w:rStyle w:val="Hyperlink"/>
          </w:rPr>
          <w:t>https://www.who.int/tools/whoqol/whoqol-bref</w:t>
        </w:r>
      </w:hyperlink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WHODAS 2.0：</w:t>
      </w:r>
      <w:hyperlink r:id="rId12">
        <w:r>
          <w:rPr>
            <w:rStyle w:val="Hyperlink"/>
          </w:rPr>
          <w:t>https://www.who.int/standards/classifications/international-classification-of-functioning-disability-and-health/who-disability-assessment-schedule</w:t>
        </w:r>
      </w:hyperlink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PROMIS：</w:t>
      </w:r>
      <w:hyperlink r:id="rId13">
        <w:r>
          <w:rPr>
            <w:rStyle w:val="Hyperlink"/>
          </w:rPr>
          <w:t>https://commonfund.nih.gov/promis</w:t>
        </w:r>
      </w:hyperlink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HealthMeasures / PROMIS：</w:t>
      </w:r>
      <w:hyperlink r:id="rId14">
        <w:r>
          <w:rPr>
            <w:rStyle w:val="Hyperlink"/>
          </w:rPr>
          <w:t>https://www.promishealth.org/healthmeasures/</w:t>
        </w:r>
      </w:hyperlink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EQ-5D-5L：</w:t>
      </w:r>
      <w:hyperlink r:id="rId15">
        <w:r>
          <w:rPr>
            <w:rStyle w:val="Hyperlink"/>
          </w:rPr>
          <w:t>https://euroqol.org/information-and-support/euroqol-instruments/eq-5d-5l/</w:t>
        </w:r>
      </w:hyperlink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CDC HRQOL / Healthy Days：</w:t>
      </w:r>
      <w:hyperlink r:id="rId16">
        <w:r>
          <w:rPr>
            <w:rStyle w:val="Hyperlink"/>
          </w:rPr>
          <w:t>https://archive.cdc.gov/www_cdc_gov/hrqol/hrqol14_measure.htm</w:t>
        </w:r>
      </w:hyperlink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RAND SF-36：</w:t>
      </w:r>
      <w:hyperlink r:id="rId17">
        <w:r>
          <w:rPr>
            <w:rStyle w:val="Hyperlink"/>
          </w:rPr>
          <w:t>https://www.rand.org/health/surveys/mos/36-item-short-form.html</w:t>
        </w:r>
      </w:hyperlink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RAND SF-12：</w:t>
      </w:r>
      <w:hyperlink r:id="rId18">
        <w:r>
          <w:rPr>
            <w:rStyle w:val="Hyperlink"/>
          </w:rPr>
          <w:t>https://www.rand.org/health/surveys/mos/12-item-short-form.html</w:t>
        </w:r>
      </w:hyperlink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Rome IV Diagnostic Questionnaire：</w:t>
      </w:r>
      <w:hyperlink r:id="rId19">
        <w:r>
          <w:rPr>
            <w:rStyle w:val="Hyperlink"/>
          </w:rPr>
          <w:t>https://theromefoundation.org/rome-iv-diagnostic-questionnaire/</w:t>
        </w:r>
      </w:hyperlink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Rome Foundation Bristol Stool Form Scale：</w:t>
      </w:r>
      <w:hyperlink r:id="rId20">
        <w:r>
          <w:rPr>
            <w:rStyle w:val="Hyperlink"/>
          </w:rPr>
          <w:t>https://theromefoundation.org/resources/bristol-stool-form-scale/</w:t>
        </w:r>
      </w:hyperlink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GSRS, AstraZeneca Patient Reported Outcomes：</w:t>
      </w:r>
      <w:hyperlink r:id="rId21">
        <w:r>
          <w:rPr>
            <w:rStyle w:val="Hyperlink"/>
          </w:rPr>
          <w:t>https://www.astrazeneca.com/patient-reported-outcomes/gastrointestinal.html</w:t>
        </w:r>
      </w:hyperlink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Pittsburgh Sleep Quality Index：</w:t>
      </w:r>
      <w:hyperlink r:id="rId22">
        <w:r>
          <w:rPr>
            <w:rStyle w:val="Hyperlink"/>
          </w:rPr>
          <w:t>https://www.sleep.pitt.edu/psqi</w:t>
        </w:r>
      </w:hyperlink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PHQ Screeners：</w:t>
      </w:r>
      <w:hyperlink r:id="rId23">
        <w:r>
          <w:rPr>
            <w:rStyle w:val="Hyperlink"/>
          </w:rPr>
          <w:t>https://www.phqscreeners.com/</w:t>
        </w:r>
      </w:hyperlink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WHO AUDIT：</w:t>
      </w:r>
      <w:hyperlink r:id="rId24">
        <w:r>
          <w:rPr>
            <w:rStyle w:val="Hyperlink"/>
          </w:rPr>
          <w:t>https://www.who.int/publications/i/item/WHO-MSD-MSB-01.6a</w:t>
        </w:r>
      </w:hyperlink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WHO ASSIST：</w:t>
      </w:r>
      <w:hyperlink r:id="rId25">
        <w:r>
          <w:rPr>
            <w:rStyle w:val="Hyperlink"/>
          </w:rPr>
          <w:t>https://www.who.int/publications/i/item/978924159938-2</w:t>
        </w:r>
      </w:hyperlink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Mini Nutritional Assessment：</w:t>
      </w:r>
      <w:hyperlink r:id="rId26">
        <w:r>
          <w:rPr>
            <w:rStyle w:val="Hyperlink"/>
          </w:rPr>
          <w:t>https://www.mna-elderly.com/</w:t>
        </w:r>
      </w:hyperlink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BAPEN MUST Toolkit：</w:t>
      </w:r>
      <w:hyperlink r:id="rId27">
        <w:r>
          <w:rPr>
            <w:rStyle w:val="Hyperlink"/>
          </w:rPr>
          <w:t>https://www.bapen.org.uk/must-and-self-screening/must-toolkit/</w:t>
        </w:r>
      </w:hyperlink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ESPEN Nutrition Screening 2002：</w:t>
      </w:r>
      <w:hyperlink r:id="rId28">
        <w:r>
          <w:rPr>
            <w:rStyle w:val="Hyperlink"/>
          </w:rPr>
          <w:t>https://espen.org/documents/Screening.pdf</w:t>
        </w:r>
      </w:hyperlink>
    </w:p>
    <w:p>
      <w:pPr>
        <w:pStyle w:val="ListBullet"/>
        <w:spacing w:after="40"/>
      </w:pPr>
      <w:r>
        <w:rPr>
          <w:rFonts w:ascii="Microsoft YaHei" w:hAnsi="Microsoft YaHei" w:eastAsia="Microsoft YaHei"/>
        </w:rPr>
        <w:t>Clinical Frailty Scale：</w:t>
      </w:r>
      <w:hyperlink r:id="rId29">
        <w:r>
          <w:rPr>
            <w:rStyle w:val="Hyperlink"/>
          </w:rPr>
          <w:t>https://www.dal.ca/sites/gmr/our-tools/clinical-frailty-scale.html</w:t>
        </w:r>
      </w:hyperlink>
    </w:p>
    <w:sectPr w:rsidR="00FC693F" w:rsidRPr="0006063C" w:rsidSect="00034616">
      <w:footerReference w:type="default" r:id="rId9"/>
      <w:pgSz w:w="11909" w:h="16834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4748B"/>
        <w:sz w:val="16"/>
      </w:rPr>
      <w:t>Root 首期健康状态评测和量表确认稿｜运营与专家沟通版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F172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293B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341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75569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who.int/publications/m/item/WHO-UCN-MSD-MHE-2024.01" TargetMode="External"/><Relationship Id="rId11" Type="http://schemas.openxmlformats.org/officeDocument/2006/relationships/hyperlink" Target="https://www.who.int/tools/whoqol/whoqol-bref" TargetMode="External"/><Relationship Id="rId12" Type="http://schemas.openxmlformats.org/officeDocument/2006/relationships/hyperlink" Target="https://www.who.int/standards/classifications/international-classification-of-functioning-disability-and-health/who-disability-assessment-schedule" TargetMode="External"/><Relationship Id="rId13" Type="http://schemas.openxmlformats.org/officeDocument/2006/relationships/hyperlink" Target="https://commonfund.nih.gov/promis" TargetMode="External"/><Relationship Id="rId14" Type="http://schemas.openxmlformats.org/officeDocument/2006/relationships/hyperlink" Target="https://www.promishealth.org/healthmeasures/" TargetMode="External"/><Relationship Id="rId15" Type="http://schemas.openxmlformats.org/officeDocument/2006/relationships/hyperlink" Target="https://euroqol.org/information-and-support/euroqol-instruments/eq-5d-5l/" TargetMode="External"/><Relationship Id="rId16" Type="http://schemas.openxmlformats.org/officeDocument/2006/relationships/hyperlink" Target="https://archive.cdc.gov/www_cdc_gov/hrqol/hrqol14_measure.htm" TargetMode="External"/><Relationship Id="rId17" Type="http://schemas.openxmlformats.org/officeDocument/2006/relationships/hyperlink" Target="https://www.rand.org/health/surveys/mos/36-item-short-form.html" TargetMode="External"/><Relationship Id="rId18" Type="http://schemas.openxmlformats.org/officeDocument/2006/relationships/hyperlink" Target="https://www.rand.org/health/surveys/mos/12-item-short-form.html" TargetMode="External"/><Relationship Id="rId19" Type="http://schemas.openxmlformats.org/officeDocument/2006/relationships/hyperlink" Target="https://theromefoundation.org/rome-iv-diagnostic-questionnaire/" TargetMode="External"/><Relationship Id="rId20" Type="http://schemas.openxmlformats.org/officeDocument/2006/relationships/hyperlink" Target="https://theromefoundation.org/resources/bristol-stool-form-scale/" TargetMode="External"/><Relationship Id="rId21" Type="http://schemas.openxmlformats.org/officeDocument/2006/relationships/hyperlink" Target="https://www.astrazeneca.com/patient-reported-outcomes/gastrointestinal.html" TargetMode="External"/><Relationship Id="rId22" Type="http://schemas.openxmlformats.org/officeDocument/2006/relationships/hyperlink" Target="https://www.sleep.pitt.edu/psqi" TargetMode="External"/><Relationship Id="rId23" Type="http://schemas.openxmlformats.org/officeDocument/2006/relationships/hyperlink" Target="https://www.phqscreeners.com/" TargetMode="External"/><Relationship Id="rId24" Type="http://schemas.openxmlformats.org/officeDocument/2006/relationships/hyperlink" Target="https://www.who.int/publications/i/item/WHO-MSD-MSB-01.6a" TargetMode="External"/><Relationship Id="rId25" Type="http://schemas.openxmlformats.org/officeDocument/2006/relationships/hyperlink" Target="https://www.who.int/publications/i/item/978924159938-2" TargetMode="External"/><Relationship Id="rId26" Type="http://schemas.openxmlformats.org/officeDocument/2006/relationships/hyperlink" Target="https://www.mna-elderly.com/" TargetMode="External"/><Relationship Id="rId27" Type="http://schemas.openxmlformats.org/officeDocument/2006/relationships/hyperlink" Target="https://www.bapen.org.uk/must-and-self-screening/must-toolkit/" TargetMode="External"/><Relationship Id="rId28" Type="http://schemas.openxmlformats.org/officeDocument/2006/relationships/hyperlink" Target="https://espen.org/documents/Screening.pdf" TargetMode="External"/><Relationship Id="rId29" Type="http://schemas.openxmlformats.org/officeDocument/2006/relationships/hyperlink" Target="https://www.dal.ca/sites/gmr/our-tools/clinical-frailty-scal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Root首期健康状态评测和量表确认稿</dc:title>
  <dc:subject>运营与专家沟通版</dc:subject>
  <dc:creator>Codex</dc:creator>
  <cp:keywords/>
  <dc:description>用于运营收集人群意见和专家确认，非诊断用途。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