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a-growth-plan-for-gym-name"/>
    <w:p>
      <w:pPr>
        <w:pStyle w:val="Heading1"/>
      </w:pPr>
      <w:r>
        <w:t xml:space="preserve">A growth plan for [Gym Name]</w:t>
      </w:r>
    </w:p>
    <w:p>
      <w:pPr>
        <w:pStyle w:val="FirstParagraph"/>
      </w:pPr>
      <w:r>
        <w:rPr>
          <w:b/>
          <w:bCs/>
        </w:rPr>
        <w:t xml:space="preserve">Sameer Rijhsinghani · 2026-05-07</w:t>
      </w:r>
    </w:p>
    <w:p>
      <w:r>
        <w:pict>
          <v:rect style="width:0;height:1.5pt" o:hralign="center" o:hrstd="t" o:hr="t"/>
        </w:pict>
      </w:r>
    </w:p>
    <w:p>
      <w:pPr>
        <w:pStyle w:val="FirstParagraph"/>
      </w:pPr>
      <w:r>
        <w:t xml:space="preserve">Don —</w:t>
      </w:r>
    </w:p>
    <w:p>
      <w:pPr>
        <w:pStyle w:val="BodyText"/>
      </w:pPr>
      <w:r>
        <w:t xml:space="preserve">Here’s what I’m seeing from the last few weeks of Wellness Living calls.</w:t>
      </w:r>
    </w:p>
    <w:p>
      <w:pPr>
        <w:pStyle w:val="BodyText"/>
      </w:pPr>
      <w:r>
        <w:t xml:space="preserve">You’re 80% through the migration. The hard part is mostly behind you. But there are 3 things sitting between you and the kind of growth you said you want — high performers, more memberships per location, the $10K Eatontown and Freehold campaign actually paying off.</w:t>
      </w:r>
    </w:p>
    <w:bookmarkStart w:id="9" w:name="whats-true-today"/>
    <w:p>
      <w:pPr>
        <w:pStyle w:val="Heading2"/>
      </w:pPr>
      <w:r>
        <w:t xml:space="preserve">What’s true today</w:t>
      </w:r>
    </w:p>
    <w:p>
      <w:pPr>
        <w:pStyle w:val="FirstParagraph"/>
      </w:pPr>
      <w:r>
        <w:t xml:space="preserve">You can’t see your own business clearly.</w:t>
      </w:r>
      <w:r>
        <w:t xml:space="preserve"> </w:t>
      </w:r>
      <w:r>
        <w:t xml:space="preserve">“How many members per location?”</w:t>
      </w:r>
      <w:r>
        <w:t xml:space="preserve"> </w:t>
      </w:r>
      <w:r>
        <w:t xml:space="preserve">should be a 5-second answer. It isn’t. Home-location data, package mappings, and family-vs-individual counts aren’t reconciled in Wellness Living yet.</w:t>
      </w:r>
    </w:p>
    <w:p>
      <w:pPr>
        <w:pStyle w:val="BodyText"/>
      </w:pPr>
      <w:r>
        <w:t xml:space="preserve">Your acquisition pipeline leaks. Inquiries come in through the website, Claudia follows up on Google Voice, most go cold. Email’s hitting spam. Texting works better than email — but Claudia’s running outbound on a personal-feeling number that isn’t registered as a business line. Every inquiry that ghosts is $1,500 to $3,000 in member LTV walking out the door.</w:t>
      </w:r>
    </w:p>
    <w:p>
      <w:pPr>
        <w:pStyle w:val="BodyText"/>
      </w:pPr>
      <w:r>
        <w:t xml:space="preserve">HyRox and PT don’t flow into Wellness Living. You answer those bookings yourself. So at the end of the quarter you can’t tell what HyRox actually contributed, what PT did, or where the time leaks are.</w:t>
      </w:r>
    </w:p>
    <w:p>
      <w:pPr>
        <w:pStyle w:val="BodyText"/>
      </w:pPr>
      <w:r>
        <w:t xml:space="preserve">Your $1,200/month Wellness Living account manager handles inside-the-platform work. What I want to do is the layer outside it — between Wellness Living and your website, your phones, Constant Contact, HyRox, Brevo at Freehold, and the campaign you’re already planning to run.</w:t>
      </w:r>
    </w:p>
    <w:bookmarkEnd w:id="9"/>
    <w:bookmarkStart w:id="10" w:name="where-this-can-be-in-6-months"/>
    <w:p>
      <w:pPr>
        <w:pStyle w:val="Heading2"/>
      </w:pPr>
      <w:r>
        <w:t xml:space="preserve">Where this can be in 6 months</w:t>
      </w:r>
    </w:p>
    <w:p>
      <w:pPr>
        <w:pStyle w:val="FirstParagraph"/>
      </w:pPr>
      <w:r>
        <w:t xml:space="preserve">You open one dashboard Tuesday morning. Members per location. Revenue by service line — memberships, PT, HyRox, drop-ins. New inquiries with conversion status. At-risk members.</w:t>
      </w:r>
    </w:p>
    <w:p>
      <w:pPr>
        <w:pStyle w:val="BodyText"/>
      </w:pPr>
      <w:r>
        <w:t xml:space="preserve">Every website inquiry hits Claudia within 5 minutes on a real business number, gets booked into a free class, and lands in Wellness Living with the source tagged. Conversion from inquiry to first class roughly doubles.</w:t>
      </w:r>
    </w:p>
    <w:p>
      <w:pPr>
        <w:pStyle w:val="BodyText"/>
      </w:pPr>
      <w:r>
        <w:t xml:space="preserve">The $10K Eatontown and Freehold campaign — the one you said you want to run — actually converts. Without the foundation underneath, $10K becomes 200 leads and 12 members. With it, the same $10K becomes 200 leads and 30+ members.</w:t>
      </w:r>
    </w:p>
    <w:p>
      <w:pPr>
        <w:pStyle w:val="BodyText"/>
      </w:pPr>
      <w:r>
        <w:t xml:space="preserve">HyRox and PT visible. Bookable. You stop answering booking texts personally. Jordan and Riley get clean payroll attribution.</w:t>
      </w:r>
    </w:p>
    <w:p>
      <w:pPr>
        <w:pStyle w:val="BodyText"/>
      </w:pPr>
      <w:r>
        <w:t xml:space="preserve">And the legacy 5-class punch-card members you mentioned — the low-hanging fruit — get a real reactivation sequence designed to convert them into the new $99 and $149 packages.</w:t>
      </w:r>
    </w:p>
    <w:bookmarkEnd w:id="10"/>
    <w:bookmarkStart w:id="14" w:name="how-we-get-there"/>
    <w:p>
      <w:pPr>
        <w:pStyle w:val="Heading2"/>
      </w:pPr>
      <w:r>
        <w:t xml:space="preserve">How we get there</w:t>
      </w:r>
    </w:p>
    <w:p>
      <w:pPr>
        <w:pStyle w:val="FirstParagraph"/>
      </w:pPr>
      <w:r>
        <w:t xml:space="preserve">3 phases. You can stop after any of them. No annual contract, no lock-in.</w:t>
      </w:r>
    </w:p>
    <w:bookmarkStart w:id="11" w:name="phase-0-discovery-sprint"/>
    <w:p>
      <w:pPr>
        <w:pStyle w:val="Heading3"/>
      </w:pPr>
      <w:r>
        <w:t xml:space="preserve">Phase 0 — Discovery sprint</w:t>
      </w:r>
    </w:p>
    <w:p>
      <w:pPr>
        <w:pStyle w:val="FirstParagraph"/>
      </w:pPr>
      <w:r>
        <w:rPr>
          <w:b/>
          <w:bCs/>
        </w:rPr>
        <w:t xml:space="preserve">2 weeks · $2,500</w:t>
      </w:r>
    </w:p>
    <w:p>
      <w:pPr>
        <w:pStyle w:val="BodyText"/>
      </w:pPr>
      <w:r>
        <w:t xml:space="preserve">NDA signed first. Then I get a one-time data export from Wellness Living, or read-only API access if your account manager can spin it up.</w:t>
      </w:r>
    </w:p>
    <w:p>
      <w:pPr>
        <w:pStyle w:val="BodyText"/>
      </w:pPr>
      <w:r>
        <w:t xml:space="preserve">I come back with:</w:t>
      </w:r>
    </w:p>
    <w:p>
      <w:pPr>
        <w:pStyle w:val="Compact"/>
        <w:numPr>
          <w:ilvl w:val="0"/>
          <w:numId w:val="1001"/>
        </w:numPr>
      </w:pPr>
      <w:r>
        <w:t xml:space="preserve">Members-by-location report — the question you said you can’t answer</w:t>
      </w:r>
    </w:p>
    <w:p>
      <w:pPr>
        <w:pStyle w:val="Compact"/>
        <w:numPr>
          <w:ilvl w:val="0"/>
          <w:numId w:val="1001"/>
        </w:numPr>
      </w:pPr>
      <w:r>
        <w:t xml:space="preserve">Revenue by service line for the trailing 90 days</w:t>
      </w:r>
    </w:p>
    <w:p>
      <w:pPr>
        <w:pStyle w:val="Compact"/>
        <w:numPr>
          <w:ilvl w:val="0"/>
          <w:numId w:val="1001"/>
        </w:numPr>
      </w:pPr>
      <w:r>
        <w:t xml:space="preserve">Map of every system that touches a member or a dollar</w:t>
      </w:r>
    </w:p>
    <w:p>
      <w:pPr>
        <w:pStyle w:val="Compact"/>
        <w:numPr>
          <w:ilvl w:val="0"/>
          <w:numId w:val="1001"/>
        </w:numPr>
      </w:pPr>
      <w:r>
        <w:t xml:space="preserve">3 specific cross-system gaps with revenue numbers attached</w:t>
      </w:r>
    </w:p>
    <w:p>
      <w:pPr>
        <w:pStyle w:val="Compact"/>
        <w:numPr>
          <w:ilvl w:val="0"/>
          <w:numId w:val="1001"/>
        </w:numPr>
      </w:pPr>
      <w:r>
        <w:t xml:space="preserve">Go or no-go recommendation on Phase 1</w:t>
      </w:r>
    </w:p>
    <w:p>
      <w:pPr>
        <w:pStyle w:val="FirstParagraph"/>
      </w:pPr>
      <w:r>
        <w:t xml:space="preserve">If the report doesn’t surface anything actionable, we shake hands and you keep the report. No commitment beyond Phase 0.</w:t>
      </w:r>
    </w:p>
    <w:bookmarkEnd w:id="11"/>
    <w:bookmarkStart w:id="12" w:name="phase-1-acquisition-loop"/>
    <w:p>
      <w:pPr>
        <w:pStyle w:val="Heading3"/>
      </w:pPr>
      <w:r>
        <w:t xml:space="preserve">Phase 1 — Acquisition loop</w:t>
      </w:r>
    </w:p>
    <w:p>
      <w:pPr>
        <w:pStyle w:val="FirstParagraph"/>
      </w:pPr>
      <w:r>
        <w:rPr>
          <w:b/>
          <w:bCs/>
        </w:rPr>
        <w:t xml:space="preserve">30 days · $9,500</w:t>
      </w:r>
    </w:p>
    <w:p>
      <w:pPr>
        <w:pStyle w:val="BodyText"/>
      </w:pPr>
      <w:r>
        <w:t xml:space="preserve">Real business phone number for Claudia. 10DLC registration so the texts stop hitting spam folders.</w:t>
      </w:r>
    </w:p>
    <w:p>
      <w:pPr>
        <w:pStyle w:val="BodyText"/>
      </w:pPr>
      <w:r>
        <w:t xml:space="preserve">Website inquiry, automated 5-minute first-touch text, human follow-up by Claudia, free class booked in Wellness Living with source tagged.</w:t>
      </w:r>
    </w:p>
    <w:p>
      <w:pPr>
        <w:pStyle w:val="BodyText"/>
      </w:pPr>
      <w:r>
        <w:t xml:space="preserve">Email deliverability cleanup — DKIM, SPF, DMARC set up properly so Constant Contact stops landing in promotions.</w:t>
      </w:r>
    </w:p>
    <w:p>
      <w:pPr>
        <w:pStyle w:val="BodyText"/>
      </w:pPr>
      <w:r>
        <w:t xml:space="preserve">Consent capture on the website widget so when the campaign goes live, it’s compliant.</w:t>
      </w:r>
    </w:p>
    <w:p>
      <w:pPr>
        <w:pStyle w:val="BodyText"/>
      </w:pPr>
      <w:r>
        <w:t xml:space="preserve">A weekly conversion dashboard you can read in 90 seconds.</w:t>
      </w:r>
    </w:p>
    <w:p>
      <w:pPr>
        <w:pStyle w:val="BodyText"/>
      </w:pPr>
      <w:r>
        <w:t xml:space="preserve">The headline metric: inquiry-to-first-class conversion, week over week. We set the baseline in Phase 0 and aim to move it 1.5x to 2x in 30 days.</w:t>
      </w:r>
    </w:p>
    <w:bookmarkEnd w:id="12"/>
    <w:bookmarkStart w:id="13" w:name="phase-2-growth-retainer"/>
    <w:p>
      <w:pPr>
        <w:pStyle w:val="Heading3"/>
      </w:pPr>
      <w:r>
        <w:t xml:space="preserve">Phase 2 — Growth retainer</w:t>
      </w:r>
    </w:p>
    <w:p>
      <w:pPr>
        <w:pStyle w:val="FirstParagraph"/>
      </w:pPr>
      <w:r>
        <w:rPr>
          <w:b/>
          <w:bCs/>
        </w:rPr>
        <w:t xml:space="preserve">Ongoing · $4,000/month</w:t>
      </w:r>
    </w:p>
    <w:p>
      <w:pPr>
        <w:pStyle w:val="BodyText"/>
      </w:pPr>
      <w:r>
        <w:t xml:space="preserve">Once Phase 1 is live, we layer on:</w:t>
      </w:r>
    </w:p>
    <w:p>
      <w:pPr>
        <w:pStyle w:val="Compact"/>
        <w:numPr>
          <w:ilvl w:val="0"/>
          <w:numId w:val="1002"/>
        </w:numPr>
      </w:pPr>
      <w:r>
        <w:t xml:space="preserve">Reactivation campaign for legacy 5-class punch-card members</w:t>
      </w:r>
    </w:p>
    <w:p>
      <w:pPr>
        <w:pStyle w:val="Compact"/>
        <w:numPr>
          <w:ilvl w:val="0"/>
          <w:numId w:val="1002"/>
        </w:numPr>
      </w:pPr>
      <w:r>
        <w:t xml:space="preserve">HyRox and PT booking integration into Wellness Living</w:t>
      </w:r>
    </w:p>
    <w:p>
      <w:pPr>
        <w:pStyle w:val="Compact"/>
        <w:numPr>
          <w:ilvl w:val="0"/>
          <w:numId w:val="1002"/>
        </w:numPr>
      </w:pPr>
      <w:r>
        <w:t xml:space="preserve">Location-based segmentation — Eatontown gets different messaging than Freehold</w:t>
      </w:r>
    </w:p>
    <w:p>
      <w:pPr>
        <w:pStyle w:val="Compact"/>
        <w:numPr>
          <w:ilvl w:val="0"/>
          <w:numId w:val="1002"/>
        </w:numPr>
      </w:pPr>
      <w:r>
        <w:t xml:space="preserve">The $10K campaign, now riding on the foundation</w:t>
      </w:r>
    </w:p>
    <w:p>
      <w:pPr>
        <w:pStyle w:val="Compact"/>
        <w:numPr>
          <w:ilvl w:val="0"/>
          <w:numId w:val="1002"/>
        </w:numPr>
      </w:pPr>
      <w:r>
        <w:t xml:space="preserve">Monthly reporting clean enough to show your accountant</w:t>
      </w:r>
    </w:p>
    <w:p>
      <w:pPr>
        <w:pStyle w:val="FirstParagraph"/>
      </w:pPr>
      <w:r>
        <w:t xml:space="preserve">Exit anytime. If a month doesn’t deliver, you stop.</w:t>
      </w:r>
    </w:p>
    <w:bookmarkEnd w:id="13"/>
    <w:bookmarkEnd w:id="14"/>
    <w:bookmarkStart w:id="15" w:name="why-me"/>
    <w:p>
      <w:pPr>
        <w:pStyle w:val="Heading2"/>
      </w:pPr>
      <w:r>
        <w:t xml:space="preserve">Why me</w:t>
      </w:r>
    </w:p>
    <w:p>
      <w:pPr>
        <w:pStyle w:val="FirstParagraph"/>
      </w:pPr>
      <w:r>
        <w:t xml:space="preserve">I run a wedding photography business. I built the lead follow-up, booking, and client communication automations for myself first — because I was losing inquiries the same way you are. Booked on a shoot, missed a $5,000 inquiry going to voicemail. After I fixed it for myself, I started building the same systems for other small business owners across industries.</w:t>
      </w:r>
    </w:p>
    <w:p>
      <w:pPr>
        <w:pStyle w:val="BodyText"/>
      </w:pPr>
      <w:r>
        <w:t xml:space="preserve">I’ve been in your weekly Wellness Living calls. I’ve heard you ask the questions you’re trying to answer. I’m not learning on your dime — the cross-system work I’d do for you is the same work I do day in, day out.</w:t>
      </w:r>
    </w:p>
    <w:p>
      <w:pPr>
        <w:pStyle w:val="BodyText"/>
      </w:pPr>
      <w:r>
        <w:t xml:space="preserve">And the next 20% of your migration is exactly the cross-system layer. If you bring someone in 6 months from now, you’re paying them to learn what’s already in my head.</w:t>
      </w:r>
    </w:p>
    <w:bookmarkEnd w:id="15"/>
    <w:bookmarkStart w:id="16" w:name="what-i-need-to-start"/>
    <w:p>
      <w:pPr>
        <w:pStyle w:val="Heading2"/>
      </w:pPr>
      <w:r>
        <w:t xml:space="preserve">What I need to start</w:t>
      </w:r>
    </w:p>
    <w:p>
      <w:pPr>
        <w:pStyle w:val="Compact"/>
        <w:numPr>
          <w:ilvl w:val="0"/>
          <w:numId w:val="1003"/>
        </w:numPr>
      </w:pPr>
      <w:r>
        <w:t xml:space="preserve">A 30-minute conversation</w:t>
      </w:r>
    </w:p>
    <w:p>
      <w:pPr>
        <w:pStyle w:val="Compact"/>
        <w:numPr>
          <w:ilvl w:val="0"/>
          <w:numId w:val="1003"/>
        </w:numPr>
      </w:pPr>
      <w:r>
        <w:t xml:space="preserve">NDA signed — one-pager, mutual, I’ll send it over</w:t>
      </w:r>
    </w:p>
    <w:p>
      <w:pPr>
        <w:pStyle w:val="Compact"/>
        <w:numPr>
          <w:ilvl w:val="0"/>
          <w:numId w:val="1003"/>
        </w:numPr>
      </w:pPr>
      <w:r>
        <w:t xml:space="preserve">Read-only Wellness Living API access or a one-time data export</w:t>
      </w:r>
    </w:p>
    <w:p>
      <w:pPr>
        <w:pStyle w:val="Compact"/>
        <w:numPr>
          <w:ilvl w:val="0"/>
          <w:numId w:val="1003"/>
        </w:numPr>
      </w:pPr>
      <w:r>
        <w:t xml:space="preserve">Phase 0 fee — $2,500 — on engagement</w:t>
      </w:r>
    </w:p>
    <w:p>
      <w:pPr>
        <w:pStyle w:val="FirstParagraph"/>
      </w:pPr>
      <w:r>
        <w:t xml:space="preserve">If Phase 0 doesn’t earn Phase 1, you owe me nothing else and you keep the report.</w:t>
      </w:r>
    </w:p>
    <w:p>
      <w:pPr>
        <w:pStyle w:val="BodyText"/>
      </w:pPr>
      <w:r>
        <w:t xml:space="preserve">When works for you this week?</w:t>
      </w:r>
    </w:p>
    <w:p>
      <w:pPr>
        <w:pStyle w:val="BodyText"/>
      </w:pPr>
      <w:r>
        <w:t xml:space="preserve">— Sameer</w:t>
      </w:r>
      <w:r>
        <w:t xml:space="preserve"> </w:t>
      </w:r>
      <w:r>
        <w:t xml:space="preserve">sameer@rajphotovideo.com</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2026-05-07T22:48:58Z</dcterms:created>
  <dcterms:modified xsi:type="dcterms:W3CDTF">2026-05-07T22:48:58Z</dcterms:modified>
</cp:coreProperties>
</file>

<file path=docProps/custom.xml><?xml version="1.0" encoding="utf-8"?>
<Properties xmlns="http://schemas.openxmlformats.org/officeDocument/2006/custom-properties" xmlns:vt="http://schemas.openxmlformats.org/officeDocument/2006/docPropsVTypes"/>
</file>