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Databases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Deberán crear un Job que, consultando a la tabla Customers, traiga los datos, los muestre en pantalla y cree dos archivos: uno xml y otro json.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archivo xml deberá llamarse “CustomersXML” y debe quedar constituido por el tag root “OnlineShop” y dentro deben separarse cada uno de los clientes en el tag “Customer”.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archivo json deberá llamarse “CustomersJSON” y poseer un bloque llamado “Customers” que contenga cada uno de los clientes.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Deberán crear un Job que sea capaz de leer el archivo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provincias.csv</w:t>
        </w:r>
      </w:hyperlink>
      <w:r w:rsidDel="00000000" w:rsidR="00000000" w:rsidRPr="00000000">
        <w:rPr>
          <w:rtl w:val="0"/>
        </w:rPr>
        <w:t xml:space="preserve"> y crear con el mismo una tabla nueva llamada Provincias.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la tabla se crea correctamente, deberán consultarla, mostrar los datos por consola, y crear dos archivos: uno xml y otro json.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archivo xml deberá llamarse “ProvinciasXML” y deberá quedar constituido por el tag root “Argentina” y dentro deben separarse cada una de las provincias en el tag Provincia.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archivo json deberá llamarse “ProvinciasJSON” y poseer un bloque llamado “Provincias” que contenga cada una de las provincias y sus datos.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173125" cy="3323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3125" cy="332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os.gob.ar/ar/dataset/jgm-servicio-normalizacion-datos-geograficos/archivo/jgm_8.9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