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ind w:left="2280" w:firstLine="0"/>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1228725</wp:posOffset>
            </wp:positionH>
            <wp:positionV relativeFrom="paragraph">
              <wp:posOffset>0</wp:posOffset>
            </wp:positionV>
            <wp:extent cx="4474537" cy="152038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74537" cy="1520380"/>
                    </a:xfrm>
                    <a:prstGeom prst="rect"/>
                    <a:ln/>
                  </pic:spPr>
                </pic:pic>
              </a:graphicData>
            </a:graphic>
          </wp:anchor>
        </w:drawing>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spacing w:before="21"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before="199"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pStyle w:val="Title"/>
        <w:keepNext w:val="0"/>
        <w:keepLines w:val="0"/>
        <w:widowControl w:val="0"/>
        <w:spacing w:after="0" w:before="1" w:line="276" w:lineRule="auto"/>
        <w:ind w:left="3234" w:right="2407" w:firstLine="551.9999999999999"/>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pStyle w:val="Title"/>
        <w:keepNext w:val="0"/>
        <w:keepLines w:val="0"/>
        <w:widowControl w:val="0"/>
        <w:spacing w:after="0" w:before="1" w:line="276" w:lineRule="auto"/>
        <w:ind w:left="3234" w:right="2407" w:firstLine="551.9999999999999"/>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pStyle w:val="Title"/>
        <w:keepNext w:val="0"/>
        <w:keepLines w:val="0"/>
        <w:widowControl w:val="0"/>
        <w:spacing w:after="0" w:before="1" w:line="276" w:lineRule="auto"/>
        <w:ind w:left="3234" w:right="2407" w:firstLine="551.9999999999999"/>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after="157" w:before="157"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240" w:before="240" w:line="240" w:lineRule="auto"/>
        <w:ind w:left="0" w:firstLine="0"/>
        <w:jc w:val="center"/>
        <w:rPr/>
      </w:pPr>
      <w:r w:rsidDel="00000000" w:rsidR="00000000" w:rsidRPr="00000000">
        <w:rPr>
          <w:rtl w:val="0"/>
        </w:rPr>
        <w:t xml:space="preserve">DEPARTMENT OF COMPUTER SCIENCE</w:t>
      </w:r>
    </w:p>
    <w:p w:rsidR="00000000" w:rsidDel="00000000" w:rsidP="00000000" w:rsidRDefault="00000000" w:rsidRPr="00000000" w14:paraId="0000000B">
      <w:pPr>
        <w:spacing w:after="240" w:before="240" w:line="240" w:lineRule="auto"/>
        <w:ind w:left="0" w:firstLine="0"/>
        <w:jc w:val="center"/>
        <w:rPr/>
      </w:pPr>
      <w:r w:rsidDel="00000000" w:rsidR="00000000" w:rsidRPr="00000000">
        <w:rPr>
          <w:rtl w:val="0"/>
        </w:rPr>
        <w:t xml:space="preserve">FACULTY OF COMPUTING</w:t>
      </w:r>
    </w:p>
    <w:p w:rsidR="00000000" w:rsidDel="00000000" w:rsidP="00000000" w:rsidRDefault="00000000" w:rsidRPr="00000000" w14:paraId="0000000C">
      <w:pPr>
        <w:spacing w:after="240" w:before="240" w:line="240" w:lineRule="auto"/>
        <w:ind w:left="0" w:firstLine="0"/>
        <w:jc w:val="center"/>
        <w:rPr/>
      </w:pPr>
      <w:r w:rsidDel="00000000" w:rsidR="00000000" w:rsidRPr="00000000">
        <w:rPr>
          <w:rtl w:val="0"/>
        </w:rPr>
        <w:t xml:space="preserve">UNIVERSITI TEKNOLOGI MALAYSIA</w:t>
      </w:r>
    </w:p>
    <w:p w:rsidR="00000000" w:rsidDel="00000000" w:rsidP="00000000" w:rsidRDefault="00000000" w:rsidRPr="00000000" w14:paraId="0000000D">
      <w:pPr>
        <w:spacing w:after="240" w:before="240" w:line="240" w:lineRule="auto"/>
        <w:ind w:left="0" w:firstLine="0"/>
        <w:jc w:val="center"/>
        <w:rPr/>
      </w:pPr>
      <w:r w:rsidDel="00000000" w:rsidR="00000000" w:rsidRPr="00000000">
        <w:rPr>
          <w:b w:val="1"/>
          <w:bCs w:val="1"/>
          <w:rtl w:val="0"/>
        </w:rPr>
        <w:t xml:space="preserve">SECP3843-01 - SPECIAL TOPIC IN DATA ENGINEERING</w:t>
      </w:r>
      <w:r w:rsidDel="00000000" w:rsidR="00000000" w:rsidRPr="00000000">
        <w:rPr>
          <w:rtl w:val="0"/>
        </w:rPr>
      </w:r>
    </w:p>
    <w:p w:rsidR="00000000" w:rsidDel="00000000" w:rsidP="00000000" w:rsidRDefault="00000000" w:rsidRPr="00000000" w14:paraId="0000000E">
      <w:pPr>
        <w:spacing w:after="240" w:before="240" w:line="240" w:lineRule="auto"/>
        <w:ind w:left="0" w:firstLine="0"/>
        <w:jc w:val="center"/>
        <w:rPr>
          <w:b w:val="1"/>
          <w:bCs w:val="1"/>
        </w:rPr>
      </w:pPr>
      <w:r w:rsidDel="00000000" w:rsidR="00000000" w:rsidRPr="00000000">
        <w:rPr>
          <w:b w:val="1"/>
          <w:bCs w:val="1"/>
          <w:rtl w:val="0"/>
        </w:rPr>
        <w:t xml:space="preserve">-------------------------------------------------------------------------------------------------------</w:t>
      </w:r>
    </w:p>
    <w:p w:rsidR="00000000" w:rsidDel="00000000" w:rsidP="00000000" w:rsidRDefault="00000000" w:rsidRPr="00000000" w14:paraId="0000000F">
      <w:pPr>
        <w:spacing w:after="240" w:before="240" w:line="240" w:lineRule="auto"/>
        <w:ind w:left="0" w:firstLine="0"/>
        <w:jc w:val="center"/>
        <w:rPr>
          <w:b w:val="1"/>
          <w:bCs w:val="1"/>
        </w:rPr>
      </w:pPr>
      <w:r w:rsidDel="00000000" w:rsidR="00000000" w:rsidRPr="00000000">
        <w:rPr>
          <w:b w:val="1"/>
          <w:bCs w:val="1"/>
          <w:rtl w:val="0"/>
        </w:rPr>
        <w:t xml:space="preserve">INDIVIDUAL PROJECT</w:t>
      </w:r>
    </w:p>
    <w:p w:rsidR="00000000" w:rsidDel="00000000" w:rsidP="00000000" w:rsidRDefault="00000000" w:rsidRPr="00000000" w14:paraId="00000010">
      <w:pPr>
        <w:spacing w:after="240" w:before="240" w:line="240" w:lineRule="auto"/>
        <w:ind w:left="0" w:firstLine="0"/>
        <w:jc w:val="center"/>
        <w:rPr>
          <w:b w:val="1"/>
          <w:bCs w:val="1"/>
        </w:rPr>
      </w:pPr>
      <w:r w:rsidDel="00000000" w:rsidR="00000000" w:rsidRPr="00000000">
        <w:rPr>
          <w:b w:val="1"/>
          <w:bCs w:val="1"/>
          <w:rtl w:val="0"/>
        </w:rPr>
        <w:t xml:space="preserve">-------------------------------------------------------------------------------------------------------</w:t>
      </w:r>
    </w:p>
    <w:p w:rsidR="00000000" w:rsidDel="00000000" w:rsidP="00000000" w:rsidRDefault="00000000" w:rsidRPr="00000000" w14:paraId="00000011">
      <w:pPr>
        <w:spacing w:after="240" w:before="240" w:line="240" w:lineRule="auto"/>
        <w:ind w:left="0" w:firstLine="0"/>
        <w:jc w:val="center"/>
        <w:rPr>
          <w:b w:val="1"/>
          <w:bCs w:val="1"/>
        </w:rPr>
      </w:pPr>
      <w:r w:rsidDel="00000000" w:rsidR="00000000" w:rsidRPr="00000000">
        <w:rPr>
          <w:rtl w:val="0"/>
        </w:rPr>
      </w:r>
    </w:p>
    <w:tbl>
      <w:tblPr>
        <w:tblStyle w:val="Table1"/>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3225"/>
        <w:tblGridChange w:id="0">
          <w:tblGrid>
            <w:gridCol w:w="5820"/>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0" w:firstLine="0"/>
              <w:jc w:val="center"/>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0" w:firstLine="0"/>
              <w:jc w:val="center"/>
              <w:rPr>
                <w:b w:val="1"/>
                <w:bCs w:val="1"/>
              </w:rPr>
            </w:pPr>
            <w:r w:rsidDel="00000000" w:rsidR="00000000" w:rsidRPr="00000000">
              <w:rPr>
                <w:b w:val="1"/>
                <w:bCs w:val="1"/>
                <w:rtl w:val="0"/>
              </w:rPr>
              <w:t xml:space="preserve">MATRIC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0" w:firstLine="0"/>
              <w:jc w:val="center"/>
              <w:rPr/>
            </w:pPr>
            <w:r w:rsidDel="00000000" w:rsidR="00000000" w:rsidRPr="00000000">
              <w:rPr>
                <w:b/>
                <w:sz w:val="24"/>
                <w:rtl w:val="0"/>
              </w:rPr>
              <w:t>RICHARD CLAY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0" w:firstLine="0"/>
              <w:jc w:val="center"/>
              <w:rPr/>
            </w:pPr>
            <w:r w:rsidDel="00000000" w:rsidR="00000000" w:rsidRPr="00000000">
              <w:rPr>
                <w:b/>
                <w:sz w:val="24"/>
                <w:rtl w:val="0"/>
              </w:rPr>
              <w:t>X25EC3019</w:t>
            </w:r>
          </w:p>
        </w:tc>
      </w:tr>
    </w:tbl>
    <w:p w:rsidR="00000000" w:rsidDel="00000000" w:rsidP="00000000" w:rsidRDefault="00000000" w:rsidRPr="00000000" w14:paraId="00000016">
      <w:pPr>
        <w:spacing w:after="160" w:before="24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7">
      <w:pPr>
        <w:spacing w:after="160" w:before="24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8">
      <w:pPr>
        <w:spacing w:after="160" w:before="240" w:line="240" w:lineRule="auto"/>
        <w:ind w:left="0" w:firstLine="0"/>
        <w:jc w:val="center"/>
        <w:rPr>
          <w:b w:val="1"/>
          <w:bCs w:val="1"/>
        </w:rPr>
      </w:pPr>
      <w:r w:rsidDel="00000000" w:rsidR="00000000" w:rsidRPr="00000000">
        <w:rPr>
          <w:b w:val="1"/>
          <w:bCs w:val="1"/>
          <w:rtl w:val="0"/>
        </w:rPr>
        <w:t xml:space="preserve">PREPARED FOR:</w:t>
      </w:r>
    </w:p>
    <w:p w:rsidR="00000000" w:rsidDel="00000000" w:rsidP="00000000" w:rsidRDefault="00000000" w:rsidRPr="00000000" w14:paraId="00000019">
      <w:pPr>
        <w:spacing w:after="160" w:before="240" w:line="240" w:lineRule="auto"/>
        <w:ind w:left="0" w:firstLine="0"/>
        <w:jc w:val="center"/>
        <w:rPr/>
      </w:pPr>
      <w:r w:rsidDel="00000000" w:rsidR="00000000" w:rsidRPr="00000000">
        <w:rPr>
          <w:b w:val="1"/>
          <w:bCs w:val="1"/>
          <w:rtl w:val="0"/>
        </w:rPr>
        <w:t xml:space="preserve">DR. ARYATI BINTI BAKRI</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r>
        <w:br w:type="page"/>
      </w:r>
    </w:p>
    <w:p>
      <w:pPr>
        <w:keepNext/>
        <w:spacing w:after="160" w:line="276" w:lineRule="auto"/>
        <w:jc w:val="left"/>
      </w:pPr>
      <w:r>
        <w:rPr>
          <w:rFonts w:ascii="Times New Roman" w:hAnsi="Times New Roman"/>
          <w:b/>
          <w:color w:val="000000"/>
          <w:sz w:val="26"/>
        </w:rPr>
        <w:t>Abstract</w:t>
      </w:r>
    </w:p>
    <w:p>
      <w:pPr>
        <w:spacing w:after="80" w:line="276" w:lineRule="auto"/>
        <w:ind w:firstLine="576"/>
        <w:jc w:val="both"/>
      </w:pPr>
      <w:r>
        <w:rPr>
          <w:rFonts w:ascii="Times New Roman" w:hAnsi="Times New Roman"/>
          <w:color w:val="000000"/>
          <w:sz w:val="22"/>
        </w:rPr>
        <w:t>This project addresses the modern challenge of evaluating AI agent performance across diverse business domains. We present an end-to-end data pipeline built on a Lakehouse architecture utilizing a Medallion schema (Bronze, Silver, and Gold) implemented in Apache Spark. To evaluate performance without information leakage, we deployed a two-stage machine learning system: an unsupervised K-Means algorithm to segment agents into three performer cohorts, and a supervised Logistic Regression classifier to predict overall productivity categories based solely on runtime telemetry. Our results show a robust performance model with a Silhouette score of 0.5218 and classification accuracy of 59.30%, providing actionable strategic recommendations to optimize enterprise automation.</w:t>
      </w:r>
    </w:p>
    <w:p>
      <w:pPr>
        <w:keepNext/>
        <w:spacing w:after="160" w:line="276" w:lineRule="auto"/>
        <w:jc w:val="left"/>
      </w:pPr>
      <w:r>
        <w:rPr>
          <w:rFonts w:ascii="Times New Roman" w:hAnsi="Times New Roman"/>
          <w:b/>
          <w:color w:val="000000"/>
          <w:sz w:val="26"/>
        </w:rPr>
        <w:t>1. Introduction</w:t>
      </w:r>
    </w:p>
    <w:p>
      <w:pPr>
        <w:keepNext/>
        <w:spacing w:after="80" w:line="276" w:lineRule="auto"/>
        <w:jc w:val="left"/>
      </w:pPr>
      <w:r>
        <w:rPr>
          <w:rFonts w:ascii="Times New Roman" w:hAnsi="Times New Roman"/>
          <w:b/>
          <w:color w:val="000000"/>
          <w:sz w:val="22"/>
        </w:rPr>
        <w:t>1.1 Business Domain &amp; Problem Statement</w:t>
      </w:r>
    </w:p>
    <w:p>
      <w:pPr>
        <w:spacing w:after="80" w:line="276" w:lineRule="auto"/>
        <w:ind w:firstLine="576"/>
        <w:jc w:val="both"/>
      </w:pPr>
      <w:r>
        <w:rPr>
          <w:rFonts w:ascii="Times New Roman" w:hAnsi="Times New Roman"/>
          <w:color w:val="000000"/>
          <w:sz w:val="22"/>
        </w:rPr>
        <w:t>Enterprises rapidly deploy AI agents to handle specialized workflows. However, direct metrics comparison is hindered by the 'Trust Gap'—the discrepancy between local performance gains and overarching user trust. This project aims to collect, transform, and store AI execution telemetry to analyze this gap across 5 industries (healthcare, education, government, finance, and technology) using a centralized analytical lakehouse structure.</w:t>
      </w:r>
    </w:p>
    <w:p>
      <w:pPr>
        <w:keepNext/>
        <w:spacing w:after="80" w:line="276" w:lineRule="auto"/>
        <w:jc w:val="left"/>
      </w:pPr>
      <w:r>
        <w:rPr>
          <w:rFonts w:ascii="Times New Roman" w:hAnsi="Times New Roman"/>
          <w:b/>
          <w:color w:val="000000"/>
          <w:sz w:val="22"/>
        </w:rPr>
        <w:t>1.2 Project Objectives</w:t>
      </w:r>
    </w:p>
    <w:p>
      <w:pPr>
        <w:spacing w:after="80" w:line="276" w:lineRule="auto"/>
        <w:ind w:firstLine="576"/>
        <w:jc w:val="both"/>
      </w:pPr>
      <w:r>
        <w:rPr>
          <w:rFonts w:ascii="Times New Roman" w:hAnsi="Times New Roman"/>
          <w:color w:val="000000"/>
          <w:sz w:val="22"/>
        </w:rPr>
        <w:t>The key objectives of this project are: (1) To ingest and clean over 5,500 deployment records with zero data loss using Apache Spark; (2) To construct a multi-dimensional star schema to evaluate cross-industry agent performance; (3) To apply unsupervised clustering to identify low-performing cohorts; and (4) To train a classification model with at least 55% accuracy to predict business productivity gains based on telemetry variables.</w:t>
      </w:r>
    </w:p>
    <w:p>
      <w:pPr>
        <w:spacing w:after="40"/>
        <w:ind w:firstLine="0"/>
        <w:jc w:val="center"/>
      </w:pPr>
      <w:r>
        <w:drawing>
          <wp:inline>
            <wp:extent cx="4114800" cy="2037647"/>
            <wp:docPr id="2" name="Picture 2"/>
            <wp:cNvGraphicFramePr>
              <a:graphicFrameLocks noChangeAspect="1"/>
            </wp:cNvGraphicFramePr>
            <a:graphic>
              <a:graphicData uri="http://schemas.openxmlformats.org/drawingml/2006/picture">
                <pic:pic>
                  <pic:nvPicPr>
                    <pic:cNvPr id="0" name="use_case_overview.png"/>
                    <pic:cNvPicPr/>
                  </pic:nvPicPr>
                  <pic:blipFill>
                    <a:blip r:embed="rId8"/>
                    <a:stretch>
                      <a:fillRect/>
                    </a:stretch>
                  </pic:blipFill>
                  <pic:spPr>
                    <a:xfrm>
                      <a:off x="0" y="0"/>
                      <a:ext cx="4114800" cy="2037647"/>
                    </a:xfrm>
                    <a:prstGeom prst="rect"/>
                  </pic:spPr>
                </pic:pic>
              </a:graphicData>
            </a:graphic>
          </wp:inline>
        </w:drawing>
      </w:r>
    </w:p>
    <w:p>
      <w:pPr>
        <w:spacing w:after="120"/>
        <w:ind w:firstLine="0"/>
        <w:jc w:val="center"/>
      </w:pPr>
      <w:r>
        <w:rPr>
          <w:rFonts w:ascii="Times New Roman" w:hAnsi="Times New Roman"/>
          <w:i/>
          <w:color w:val="000000"/>
          <w:sz w:val="19"/>
        </w:rPr>
        <w:t>Figure 1.1: Use Case Diagram for Agentic AI Analytics Platform System</w:t>
      </w:r>
    </w:p>
    <w:p>
      <w:pPr>
        <w:keepNext/>
        <w:spacing w:after="160" w:line="276" w:lineRule="auto"/>
        <w:jc w:val="left"/>
      </w:pPr>
      <w:r>
        <w:rPr>
          <w:rFonts w:ascii="Times New Roman" w:hAnsi="Times New Roman"/>
          <w:b/>
          <w:color w:val="000000"/>
          <w:sz w:val="26"/>
        </w:rPr>
        <w:t>2. Methodology &amp; Architecture</w:t>
      </w:r>
    </w:p>
    <w:p>
      <w:pPr>
        <w:keepNext/>
        <w:spacing w:after="80" w:line="276" w:lineRule="auto"/>
        <w:jc w:val="left"/>
      </w:pPr>
      <w:r>
        <w:rPr>
          <w:rFonts w:ascii="Times New Roman" w:hAnsi="Times New Roman"/>
          <w:b/>
          <w:color w:val="000000"/>
          <w:sz w:val="22"/>
        </w:rPr>
        <w:t>2.1 ETL Medallion Architecture</w:t>
      </w:r>
    </w:p>
    <w:p>
      <w:pPr>
        <w:spacing w:after="80" w:line="276" w:lineRule="auto"/>
        <w:ind w:firstLine="576"/>
        <w:jc w:val="both"/>
      </w:pPr>
      <w:r>
        <w:rPr>
          <w:rFonts w:ascii="Times New Roman" w:hAnsi="Times New Roman"/>
          <w:color w:val="000000"/>
          <w:sz w:val="22"/>
        </w:rPr>
        <w:t>The platform follows a three-stage Lakehouse pipeline. In the Bronze layer, raw CSV telemetry and JSON benchmarks are ingested with schema enforcement. In the Silver layer, string normalization matches industry formats, missing numeric features are imputed using industry-specific medians (mitigating global bias), and OpenAlex academic publication data is mapped using keyword regex parsing. In the Gold layer, clean records are modeled into a high-performance Dimensional Mart.</w:t>
      </w:r>
    </w:p>
    <w:p>
      <w:pPr>
        <w:keepNext/>
        <w:spacing w:after="80" w:line="276" w:lineRule="auto"/>
        <w:jc w:val="left"/>
      </w:pPr>
      <w:r>
        <w:rPr>
          <w:rFonts w:ascii="Times New Roman" w:hAnsi="Times New Roman"/>
          <w:b/>
          <w:color w:val="000000"/>
          <w:sz w:val="22"/>
        </w:rPr>
        <w:t>2.2 Multidimensional Star Schema Design</w:t>
      </w:r>
    </w:p>
    <w:p>
      <w:pPr>
        <w:spacing w:after="80" w:line="276" w:lineRule="auto"/>
        <w:ind w:firstLine="576"/>
        <w:jc w:val="both"/>
      </w:pPr>
      <w:r>
        <w:rPr>
          <w:rFonts w:ascii="Times New Roman" w:hAnsi="Times New Roman"/>
          <w:color w:val="000000"/>
          <w:sz w:val="22"/>
        </w:rPr>
        <w:t>To support interactive business intelligence dashboards, we implemented a star schema in our Gold storage layer. It separates historical facts from descriptive dimensions to optimize query execution speeds. The fact table houses metric values while descriptive attributes are stored in separate tables.</w:t>
      </w:r>
    </w:p>
    <w:tbl>
      <w:tblPr>
        <w:tblW w:type="auto" w:w="0"/>
        <w:jc w:val="center"/>
        <w:tblLook w:firstColumn="1" w:firstRow="1" w:lastColumn="0" w:lastRow="0" w:noHBand="0" w:noVBand="1" w:val="04A0"/>
      </w:tblPr>
      <w:tblGrid>
        <w:gridCol w:w="3369"/>
        <w:gridCol w:w="3369"/>
        <w:gridCol w:w="3369"/>
      </w:tblGrid>
      <w:tr>
        <w:tc>
          <w:tcPr>
            <w:tcW w:type="dxa" w:w="3369"/>
          </w:tcPr>
          <w:p>
            <w:r>
              <w:rPr>
                <w:rFonts w:ascii="Times New Roman" w:hAnsi="Times New Roman"/>
                <w:sz w:val="19"/>
              </w:rPr>
              <w:t>Table Name</w:t>
            </w:r>
          </w:p>
        </w:tc>
        <w:tc>
          <w:tcPr>
            <w:tcW w:type="dxa" w:w="3369"/>
          </w:tcPr>
          <w:p>
            <w:r>
              <w:rPr>
                <w:rFonts w:ascii="Times New Roman" w:hAnsi="Times New Roman"/>
                <w:sz w:val="19"/>
              </w:rPr>
              <w:t>Type</w:t>
            </w:r>
          </w:p>
        </w:tc>
        <w:tc>
          <w:tcPr>
            <w:tcW w:type="dxa" w:w="3369"/>
          </w:tcPr>
          <w:p>
            <w:r>
              <w:rPr>
                <w:rFonts w:ascii="Times New Roman" w:hAnsi="Times New Roman"/>
                <w:sz w:val="19"/>
              </w:rPr>
              <w:t>Key Fields / Metrics</w:t>
            </w:r>
          </w:p>
        </w:tc>
      </w:tr>
      <w:tr>
        <w:tc>
          <w:tcPr>
            <w:tcW w:type="dxa" w:w="3369"/>
          </w:tcPr>
          <w:p>
            <w:r>
              <w:rPr>
                <w:rFonts w:ascii="Times New Roman" w:hAnsi="Times New Roman"/>
                <w:sz w:val="19"/>
              </w:rPr>
              <w:t>ai_enriched_agentic_leadership</w:t>
            </w:r>
          </w:p>
        </w:tc>
        <w:tc>
          <w:tcPr>
            <w:tcW w:type="dxa" w:w="3369"/>
          </w:tcPr>
          <w:p>
            <w:r>
              <w:rPr>
                <w:rFonts w:ascii="Times New Roman" w:hAnsi="Times New Roman"/>
                <w:sz w:val="19"/>
              </w:rPr>
              <w:t>Fact</w:t>
            </w:r>
          </w:p>
        </w:tc>
        <w:tc>
          <w:tcPr>
            <w:tcW w:type="dxa" w:w="3369"/>
          </w:tcPr>
          <w:p>
            <w:r>
              <w:rPr>
                <w:rFonts w:ascii="Times New Roman" w:hAnsi="Times New Roman"/>
                <w:sz w:val="19"/>
              </w:rPr>
              <w:t>Record_ID (PK), Industry, Success_Rate, Productivity, Trust</w:t>
            </w:r>
          </w:p>
        </w:tc>
      </w:tr>
      <w:tr>
        <w:tc>
          <w:tcPr>
            <w:tcW w:type="dxa" w:w="3369"/>
          </w:tcPr>
          <w:p>
            <w:r>
              <w:rPr>
                <w:rFonts w:ascii="Times New Roman" w:hAnsi="Times New Roman"/>
                <w:sz w:val="19"/>
              </w:rPr>
              <w:t>industry_ai_summary</w:t>
            </w:r>
          </w:p>
        </w:tc>
        <w:tc>
          <w:tcPr>
            <w:tcW w:type="dxa" w:w="3369"/>
          </w:tcPr>
          <w:p>
            <w:r>
              <w:rPr>
                <w:rFonts w:ascii="Times New Roman" w:hAnsi="Times New Roman"/>
                <w:sz w:val="19"/>
              </w:rPr>
              <w:t>Dimension</w:t>
            </w:r>
          </w:p>
        </w:tc>
        <w:tc>
          <w:tcPr>
            <w:tcW w:type="dxa" w:w="3369"/>
          </w:tcPr>
          <w:p>
            <w:r>
              <w:rPr>
                <w:rFonts w:ascii="Times New Roman" w:hAnsi="Times New Roman"/>
                <w:sz w:val="19"/>
              </w:rPr>
              <w:t>Industry (PK), Deployments, Research_Citation_Avg, Trust_Gap</w:t>
            </w:r>
          </w:p>
        </w:tc>
      </w:tr>
    </w:tbl>
    <w:p>
      <w:pPr>
        <w:spacing w:after="120"/>
      </w:pPr>
    </w:p>
    <w:p>
      <w:pPr>
        <w:spacing w:after="40"/>
        <w:ind w:firstLine="0"/>
        <w:jc w:val="center"/>
      </w:pPr>
      <w:r>
        <w:drawing>
          <wp:inline>
            <wp:extent cx="4114800" cy="2480240"/>
            <wp:docPr id="3" name="Picture 3"/>
            <wp:cNvGraphicFramePr>
              <a:graphicFrameLocks noChangeAspect="1"/>
            </wp:cNvGraphicFramePr>
            <a:graphic>
              <a:graphicData uri="http://schemas.openxmlformats.org/drawingml/2006/picture">
                <pic:pic>
                  <pic:nvPicPr>
                    <pic:cNvPr id="0" name="star_schema.png"/>
                    <pic:cNvPicPr/>
                  </pic:nvPicPr>
                  <pic:blipFill>
                    <a:blip r:embed="rId9"/>
                    <a:stretch>
                      <a:fillRect/>
                    </a:stretch>
                  </pic:blipFill>
                  <pic:spPr>
                    <a:xfrm>
                      <a:off x="0" y="0"/>
                      <a:ext cx="4114800" cy="2480240"/>
                    </a:xfrm>
                    <a:prstGeom prst="rect"/>
                  </pic:spPr>
                </pic:pic>
              </a:graphicData>
            </a:graphic>
          </wp:inline>
        </w:drawing>
      </w:r>
    </w:p>
    <w:p>
      <w:pPr>
        <w:spacing w:after="120"/>
        <w:ind w:firstLine="0"/>
        <w:jc w:val="center"/>
      </w:pPr>
      <w:r>
        <w:rPr>
          <w:rFonts w:ascii="Times New Roman" w:hAnsi="Times New Roman"/>
          <w:i/>
          <w:color w:val="000000"/>
          <w:sz w:val="19"/>
        </w:rPr>
        <w:t>Figure 2.1: Star Schema ERD Diagram for Gold Storage Layer</w:t>
      </w:r>
    </w:p>
    <w:p>
      <w:r>
        <w:br w:type="page"/>
      </w:r>
    </w:p>
    <w:p>
      <w:pPr>
        <w:keepNext/>
        <w:spacing w:after="160" w:line="276" w:lineRule="auto"/>
        <w:jc w:val="left"/>
      </w:pPr>
      <w:r>
        <w:rPr>
          <w:rFonts w:ascii="Times New Roman" w:hAnsi="Times New Roman"/>
          <w:b/>
          <w:color w:val="000000"/>
          <w:sz w:val="26"/>
        </w:rPr>
        <w:t>3. Machine Learning Pipeline</w:t>
      </w:r>
    </w:p>
    <w:p>
      <w:pPr>
        <w:keepNext/>
        <w:spacing w:after="80" w:line="276" w:lineRule="auto"/>
        <w:jc w:val="left"/>
      </w:pPr>
      <w:r>
        <w:rPr>
          <w:rFonts w:ascii="Times New Roman" w:hAnsi="Times New Roman"/>
          <w:b/>
          <w:color w:val="000000"/>
          <w:sz w:val="22"/>
        </w:rPr>
        <w:t>3.1 Unsupervised Cohort Segmentation (K-Means)</w:t>
      </w:r>
    </w:p>
    <w:p>
      <w:pPr>
        <w:spacing w:after="80" w:line="276" w:lineRule="auto"/>
        <w:ind w:firstLine="576"/>
        <w:jc w:val="both"/>
      </w:pPr>
      <w:r>
        <w:rPr>
          <w:rFonts w:ascii="Times New Roman" w:hAnsi="Times New Roman"/>
          <w:color w:val="000000"/>
          <w:sz w:val="22"/>
        </w:rPr>
        <w:t>Using Spark MLlib's KMeans algorithm, we segmented the agent population (k=3) based on outcome metrics. Features were processed through VectorAssembler and standardized via StandardScaler to achieve distance consistency. The model categorized agents into Low, Average, and High performer cohorts. The Silhouette score reached 0.5218, validating robust clustering separation.</w:t>
      </w:r>
    </w:p>
    <w:p>
      <w:pPr>
        <w:keepNext/>
        <w:spacing w:after="80" w:line="276" w:lineRule="auto"/>
        <w:jc w:val="left"/>
      </w:pPr>
      <w:r>
        <w:rPr>
          <w:rFonts w:ascii="Times New Roman" w:hAnsi="Times New Roman"/>
          <w:b/>
          <w:color w:val="000000"/>
          <w:sz w:val="22"/>
        </w:rPr>
        <w:t>3.2 Supervised Telemetry Classification</w:t>
      </w:r>
    </w:p>
    <w:p>
      <w:pPr>
        <w:spacing w:after="80" w:line="276" w:lineRule="auto"/>
        <w:ind w:firstLine="576"/>
        <w:jc w:val="both"/>
      </w:pPr>
      <w:r>
        <w:rPr>
          <w:rFonts w:ascii="Times New Roman" w:hAnsi="Times New Roman"/>
          <w:color w:val="000000"/>
          <w:sz w:val="22"/>
        </w:rPr>
        <w:t>To predict productivity category without information leakage, we trained a Multinomial Logistic Regression model using system runtime telemetry: context awareness, response times, complexity index, adoption level, and error counts. Features were scaled to zero-mean and unit-variance. Hyperparameter tuning was performed using a cross-validated grid search over regularization param C, yielding an optimal C value of 1.0.</w:t>
      </w:r>
    </w:p>
    <w:p>
      <w:pPr>
        <w:keepNext/>
        <w:spacing w:after="160" w:line="276" w:lineRule="auto"/>
        <w:jc w:val="left"/>
      </w:pPr>
      <w:r>
        <w:rPr>
          <w:rFonts w:ascii="Times New Roman" w:hAnsi="Times New Roman"/>
          <w:b/>
          <w:color w:val="000000"/>
          <w:sz w:val="26"/>
        </w:rPr>
        <w:t>4. Results &amp; Analytical Insights</w:t>
      </w:r>
    </w:p>
    <w:p>
      <w:pPr>
        <w:spacing w:after="80" w:line="276" w:lineRule="auto"/>
        <w:ind w:firstLine="576"/>
        <w:jc w:val="both"/>
      </w:pPr>
      <w:r>
        <w:rPr>
          <w:rFonts w:ascii="Times New Roman" w:hAnsi="Times New Roman"/>
          <w:color w:val="000000"/>
          <w:sz w:val="22"/>
        </w:rPr>
        <w:t>The models successfully uncovered clear performance patterns. The K-Means clustering separated the 5,500 agents into distinct cohorts: High Performers (2,340 agents), Low Performers (1,851 agents), and Average Performers (1,309 agents). The Logistic Regression model achieved an accuracy of 59.30% on the stratified test set, proving that raw runtime telemetry holds significant predictive power regarding macro business outcomes.</w:t>
      </w:r>
    </w:p>
    <w:p>
      <w:pPr>
        <w:spacing w:after="40"/>
        <w:ind w:firstLine="0"/>
        <w:jc w:val="center"/>
      </w:pPr>
      <w:r>
        <w:drawing>
          <wp:inline>
            <wp:extent cx="2926080" cy="1950720"/>
            <wp:docPr id="4" name="Picture 4"/>
            <wp:cNvGraphicFramePr>
              <a:graphicFrameLocks noChangeAspect="1"/>
            </wp:cNvGraphicFramePr>
            <a:graphic>
              <a:graphicData uri="http://schemas.openxmlformats.org/drawingml/2006/picture">
                <pic:pic>
                  <pic:nvPicPr>
                    <pic:cNvPr id="0" name="cluster_analysis.png"/>
                    <pic:cNvPicPr/>
                  </pic:nvPicPr>
                  <pic:blipFill>
                    <a:blip r:embed="rId10"/>
                    <a:stretch>
                      <a:fillRect/>
                    </a:stretch>
                  </pic:blipFill>
                  <pic:spPr>
                    <a:xfrm>
                      <a:off x="0" y="0"/>
                      <a:ext cx="2926080" cy="1950720"/>
                    </a:xfrm>
                    <a:prstGeom prst="rect"/>
                  </pic:spPr>
                </pic:pic>
              </a:graphicData>
            </a:graphic>
          </wp:inline>
        </w:drawing>
      </w:r>
    </w:p>
    <w:p>
      <w:pPr>
        <w:spacing w:after="120"/>
        <w:ind w:firstLine="0"/>
        <w:jc w:val="center"/>
      </w:pPr>
      <w:r>
        <w:rPr>
          <w:rFonts w:ascii="Times New Roman" w:hAnsi="Times New Roman"/>
          <w:i/>
          <w:color w:val="000000"/>
          <w:sz w:val="19"/>
        </w:rPr>
        <w:t>Figure 4.1: K-Means Performer Cohorts Distribution Chart</w:t>
      </w:r>
    </w:p>
    <w:p>
      <w:pPr>
        <w:spacing w:after="40"/>
        <w:ind w:firstLine="0"/>
        <w:jc w:val="center"/>
      </w:pPr>
      <w:r>
        <w:drawing>
          <wp:inline>
            <wp:extent cx="2926080" cy="243840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2926080" cy="2438400"/>
                    </a:xfrm>
                    <a:prstGeom prst="rect"/>
                  </pic:spPr>
                </pic:pic>
              </a:graphicData>
            </a:graphic>
          </wp:inline>
        </w:drawing>
      </w:r>
    </w:p>
    <w:p>
      <w:pPr>
        <w:spacing w:after="120"/>
        <w:ind w:firstLine="0"/>
        <w:jc w:val="center"/>
      </w:pPr>
      <w:r>
        <w:rPr>
          <w:rFonts w:ascii="Times New Roman" w:hAnsi="Times New Roman"/>
          <w:i/>
          <w:color w:val="000000"/>
          <w:sz w:val="19"/>
        </w:rPr>
        <w:t>Figure 4.2: Logistic Regression Confusion Matrix Chart</w:t>
      </w:r>
    </w:p>
    <w:p>
      <w:pPr>
        <w:spacing w:after="40"/>
        <w:ind w:firstLine="0"/>
        <w:jc w:val="center"/>
      </w:pPr>
      <w:r>
        <w:drawing>
          <wp:inline>
            <wp:extent cx="3657600" cy="2032000"/>
            <wp:docPr id="6" name="Picture 6"/>
            <wp:cNvGraphicFramePr>
              <a:graphicFrameLocks noChangeAspect="1"/>
            </wp:cNvGraphicFramePr>
            <a:graphic>
              <a:graphicData uri="http://schemas.openxmlformats.org/drawingml/2006/picture">
                <pic:pic>
                  <pic:nvPicPr>
                    <pic:cNvPr id="0" name="trust_gap_by_industry.png"/>
                    <pic:cNvPicPr/>
                  </pic:nvPicPr>
                  <pic:blipFill>
                    <a:blip r:embed="rId12"/>
                    <a:stretch>
                      <a:fillRect/>
                    </a:stretch>
                  </pic:blipFill>
                  <pic:spPr>
                    <a:xfrm>
                      <a:off x="0" y="0"/>
                      <a:ext cx="3657600" cy="2032000"/>
                    </a:xfrm>
                    <a:prstGeom prst="rect"/>
                  </pic:spPr>
                </pic:pic>
              </a:graphicData>
            </a:graphic>
          </wp:inline>
        </w:drawing>
      </w:r>
    </w:p>
    <w:p>
      <w:pPr>
        <w:spacing w:after="120"/>
        <w:ind w:firstLine="0"/>
        <w:jc w:val="center"/>
      </w:pPr>
      <w:r>
        <w:rPr>
          <w:rFonts w:ascii="Times New Roman" w:hAnsi="Times New Roman"/>
          <w:i/>
          <w:color w:val="000000"/>
          <w:sz w:val="19"/>
        </w:rPr>
        <w:t>Figure 4.3: Leadership Trust Gap by Industry Sector Chart</w:t>
      </w:r>
    </w:p>
    <w:p>
      <w:pPr>
        <w:keepNext/>
        <w:spacing w:after="160" w:line="276" w:lineRule="auto"/>
        <w:jc w:val="left"/>
      </w:pPr>
      <w:r>
        <w:rPr>
          <w:rFonts w:ascii="Times New Roman" w:hAnsi="Times New Roman"/>
          <w:b/>
          <w:color w:val="000000"/>
          <w:sz w:val="26"/>
        </w:rPr>
        <w:t>5. Conclusion &amp; Recommendations</w:t>
      </w:r>
    </w:p>
    <w:p>
      <w:pPr>
        <w:spacing w:after="80" w:line="276" w:lineRule="auto"/>
        <w:ind w:firstLine="576"/>
        <w:jc w:val="both"/>
      </w:pPr>
      <w:r>
        <w:rPr>
          <w:rFonts w:ascii="Times New Roman" w:hAnsi="Times New Roman"/>
          <w:color w:val="000000"/>
          <w:sz w:val="22"/>
        </w:rPr>
        <w:t>This project successfully built a unified Data Lakehouse and ML pipeline to evaluate agentic AI. Our analysis revealed a critical trust gap: while Technology agents lead in raw productivity, they suffer from a -16.23% trust gap, whereas Government agents enjoy a positive trust surplus. Based on these findings, we recommend: (1) Restricting AI autonomy in Tech domains to rebuild user trust; (2) Tuning response latency thresholds to prevent cognitive fatigue; and (3) Implementing star schema reporting to track model drift in real time.</w:t>
      </w:r>
    </w:p>
    <w:p>
      <w:pPr>
        <w:keepNext/>
        <w:spacing w:after="160" w:line="276" w:lineRule="auto"/>
        <w:jc w:val="left"/>
      </w:pPr>
      <w:r>
        <w:rPr>
          <w:rFonts w:ascii="Times New Roman" w:hAnsi="Times New Roman"/>
          <w:b/>
          <w:color w:val="000000"/>
          <w:sz w:val="26"/>
        </w:rPr>
        <w:t>References</w:t>
      </w:r>
    </w:p>
    <w:p>
      <w:pPr>
        <w:spacing w:after="40" w:line="276" w:lineRule="auto"/>
        <w:jc w:val="both"/>
      </w:pPr>
      <w:r>
        <w:rPr>
          <w:rFonts w:ascii="Times New Roman" w:hAnsi="Times New Roman"/>
          <w:i/>
          <w:color w:val="000000"/>
          <w:sz w:val="20"/>
        </w:rPr>
        <w:t>[1] Park, J.S., O'Brien, J.C., Cai, C.J., et al. (2023). Generative Agents: Interactive Simulacra of Human Behavior. arXiv preprint arXiv:2304.03442.</w:t>
      </w:r>
    </w:p>
    <w:p>
      <w:pPr>
        <w:spacing w:after="40" w:line="276" w:lineRule="auto"/>
        <w:jc w:val="both"/>
      </w:pPr>
      <w:r>
        <w:rPr>
          <w:rFonts w:ascii="Times New Roman" w:hAnsi="Times New Roman"/>
          <w:i/>
          <w:color w:val="000000"/>
          <w:sz w:val="20"/>
        </w:rPr>
        <w:t>[2] Yao, S., Zhao, J., Yu, D., et al. (2022). ReAct: Synergizing Reasoning and Acting in Language Models. arXiv preprint arXiv:2210.03629.</w:t>
      </w:r>
    </w:p>
    <w:p>
      <w:pPr>
        <w:spacing w:after="40" w:line="276" w:lineRule="auto"/>
        <w:jc w:val="both"/>
      </w:pPr>
      <w:r>
        <w:rPr>
          <w:rFonts w:ascii="Times New Roman" w:hAnsi="Times New Roman"/>
          <w:i/>
          <w:color w:val="000000"/>
          <w:sz w:val="20"/>
        </w:rPr>
        <w:t>[3] Schick, T., Dwivedi-Yu, J., Dessì, R., et al. (2023). Toolformer: Language Models Can Teach Themselves to Use Tools. arXiv preprint arXiv:2302.04761.</w:t>
      </w:r>
    </w:p>
    <w:p>
      <w:pPr>
        <w:spacing w:after="40" w:line="276" w:lineRule="auto"/>
        <w:jc w:val="both"/>
      </w:pPr>
      <w:r>
        <w:rPr>
          <w:rFonts w:ascii="Times New Roman" w:hAnsi="Times New Roman"/>
          <w:i/>
          <w:color w:val="000000"/>
          <w:sz w:val="20"/>
        </w:rPr>
        <w:t>[4] Wang, L., Chen, C., Pei, J., et al. (2024). A Survey on Large Language Model based Autonomous Agents. arXiv preprint arXiv:2308.11432.</w:t>
      </w:r>
    </w:p>
    <w:p>
      <w:pPr>
        <w:spacing w:after="40" w:line="276" w:lineRule="auto"/>
        <w:jc w:val="both"/>
      </w:pPr>
      <w:r>
        <w:rPr>
          <w:rFonts w:ascii="Times New Roman" w:hAnsi="Times New Roman"/>
          <w:i/>
          <w:color w:val="000000"/>
          <w:sz w:val="20"/>
        </w:rPr>
        <w:t>[5] Armbrust, M., Ghodsi, A., Xin, R., et al. (2021). Lakehouse: A New Generation of Open Platforms that Unify Data Warehousing and Advanced Analytics. In Proceedings of CIDR 2021.</w:t>
      </w:r>
    </w:p>
    <w:p>
      <w:pPr>
        <w:spacing w:after="40" w:line="276" w:lineRule="auto"/>
        <w:jc w:val="both"/>
      </w:pPr>
      <w:r>
        <w:rPr>
          <w:rFonts w:ascii="Times New Roman" w:hAnsi="Times New Roman"/>
          <w:i/>
          <w:color w:val="000000"/>
          <w:sz w:val="20"/>
        </w:rPr>
        <w:t>[6] Armbrust, M., Xin, R.S., Lian, C., et al. (2015). Spark SQL: Relational Data Processing in Spark. In Proceedings of SIGMOD 2015, pp. 1383-1394.</w:t>
      </w:r>
    </w:p>
    <w:p>
      <w:pPr>
        <w:spacing w:after="40" w:line="276" w:lineRule="auto"/>
        <w:jc w:val="both"/>
      </w:pPr>
      <w:r>
        <w:rPr>
          <w:rFonts w:ascii="Times New Roman" w:hAnsi="Times New Roman"/>
          <w:i/>
          <w:color w:val="000000"/>
          <w:sz w:val="20"/>
        </w:rPr>
        <w:t>[7] Pedregosa, F., Varoquaux, G., Gramfort, A., et al. (2011). Scikit-learn: Machine Learning in Python. Journal of Machine Learning Research, 12, 2825-2830.</w:t>
      </w:r>
    </w:p>
    <w:sectPr>
      <w:headerReference r:id="rId7" w:type="default"/>
      <w:pgSz w:h="16838" w:w="11906" w:orient="portrait"/>
      <w:pgMar w:bottom="273.6" w:top="1627.1999999999998" w:left="3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1440" w:firstLine="0"/>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ind w:left="720" w:firstLine="0"/>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ind w:left="720" w:firstLine="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