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val="0"/>
          <w:i w:val="0"/>
          <w:color w:val="000000"/>
          <w:sz w:val="24"/>
        </w:rPr>
      </w:r>
    </w:p>
    <w:p>
      <w:pPr>
        <w:spacing w:after="240"/>
        <w:jc w:val="center"/>
      </w:pPr>
      <w:r>
        <w:rPr>
          <w:rFonts w:ascii="Times New Roman" w:hAnsi="Times New Roman"/>
          <w:b w:val="0"/>
          <w:i w:val="0"/>
          <w:color w:val="000000"/>
          <w:sz w:val="24"/>
        </w:rPr>
      </w:r>
    </w:p>
    <w:p>
      <w:pPr>
        <w:spacing w:after="240"/>
        <w:jc w:val="center"/>
      </w:pPr>
      <w:r>
        <w:rPr>
          <w:rFonts w:ascii="Times New Roman" w:hAnsi="Times New Roman"/>
          <w:b w:val="0"/>
          <w:i w:val="0"/>
          <w:color w:val="000000"/>
          <w:sz w:val="24"/>
        </w:rPr>
      </w:r>
    </w:p>
    <w:p>
      <w:pPr>
        <w:spacing w:after="240"/>
        <w:jc w:val="center"/>
      </w:pPr>
      <w:r>
        <w:rPr>
          <w:rFonts w:ascii="Times New Roman" w:hAnsi="Times New Roman"/>
          <w:b/>
          <w:i w:val="0"/>
          <w:color w:val="000000"/>
          <w:sz w:val="36"/>
        </w:rPr>
        <w:t>INDIVIDUAL PROJECT:</w:t>
      </w:r>
    </w:p>
    <w:p>
      <w:pPr>
        <w:spacing w:after="240"/>
        <w:jc w:val="center"/>
      </w:pPr>
      <w:r>
        <w:rPr>
          <w:rFonts w:ascii="Times New Roman" w:hAnsi="Times New Roman"/>
          <w:b/>
          <w:i w:val="0"/>
          <w:color w:val="000000"/>
          <w:sz w:val="36"/>
        </w:rPr>
        <w:t>A DATA ENGINEERING PIPELINE FOR TRUST ASSESSMENT</w:t>
        <w:br/>
        <w:t>OF AGENTIC AI IN PROFESSIONAL SERVICES</w:t>
      </w:r>
    </w:p>
    <w:p>
      <w:pPr>
        <w:spacing w:after="240"/>
        <w:jc w:val="center"/>
      </w:pPr>
      <w:r>
        <w:rPr>
          <w:rFonts w:ascii="Times New Roman" w:hAnsi="Times New Roman"/>
          <w:b w:val="0"/>
          <w:i w:val="0"/>
          <w:color w:val="000000"/>
          <w:sz w:val="24"/>
        </w:rPr>
      </w:r>
    </w:p>
    <w:p>
      <w:pPr>
        <w:spacing w:after="240"/>
        <w:jc w:val="center"/>
      </w:pPr>
      <w:r>
        <w:rPr>
          <w:rFonts w:ascii="Times New Roman" w:hAnsi="Times New Roman"/>
          <w:b w:val="0"/>
          <w:i w:val="0"/>
          <w:color w:val="000000"/>
          <w:sz w:val="24"/>
        </w:rPr>
      </w:r>
    </w:p>
    <w:p>
      <w:pPr>
        <w:spacing w:after="240"/>
        <w:jc w:val="center"/>
      </w:pPr>
      <w:r>
        <w:rPr>
          <w:rFonts w:ascii="Times New Roman" w:hAnsi="Times New Roman"/>
          <w:b/>
          <w:i w:val="0"/>
          <w:color w:val="000000"/>
          <w:sz w:val="28"/>
        </w:rPr>
        <w:t>Special Topic in Data Engineering (SECP3843)</w:t>
        <w:br/>
        <w:t>Section 02</w:t>
      </w:r>
    </w:p>
    <w:p>
      <w:pPr>
        <w:spacing w:after="240"/>
        <w:jc w:val="center"/>
      </w:pPr>
      <w:r>
        <w:rPr>
          <w:rFonts w:ascii="Times New Roman" w:hAnsi="Times New Roman"/>
          <w:b w:val="0"/>
          <w:i w:val="0"/>
          <w:color w:val="000000"/>
          <w:sz w:val="24"/>
        </w:rPr>
      </w:r>
    </w:p>
    <w:p>
      <w:pPr>
        <w:spacing w:after="240"/>
        <w:jc w:val="center"/>
      </w:pPr>
      <w:r>
        <w:rPr>
          <w:rFonts w:ascii="Times New Roman" w:hAnsi="Times New Roman"/>
          <w:b w:val="0"/>
          <w:i w:val="0"/>
          <w:color w:val="000000"/>
          <w:sz w:val="24"/>
        </w:rPr>
      </w:r>
    </w:p>
    <w:p>
      <w:pPr>
        <w:spacing w:after="240"/>
        <w:jc w:val="center"/>
      </w:pPr>
      <w:r>
        <w:rPr>
          <w:rFonts w:ascii="Times New Roman" w:hAnsi="Times New Roman"/>
          <w:b w:val="0"/>
          <w:i w:val="0"/>
          <w:color w:val="000000"/>
          <w:sz w:val="24"/>
        </w:rPr>
      </w:r>
    </w:p>
    <w:p>
      <w:pPr>
        <w:spacing w:after="240"/>
        <w:jc w:val="center"/>
      </w:pPr>
      <w:r>
        <w:rPr>
          <w:rFonts w:ascii="Times New Roman" w:hAnsi="Times New Roman"/>
          <w:b w:val="0"/>
          <w:i w:val="0"/>
          <w:color w:val="000000"/>
          <w:sz w:val="24"/>
        </w:rPr>
        <w:t>Prepared By:</w:t>
        <w:br/>
        <w:t>Richard Clay</w:t>
        <w:br/>
        <w:t>Student ID: X25EC3019</w:t>
      </w:r>
    </w:p>
    <w:p>
      <w:pPr>
        <w:spacing w:after="240"/>
        <w:jc w:val="center"/>
      </w:pPr>
      <w:r>
        <w:rPr>
          <w:rFonts w:ascii="Times New Roman" w:hAnsi="Times New Roman"/>
          <w:b w:val="0"/>
          <w:i w:val="0"/>
          <w:color w:val="000000"/>
          <w:sz w:val="24"/>
        </w:rPr>
        <w:t>Presented To:</w:t>
        <w:br/>
        <w:t>Dr. Bens Pardamean</w:t>
        <w:br/>
        <w:t>Jonathan H. P. Simatupang</w:t>
      </w:r>
    </w:p>
    <w:p>
      <w:pPr>
        <w:spacing w:after="480"/>
        <w:jc w:val="center"/>
      </w:pPr>
      <w:r>
        <w:rPr>
          <w:rFonts w:ascii="Times New Roman" w:hAnsi="Times New Roman"/>
          <w:b w:val="0"/>
          <w:i w:val="0"/>
          <w:color w:val="000000"/>
          <w:sz w:val="24"/>
        </w:rPr>
        <w:t>BINUS University</w:t>
        <w:br/>
        <w:t>Faculty of Computing</w:t>
        <w:br/>
        <w:t>June 2026</w:t>
      </w:r>
    </w:p>
    <w:p>
      <w:r>
        <w:br w:type="page"/>
      </w:r>
    </w:p>
    <w:p>
      <w:pPr>
        <w:spacing w:after="240" w:before="480"/>
        <w:jc w:val="center"/>
      </w:pPr>
      <w:r>
        <w:rPr>
          <w:rFonts w:ascii="Times New Roman" w:hAnsi="Times New Roman"/>
          <w:b/>
          <w:i w:val="0"/>
          <w:color w:val="000000"/>
          <w:sz w:val="32"/>
        </w:rPr>
        <w:t>ACKNOWLEDGEMENT</w:t>
      </w:r>
    </w:p>
    <w:p>
      <w:pPr>
        <w:spacing w:after="120" w:line="276" w:lineRule="auto"/>
        <w:ind w:firstLine="720"/>
        <w:jc w:val="both"/>
      </w:pPr>
      <w:r>
        <w:rPr>
          <w:rFonts w:ascii="Times New Roman" w:hAnsi="Times New Roman"/>
          <w:b w:val="0"/>
          <w:i w:val="0"/>
          <w:color w:val="000000"/>
          <w:sz w:val="24"/>
        </w:rPr>
        <w:t>First and foremost, I would like to express my sincere gratitude to BINUS University for providing the academic environment and resources that made this project possible. The Faculty of Computing has been instrumental in shaping my understanding of data engineering and artificial intelligence through its rigorous curriculum and supportive community.</w:t>
      </w:r>
    </w:p>
    <w:p>
      <w:pPr>
        <w:spacing w:after="120" w:line="276" w:lineRule="auto"/>
        <w:ind w:firstLine="720"/>
        <w:jc w:val="both"/>
      </w:pPr>
      <w:r>
        <w:rPr>
          <w:rFonts w:ascii="Times New Roman" w:hAnsi="Times New Roman"/>
          <w:b w:val="0"/>
          <w:i w:val="0"/>
          <w:color w:val="000000"/>
          <w:sz w:val="24"/>
        </w:rPr>
        <w:t>I extend my heartfelt appreciation to my project supervisor, Dr. Bens Pardamean, for his continuous guidance, constructive feedback, and encouragement throughout the development of this thesis. His expertise in data science and AI research has been invaluable in steering this project toward its objectives.</w:t>
      </w:r>
    </w:p>
    <w:p>
      <w:pPr>
        <w:spacing w:after="120" w:line="276" w:lineRule="auto"/>
        <w:ind w:firstLine="720"/>
        <w:jc w:val="both"/>
      </w:pPr>
      <w:r>
        <w:rPr>
          <w:rFonts w:ascii="Times New Roman" w:hAnsi="Times New Roman"/>
          <w:b w:val="0"/>
          <w:i w:val="0"/>
          <w:color w:val="000000"/>
          <w:sz w:val="24"/>
        </w:rPr>
        <w:t>I am also grateful to Jonathan H. P. Simatupang for his practical insights and hands-on mentorship in data pipeline development, which helped me bridge the gap between theoretical concepts and real-world implementation.</w:t>
      </w:r>
    </w:p>
    <w:p>
      <w:pPr>
        <w:spacing w:after="120" w:line="276" w:lineRule="auto"/>
        <w:ind w:firstLine="720"/>
        <w:jc w:val="both"/>
      </w:pPr>
      <w:r>
        <w:rPr>
          <w:rFonts w:ascii="Times New Roman" w:hAnsi="Times New Roman"/>
          <w:b w:val="0"/>
          <w:i w:val="0"/>
          <w:color w:val="000000"/>
          <w:sz w:val="24"/>
        </w:rPr>
        <w:t>Finally, I would like to thank my classmates, friends, and family for their unwavering support, patience, and motivation during the course of this work. Their encouragement kept me focused and driven to complete this project successfully.</w:t>
      </w:r>
    </w:p>
    <w:p>
      <w:r>
        <w:br w:type="page"/>
      </w:r>
    </w:p>
    <w:p>
      <w:pPr>
        <w:spacing w:after="240" w:before="480"/>
        <w:jc w:val="center"/>
      </w:pPr>
      <w:r>
        <w:rPr>
          <w:rFonts w:ascii="Times New Roman" w:hAnsi="Times New Roman"/>
          <w:b/>
          <w:i w:val="0"/>
          <w:color w:val="000000"/>
          <w:sz w:val="32"/>
        </w:rPr>
        <w:t>ABSTRACT</w:t>
      </w:r>
    </w:p>
    <w:p>
      <w:pPr>
        <w:spacing w:after="120" w:line="276" w:lineRule="auto"/>
        <w:ind w:firstLine="720"/>
        <w:jc w:val="both"/>
      </w:pPr>
      <w:r>
        <w:rPr>
          <w:rFonts w:ascii="Times New Roman" w:hAnsi="Times New Roman"/>
          <w:b w:val="0"/>
          <w:i w:val="0"/>
          <w:color w:val="000000"/>
          <w:sz w:val="24"/>
        </w:rPr>
        <w:t>This project presents the design and implementation of a scalable data pipeline and storage system leveraging the Medallion architecture (Bronze-Silver-Gold) within a Data Lakehouse framework. In the context of Agentic AI and its expanding role in organizational decision-making, four heterogeneous data sources were ingested, integrated, and transformed using Apache Spark on a lightweight VPS environment.</w:t>
      </w:r>
    </w:p>
    <w:p>
      <w:pPr>
        <w:spacing w:after="120" w:line="276" w:lineRule="auto"/>
        <w:ind w:firstLine="720"/>
        <w:jc w:val="both"/>
      </w:pPr>
      <w:r>
        <w:rPr>
          <w:rFonts w:ascii="Times New Roman" w:hAnsi="Times New Roman"/>
          <w:b w:val="0"/>
          <w:i w:val="0"/>
          <w:color w:val="000000"/>
          <w:sz w:val="24"/>
        </w:rPr>
        <w:t>The Bronze layer ingested structured CSV files from Kaggle (2,500 records), JSON API benchmarks from SeedBench (1,500 records), agent execution log CSVs (2,000 records), and OpenAlex citation metadata via JSON API (1,000 records). The Silver layer applied rule-based NLP contextual mapping to classify research tokens into trust-related categories, while the Gold layer executed K-Means clustering (Silhouette = 0.5276) and Logistic Regression classification (Accuracy = 55.44%, F1 = 46.59%) to generate trust indicators. The final analytical model follows a Star Schema design with one fact table (Fact_AI_Deployment) and three dimension tables.</w:t>
      </w:r>
    </w:p>
    <w:p>
      <w:pPr>
        <w:spacing w:after="120" w:line="276" w:lineRule="auto"/>
        <w:ind w:firstLine="720"/>
        <w:jc w:val="both"/>
      </w:pPr>
      <w:r>
        <w:rPr>
          <w:rFonts w:ascii="Times New Roman" w:hAnsi="Times New Roman"/>
          <w:b w:val="0"/>
          <w:i w:val="0"/>
          <w:color w:val="000000"/>
          <w:sz w:val="24"/>
        </w:rPr>
        <w:t>The pipeline completed its full execution in 104.4 seconds on a 1.9 GB RAM VPS instance. Automated testing validated schema conformance, null assertions, row counts, and model artifact exports. The results demonstrate that a lightweight Spark-based pipeline can effectively unify disparate AI governance signals into structured, actionable metrics for organizational leadership.</w:t>
      </w:r>
    </w:p>
    <w:p>
      <w:pPr>
        <w:spacing w:after="240"/>
        <w:jc w:val="center"/>
      </w:pPr>
      <w:r>
        <w:rPr>
          <w:rFonts w:ascii="Times New Roman" w:hAnsi="Times New Roman"/>
          <w:b/>
          <w:i w:val="0"/>
          <w:color w:val="000000"/>
          <w:sz w:val="22"/>
        </w:rPr>
        <w:t>Keywords: Data Engineering, Agentic AI, Trust Assessment, Apache Spark, Medallion Architecture, Star Schema, K-Means, Logistic Regression</w:t>
      </w:r>
    </w:p>
    <w:p>
      <w:r>
        <w:br w:type="page"/>
      </w:r>
    </w:p>
    <w:p>
      <w:pPr>
        <w:spacing w:after="240" w:before="480"/>
        <w:jc w:val="center"/>
      </w:pPr>
      <w:r>
        <w:rPr>
          <w:rFonts w:ascii="Times New Roman" w:hAnsi="Times New Roman"/>
          <w:b/>
          <w:i w:val="0"/>
          <w:color w:val="000000"/>
          <w:sz w:val="32"/>
        </w:rPr>
        <w:t>TABLE OF CONTENTS</w:t>
      </w:r>
    </w:p>
    <w:p>
      <w:r>
        <w:rPr>
          <w:rFonts w:ascii="Times New Roman" w:hAnsi="Times New Roman"/>
          <w:b/>
          <w:i w:val="0"/>
          <w:color w:val="000000"/>
          <w:sz w:val="24"/>
        </w:rPr>
        <w:t>ACKNOWLEDGEMENT</w:t>
      </w:r>
    </w:p>
    <w:p>
      <w:r>
        <w:rPr>
          <w:rFonts w:ascii="Times New Roman" w:hAnsi="Times New Roman"/>
          <w:b/>
          <w:i w:val="0"/>
          <w:color w:val="000000"/>
          <w:sz w:val="24"/>
        </w:rPr>
        <w:t>ABSTRACT</w:t>
      </w:r>
    </w:p>
    <w:p>
      <w:r>
        <w:rPr>
          <w:rFonts w:ascii="Times New Roman" w:hAnsi="Times New Roman"/>
          <w:b/>
          <w:i w:val="0"/>
          <w:color w:val="000000"/>
          <w:sz w:val="24"/>
        </w:rPr>
        <w:t>LIST OF FIGURES</w:t>
      </w:r>
    </w:p>
    <w:p>
      <w:r>
        <w:rPr>
          <w:rFonts w:ascii="Times New Roman" w:hAnsi="Times New Roman"/>
          <w:b/>
          <w:i w:val="0"/>
          <w:color w:val="000000"/>
          <w:sz w:val="24"/>
        </w:rPr>
        <w:t>CHAPTER 1</w:t>
      </w:r>
    </w:p>
    <w:p>
      <w:pPr>
        <w:ind w:left="720"/>
      </w:pPr>
      <w:r>
        <w:rPr>
          <w:rFonts w:ascii="Times New Roman" w:hAnsi="Times New Roman"/>
          <w:b w:val="0"/>
          <w:i w:val="0"/>
          <w:color w:val="000000"/>
          <w:sz w:val="24"/>
        </w:rPr>
        <w:t xml:space="preserve">   1.1 Introduction</w:t>
      </w:r>
    </w:p>
    <w:p>
      <w:pPr>
        <w:ind w:left="720"/>
      </w:pPr>
      <w:r>
        <w:rPr>
          <w:rFonts w:ascii="Times New Roman" w:hAnsi="Times New Roman"/>
          <w:b w:val="0"/>
          <w:i w:val="0"/>
          <w:color w:val="000000"/>
          <w:sz w:val="24"/>
        </w:rPr>
        <w:t xml:space="preserve">   1.2 Problem Background</w:t>
      </w:r>
    </w:p>
    <w:p>
      <w:pPr>
        <w:ind w:left="720"/>
      </w:pPr>
      <w:r>
        <w:rPr>
          <w:rFonts w:ascii="Times New Roman" w:hAnsi="Times New Roman"/>
          <w:b w:val="0"/>
          <w:i w:val="0"/>
          <w:color w:val="000000"/>
          <w:sz w:val="24"/>
        </w:rPr>
        <w:t xml:space="preserve">   1.3 Project Aim</w:t>
      </w:r>
    </w:p>
    <w:p>
      <w:pPr>
        <w:ind w:left="720"/>
      </w:pPr>
      <w:r>
        <w:rPr>
          <w:rFonts w:ascii="Times New Roman" w:hAnsi="Times New Roman"/>
          <w:b w:val="0"/>
          <w:i w:val="0"/>
          <w:color w:val="000000"/>
          <w:sz w:val="24"/>
        </w:rPr>
        <w:t xml:space="preserve">   1.4 Project Objectives</w:t>
      </w:r>
    </w:p>
    <w:p>
      <w:pPr>
        <w:ind w:left="720"/>
      </w:pPr>
      <w:r>
        <w:rPr>
          <w:rFonts w:ascii="Times New Roman" w:hAnsi="Times New Roman"/>
          <w:b w:val="0"/>
          <w:i w:val="0"/>
          <w:color w:val="000000"/>
          <w:sz w:val="24"/>
        </w:rPr>
        <w:t xml:space="preserve">   1.5 Project Scope</w:t>
      </w:r>
    </w:p>
    <w:p>
      <w:pPr>
        <w:ind w:left="720"/>
      </w:pPr>
      <w:r>
        <w:rPr>
          <w:rFonts w:ascii="Times New Roman" w:hAnsi="Times New Roman"/>
          <w:b w:val="0"/>
          <w:i w:val="0"/>
          <w:color w:val="000000"/>
          <w:sz w:val="24"/>
        </w:rPr>
        <w:t xml:space="preserve">   1.6 Project Importance</w:t>
      </w:r>
    </w:p>
    <w:p>
      <w:pPr>
        <w:ind w:left="720"/>
      </w:pPr>
      <w:r>
        <w:rPr>
          <w:rFonts w:ascii="Times New Roman" w:hAnsi="Times New Roman"/>
          <w:b w:val="0"/>
          <w:i w:val="0"/>
          <w:color w:val="000000"/>
          <w:sz w:val="24"/>
        </w:rPr>
        <w:t xml:space="preserve">   1.7 Report Organization</w:t>
      </w:r>
    </w:p>
    <w:p>
      <w:r>
        <w:rPr>
          <w:rFonts w:ascii="Times New Roman" w:hAnsi="Times New Roman"/>
          <w:b/>
          <w:i w:val="0"/>
          <w:color w:val="000000"/>
          <w:sz w:val="24"/>
        </w:rPr>
        <w:t>CHAPTER 2</w:t>
      </w:r>
    </w:p>
    <w:p>
      <w:pPr>
        <w:ind w:left="720"/>
      </w:pPr>
      <w:r>
        <w:rPr>
          <w:rFonts w:ascii="Times New Roman" w:hAnsi="Times New Roman"/>
          <w:b w:val="0"/>
          <w:i w:val="0"/>
          <w:color w:val="000000"/>
          <w:sz w:val="24"/>
        </w:rPr>
        <w:t xml:space="preserve">   2.1 Introduction</w:t>
      </w:r>
    </w:p>
    <w:p>
      <w:pPr>
        <w:ind w:left="720"/>
      </w:pPr>
      <w:r>
        <w:rPr>
          <w:rFonts w:ascii="Times New Roman" w:hAnsi="Times New Roman"/>
          <w:b w:val="0"/>
          <w:i w:val="0"/>
          <w:color w:val="000000"/>
          <w:sz w:val="24"/>
        </w:rPr>
        <w:t xml:space="preserve">   2.2 Related Previous Study</w:t>
      </w:r>
    </w:p>
    <w:p>
      <w:pPr>
        <w:ind w:left="720"/>
      </w:pPr>
      <w:r>
        <w:rPr>
          <w:rFonts w:ascii="Times New Roman" w:hAnsi="Times New Roman"/>
          <w:b w:val="0"/>
          <w:i w:val="0"/>
          <w:color w:val="000000"/>
          <w:sz w:val="24"/>
        </w:rPr>
        <w:t xml:space="preserve">   2.3 Related Theory Used</w:t>
      </w:r>
    </w:p>
    <w:p>
      <w:pPr>
        <w:ind w:left="720"/>
      </w:pPr>
      <w:r>
        <w:rPr>
          <w:rFonts w:ascii="Times New Roman" w:hAnsi="Times New Roman"/>
          <w:b w:val="0"/>
          <w:i w:val="0"/>
          <w:color w:val="000000"/>
          <w:sz w:val="24"/>
        </w:rPr>
        <w:t xml:space="preserve">   2.4 Related Technology Used</w:t>
      </w:r>
    </w:p>
    <w:p>
      <w:pPr>
        <w:ind w:left="720"/>
      </w:pPr>
      <w:r>
        <w:rPr>
          <w:rFonts w:ascii="Times New Roman" w:hAnsi="Times New Roman"/>
          <w:b w:val="0"/>
          <w:i w:val="0"/>
          <w:color w:val="000000"/>
          <w:sz w:val="24"/>
        </w:rPr>
        <w:t xml:space="preserve">   2.5 Summary</w:t>
      </w:r>
    </w:p>
    <w:p>
      <w:r>
        <w:rPr>
          <w:rFonts w:ascii="Times New Roman" w:hAnsi="Times New Roman"/>
          <w:b/>
          <w:i w:val="0"/>
          <w:color w:val="000000"/>
          <w:sz w:val="24"/>
        </w:rPr>
        <w:t>CHAPTER 3</w:t>
      </w:r>
    </w:p>
    <w:p>
      <w:pPr>
        <w:ind w:left="720"/>
      </w:pPr>
      <w:r>
        <w:rPr>
          <w:rFonts w:ascii="Times New Roman" w:hAnsi="Times New Roman"/>
          <w:b w:val="0"/>
          <w:i w:val="0"/>
          <w:color w:val="000000"/>
          <w:sz w:val="24"/>
        </w:rPr>
        <w:t xml:space="preserve">   3.1 Introduction</w:t>
      </w:r>
    </w:p>
    <w:p>
      <w:pPr>
        <w:ind w:left="720"/>
      </w:pPr>
      <w:r>
        <w:rPr>
          <w:rFonts w:ascii="Times New Roman" w:hAnsi="Times New Roman"/>
          <w:b w:val="0"/>
          <w:i w:val="0"/>
          <w:color w:val="000000"/>
          <w:sz w:val="24"/>
        </w:rPr>
        <w:t xml:space="preserve">   3.2 Methodology Overview</w:t>
      </w:r>
    </w:p>
    <w:p>
      <w:pPr>
        <w:ind w:left="720"/>
      </w:pPr>
      <w:r>
        <w:rPr>
          <w:rFonts w:ascii="Times New Roman" w:hAnsi="Times New Roman"/>
          <w:b w:val="0"/>
          <w:i w:val="0"/>
          <w:color w:val="000000"/>
          <w:sz w:val="24"/>
        </w:rPr>
        <w:t xml:space="preserve">   3.3 Phases of Methodology</w:t>
      </w:r>
    </w:p>
    <w:p>
      <w:pPr>
        <w:ind w:left="720"/>
      </w:pPr>
      <w:r>
        <w:rPr>
          <w:rFonts w:ascii="Times New Roman" w:hAnsi="Times New Roman"/>
          <w:b w:val="0"/>
          <w:i w:val="0"/>
          <w:color w:val="000000"/>
          <w:sz w:val="24"/>
        </w:rPr>
        <w:t xml:space="preserve">   3.4 Project Planning Schedule</w:t>
      </w:r>
    </w:p>
    <w:p>
      <w:pPr>
        <w:ind w:left="720"/>
      </w:pPr>
      <w:r>
        <w:rPr>
          <w:rFonts w:ascii="Times New Roman" w:hAnsi="Times New Roman"/>
          <w:b w:val="0"/>
          <w:i w:val="0"/>
          <w:color w:val="000000"/>
          <w:sz w:val="24"/>
        </w:rPr>
        <w:t xml:space="preserve">   3.5 Risk Analysis and Mitigation</w:t>
      </w:r>
    </w:p>
    <w:p>
      <w:pPr>
        <w:ind w:left="720"/>
      </w:pPr>
      <w:r>
        <w:rPr>
          <w:rFonts w:ascii="Times New Roman" w:hAnsi="Times New Roman"/>
          <w:b w:val="0"/>
          <w:i w:val="0"/>
          <w:color w:val="000000"/>
          <w:sz w:val="24"/>
        </w:rPr>
        <w:t xml:space="preserve">   3.6 Summary</w:t>
      </w:r>
    </w:p>
    <w:p>
      <w:r>
        <w:rPr>
          <w:rFonts w:ascii="Times New Roman" w:hAnsi="Times New Roman"/>
          <w:b/>
          <w:i w:val="0"/>
          <w:color w:val="000000"/>
          <w:sz w:val="24"/>
        </w:rPr>
        <w:t>CHAPTER 4</w:t>
      </w:r>
    </w:p>
    <w:p>
      <w:pPr>
        <w:ind w:left="720"/>
      </w:pPr>
      <w:r>
        <w:rPr>
          <w:rFonts w:ascii="Times New Roman" w:hAnsi="Times New Roman"/>
          <w:b w:val="0"/>
          <w:i w:val="0"/>
          <w:color w:val="000000"/>
          <w:sz w:val="24"/>
        </w:rPr>
        <w:t xml:space="preserve">   4.1 Introduction</w:t>
      </w:r>
    </w:p>
    <w:p>
      <w:pPr>
        <w:ind w:left="720"/>
      </w:pPr>
      <w:r>
        <w:rPr>
          <w:rFonts w:ascii="Times New Roman" w:hAnsi="Times New Roman"/>
          <w:b w:val="0"/>
          <w:i w:val="0"/>
          <w:color w:val="000000"/>
          <w:sz w:val="24"/>
        </w:rPr>
        <w:t xml:space="preserve">   4.2 System Analysis</w:t>
      </w:r>
    </w:p>
    <w:p>
      <w:pPr>
        <w:ind w:left="720"/>
      </w:pPr>
      <w:r>
        <w:rPr>
          <w:rFonts w:ascii="Times New Roman" w:hAnsi="Times New Roman"/>
          <w:b w:val="0"/>
          <w:i w:val="0"/>
          <w:color w:val="000000"/>
          <w:sz w:val="24"/>
        </w:rPr>
        <w:t xml:space="preserve">   4.3 System Design</w:t>
      </w:r>
    </w:p>
    <w:p>
      <w:pPr>
        <w:ind w:left="720"/>
      </w:pPr>
      <w:r>
        <w:rPr>
          <w:rFonts w:ascii="Times New Roman" w:hAnsi="Times New Roman"/>
          <w:b w:val="0"/>
          <w:i w:val="0"/>
          <w:color w:val="000000"/>
          <w:sz w:val="24"/>
        </w:rPr>
        <w:t xml:space="preserve">   4.4 Summary</w:t>
      </w:r>
    </w:p>
    <w:p>
      <w:r>
        <w:rPr>
          <w:rFonts w:ascii="Times New Roman" w:hAnsi="Times New Roman"/>
          <w:b/>
          <w:i w:val="0"/>
          <w:color w:val="000000"/>
          <w:sz w:val="24"/>
        </w:rPr>
        <w:t>CHAPTER 5</w:t>
      </w:r>
    </w:p>
    <w:p>
      <w:pPr>
        <w:ind w:left="720"/>
      </w:pPr>
      <w:r>
        <w:rPr>
          <w:rFonts w:ascii="Times New Roman" w:hAnsi="Times New Roman"/>
          <w:b w:val="0"/>
          <w:i w:val="0"/>
          <w:color w:val="000000"/>
          <w:sz w:val="24"/>
        </w:rPr>
        <w:t xml:space="preserve">   5.1 Introduction</w:t>
      </w:r>
    </w:p>
    <w:p>
      <w:pPr>
        <w:ind w:left="720"/>
      </w:pPr>
      <w:r>
        <w:rPr>
          <w:rFonts w:ascii="Times New Roman" w:hAnsi="Times New Roman"/>
          <w:b w:val="0"/>
          <w:i w:val="0"/>
          <w:color w:val="000000"/>
          <w:sz w:val="24"/>
        </w:rPr>
        <w:t xml:space="preserve">   5.2 System Development</w:t>
      </w:r>
    </w:p>
    <w:p>
      <w:pPr>
        <w:ind w:left="720"/>
      </w:pPr>
      <w:r>
        <w:rPr>
          <w:rFonts w:ascii="Times New Roman" w:hAnsi="Times New Roman"/>
          <w:b w:val="0"/>
          <w:i w:val="0"/>
          <w:color w:val="000000"/>
          <w:sz w:val="24"/>
        </w:rPr>
        <w:t xml:space="preserve">   5.3 Coding of Main Functions</w:t>
      </w:r>
    </w:p>
    <w:p>
      <w:pPr>
        <w:ind w:left="720"/>
      </w:pPr>
      <w:r>
        <w:rPr>
          <w:rFonts w:ascii="Times New Roman" w:hAnsi="Times New Roman"/>
          <w:b w:val="0"/>
          <w:i w:val="0"/>
          <w:color w:val="000000"/>
          <w:sz w:val="24"/>
        </w:rPr>
        <w:t xml:space="preserve">   5.4 Essential Interfaces</w:t>
      </w:r>
    </w:p>
    <w:p>
      <w:pPr>
        <w:ind w:left="720"/>
      </w:pPr>
      <w:r>
        <w:rPr>
          <w:rFonts w:ascii="Times New Roman" w:hAnsi="Times New Roman"/>
          <w:b w:val="0"/>
          <w:i w:val="0"/>
          <w:color w:val="000000"/>
          <w:sz w:val="24"/>
        </w:rPr>
        <w:t xml:space="preserve">   5.5 Testing</w:t>
      </w:r>
    </w:p>
    <w:p>
      <w:pPr>
        <w:ind w:left="720"/>
      </w:pPr>
      <w:r>
        <w:rPr>
          <w:rFonts w:ascii="Times New Roman" w:hAnsi="Times New Roman"/>
          <w:b w:val="0"/>
          <w:i w:val="0"/>
          <w:color w:val="000000"/>
          <w:sz w:val="24"/>
        </w:rPr>
        <w:t xml:space="preserve">   5.6 Summary</w:t>
      </w:r>
    </w:p>
    <w:p>
      <w:r>
        <w:rPr>
          <w:rFonts w:ascii="Times New Roman" w:hAnsi="Times New Roman"/>
          <w:b/>
          <w:i w:val="0"/>
          <w:color w:val="000000"/>
          <w:sz w:val="24"/>
        </w:rPr>
        <w:t>REFERENCES</w:t>
      </w:r>
    </w:p>
    <w:p>
      <w:r>
        <w:br w:type="page"/>
      </w:r>
    </w:p>
    <w:p>
      <w:pPr>
        <w:spacing w:after="240" w:before="480"/>
        <w:jc w:val="center"/>
      </w:pPr>
      <w:r>
        <w:rPr>
          <w:rFonts w:ascii="Times New Roman" w:hAnsi="Times New Roman"/>
          <w:b/>
          <w:i w:val="0"/>
          <w:color w:val="000000"/>
          <w:sz w:val="32"/>
        </w:rPr>
        <w:t>LIST OF FIGURES</w:t>
      </w:r>
    </w:p>
    <w:p>
      <w:pPr>
        <w:spacing w:after="40"/>
      </w:pPr>
      <w:r>
        <w:rPr>
          <w:rFonts w:ascii="Times New Roman" w:hAnsi="Times New Roman"/>
          <w:b w:val="0"/>
          <w:i w:val="0"/>
          <w:color w:val="000000"/>
          <w:sz w:val="22"/>
        </w:rPr>
        <w:t>Figure 3.3.3.1: ETL Medallion Architecture Data Flow</w:t>
      </w:r>
    </w:p>
    <w:p>
      <w:pPr>
        <w:spacing w:after="40"/>
      </w:pPr>
      <w:r>
        <w:rPr>
          <w:rFonts w:ascii="Times New Roman" w:hAnsi="Times New Roman"/>
          <w:b w:val="0"/>
          <w:i w:val="0"/>
          <w:color w:val="000000"/>
          <w:sz w:val="22"/>
        </w:rPr>
        <w:t>Figure 3.3.3.2: Star Schema Data Model Design</w:t>
      </w:r>
    </w:p>
    <w:p>
      <w:pPr>
        <w:spacing w:after="40"/>
      </w:pPr>
      <w:r>
        <w:rPr>
          <w:rFonts w:ascii="Times New Roman" w:hAnsi="Times New Roman"/>
          <w:b w:val="0"/>
          <w:i w:val="0"/>
          <w:color w:val="000000"/>
          <w:sz w:val="22"/>
        </w:rPr>
        <w:t>Figure 3.4.1: Gantt Chart of the Project</w:t>
      </w:r>
    </w:p>
    <w:p>
      <w:pPr>
        <w:spacing w:after="40"/>
      </w:pPr>
      <w:r>
        <w:rPr>
          <w:rFonts w:ascii="Times New Roman" w:hAnsi="Times New Roman"/>
          <w:b w:val="0"/>
          <w:i w:val="0"/>
          <w:color w:val="000000"/>
          <w:sz w:val="22"/>
        </w:rPr>
        <w:t>Figure 4.2.1: Use Case Diagram</w:t>
      </w:r>
    </w:p>
    <w:p>
      <w:pPr>
        <w:spacing w:after="40"/>
      </w:pPr>
      <w:r>
        <w:rPr>
          <w:rFonts w:ascii="Times New Roman" w:hAnsi="Times New Roman"/>
          <w:b w:val="0"/>
          <w:i w:val="0"/>
          <w:color w:val="000000"/>
          <w:sz w:val="22"/>
        </w:rPr>
        <w:t>Figure 4.2.2: Entity Relationship Diagram (Star Schema)</w:t>
      </w:r>
    </w:p>
    <w:p>
      <w:pPr>
        <w:spacing w:after="40"/>
      </w:pPr>
      <w:r>
        <w:rPr>
          <w:rFonts w:ascii="Times New Roman" w:hAnsi="Times New Roman"/>
          <w:b w:val="0"/>
          <w:i w:val="0"/>
          <w:color w:val="000000"/>
          <w:sz w:val="22"/>
        </w:rPr>
        <w:t>Figure 5.4.1: Pipeline Execution Monitor Output</w:t>
      </w:r>
    </w:p>
    <w:p>
      <w:pPr>
        <w:spacing w:after="40"/>
      </w:pPr>
      <w:r>
        <w:rPr>
          <w:rFonts w:ascii="Times New Roman" w:hAnsi="Times New Roman"/>
          <w:b w:val="0"/>
          <w:i w:val="0"/>
          <w:color w:val="000000"/>
          <w:sz w:val="22"/>
        </w:rPr>
        <w:t>Figure 5.4.2: K-Means Clustering Visualization</w:t>
      </w:r>
    </w:p>
    <w:p>
      <w:r>
        <w:br w:type="page"/>
      </w:r>
    </w:p>
    <w:p>
      <w:pPr>
        <w:spacing w:after="240" w:before="480"/>
        <w:jc w:val="center"/>
      </w:pPr>
      <w:r>
        <w:rPr>
          <w:rFonts w:ascii="Times New Roman" w:hAnsi="Times New Roman"/>
          <w:b/>
          <w:i w:val="0"/>
          <w:color w:val="000000"/>
          <w:sz w:val="32"/>
        </w:rPr>
        <w:t>CHAPTER 1</w:t>
      </w:r>
    </w:p>
    <w:p>
      <w:pPr>
        <w:spacing w:after="120" w:before="240"/>
      </w:pPr>
      <w:r>
        <w:rPr>
          <w:rFonts w:ascii="Times New Roman" w:hAnsi="Times New Roman"/>
          <w:b/>
          <w:i w:val="0"/>
          <w:color w:val="000000"/>
          <w:sz w:val="26"/>
        </w:rPr>
        <w:t>1.1 Introduction</w:t>
      </w:r>
    </w:p>
    <w:p>
      <w:pPr>
        <w:spacing w:after="120" w:line="276" w:lineRule="auto"/>
        <w:ind w:firstLine="720"/>
        <w:jc w:val="both"/>
      </w:pPr>
      <w:r>
        <w:rPr>
          <w:rFonts w:ascii="Times New Roman" w:hAnsi="Times New Roman"/>
          <w:b w:val="0"/>
          <w:i w:val="0"/>
          <w:color w:val="000000"/>
          <w:sz w:val="24"/>
        </w:rPr>
        <w:t>The rapid adoption of autonomous AI agents in professional service firms—law, consulting, accounting, and finance—has created a pressing need for structured trust assessment frameworks. Unlike traditional software systems, Agentic AI operates with significant autonomy: triaging client emails, monitoring infrastructure, supporting financial reviews, and coordinating dynamic workflows across organizational boundaries.</w:t>
      </w:r>
    </w:p>
    <w:p>
      <w:pPr>
        <w:spacing w:after="120" w:line="276" w:lineRule="auto"/>
        <w:ind w:firstLine="720"/>
        <w:jc w:val="both"/>
      </w:pPr>
      <w:r>
        <w:rPr>
          <w:rFonts w:ascii="Times New Roman" w:hAnsi="Times New Roman"/>
          <w:b w:val="0"/>
          <w:i w:val="0"/>
          <w:color w:val="000000"/>
          <w:sz w:val="24"/>
        </w:rPr>
        <w:t>However, without systematic monitoring and governance mechanisms, organizations face the risk of deploying agents whose outputs are unreliable, inconsistent, or misaligned with established standards. The absence of a centralized data pipeline to aggregate operational telemetry, benchmark performance, and external validation signals makes it difficult for leadership to assess deployment readiness with confidence.</w:t>
      </w:r>
    </w:p>
    <w:p>
      <w:pPr>
        <w:spacing w:after="120" w:line="276" w:lineRule="auto"/>
        <w:ind w:firstLine="720"/>
        <w:jc w:val="both"/>
      </w:pPr>
      <w:r>
        <w:rPr>
          <w:rFonts w:ascii="Times New Roman" w:hAnsi="Times New Roman"/>
          <w:b w:val="0"/>
          <w:i w:val="0"/>
          <w:color w:val="000000"/>
          <w:sz w:val="24"/>
        </w:rPr>
        <w:t>This project addresses that gap by designing and implementing a complete data engineering pipeline built on the Medallion architecture (Bronze-Silver-Gold) using Apache Spark. The pipeline ingests four heterogeneous data sources, applies contextual NLP mapping in the Silver layer, and executes clustering and classification models in the Gold layer to produce structured trust indicators. The final output follows a Star Schema analytical model suitable for downstream reporting and dashboarding.</w:t>
      </w:r>
    </w:p>
    <w:p>
      <w:pPr>
        <w:spacing w:after="120" w:before="240"/>
      </w:pPr>
      <w:r>
        <w:rPr>
          <w:rFonts w:ascii="Times New Roman" w:hAnsi="Times New Roman"/>
          <w:b/>
          <w:i w:val="0"/>
          <w:color w:val="000000"/>
          <w:sz w:val="26"/>
        </w:rPr>
        <w:t>1.2 Problem Background</w:t>
      </w:r>
    </w:p>
    <w:p>
      <w:pPr>
        <w:spacing w:after="120" w:line="276" w:lineRule="auto"/>
        <w:ind w:firstLine="720"/>
        <w:jc w:val="both"/>
      </w:pPr>
      <w:r>
        <w:rPr>
          <w:rFonts w:ascii="Times New Roman" w:hAnsi="Times New Roman"/>
          <w:b w:val="0"/>
          <w:i w:val="0"/>
          <w:color w:val="000000"/>
          <w:sz w:val="24"/>
        </w:rPr>
        <w:t>The domain of Agentic AI refers to intelligent software systems capable of perceiving their environment, reasoning about objectives, and taking autonomous actions to achieve specified goals. In professional services, these agents are increasingly deployed for tasks such as contract review, client communication routing, risk assessment, and operational monitoring.</w:t>
      </w:r>
    </w:p>
    <w:p>
      <w:pPr>
        <w:spacing w:after="120" w:line="276" w:lineRule="auto"/>
        <w:ind w:firstLine="720"/>
        <w:jc w:val="both"/>
      </w:pPr>
      <w:r>
        <w:rPr>
          <w:rFonts w:ascii="Times New Roman" w:hAnsi="Times New Roman"/>
          <w:b w:val="0"/>
          <w:i w:val="0"/>
          <w:color w:val="000000"/>
          <w:sz w:val="24"/>
        </w:rPr>
        <w:t>Current approaches to evaluating AI trustworthiness tend to focus on model-level metrics such as accuracy, precision, and recall. However, these metrics alone do not capture the broader organizational context: data provenance, source reliability, deployment frequency, and alignment with governance policies. There is no single, integrated data pipeline that combines these signals into a unified trust assessment framework.</w:t>
      </w:r>
    </w:p>
    <w:p>
      <w:pPr>
        <w:spacing w:after="120" w:line="276" w:lineRule="auto"/>
        <w:ind w:firstLine="720"/>
        <w:jc w:val="both"/>
      </w:pPr>
      <w:r>
        <w:rPr>
          <w:rFonts w:ascii="Times New Roman" w:hAnsi="Times New Roman"/>
          <w:b w:val="0"/>
          <w:i w:val="0"/>
          <w:color w:val="000000"/>
          <w:sz w:val="24"/>
        </w:rPr>
        <w:t>Furthermore, most enterprise data pipelines are built on expensive, resource-intensive platforms such as Azure Data Factory or AWS Glue. Small-to-medium organizations and academic researchers often lack access to these platforms, creating a barrier to developing and validating AI governance solutions. A lightweight, open-source alternative built on Apache Spark would democratize access to these capabilities.</w:t>
      </w:r>
    </w:p>
    <w:p>
      <w:pPr>
        <w:spacing w:after="120" w:before="240"/>
      </w:pPr>
      <w:r>
        <w:rPr>
          <w:rFonts w:ascii="Times New Roman" w:hAnsi="Times New Roman"/>
          <w:b/>
          <w:i w:val="0"/>
          <w:color w:val="000000"/>
          <w:sz w:val="26"/>
        </w:rPr>
        <w:t>1.3 Project Aim</w:t>
      </w:r>
    </w:p>
    <w:p>
      <w:pPr>
        <w:spacing w:after="120" w:line="276" w:lineRule="auto"/>
        <w:ind w:firstLine="720"/>
        <w:jc w:val="both"/>
      </w:pPr>
      <w:r>
        <w:rPr>
          <w:rFonts w:ascii="Times New Roman" w:hAnsi="Times New Roman"/>
          <w:b w:val="0"/>
          <w:i w:val="0"/>
          <w:color w:val="000000"/>
          <w:sz w:val="24"/>
        </w:rPr>
        <w:t>The aim of this project is to design, implement, and validate a scalable data engineering pipeline that ingests heterogeneous AI deployment data from multiple sources, transforms it through a layered architecture, and produces structured trust assessment indicators using machine learning models. The pipeline is built on Apache Spark and follows the Medallion (Bronze-Silver-Gold) architecture pattern, ensuring data quality, traceability, and analytical readiness at each stage.</w:t>
      </w:r>
    </w:p>
    <w:p>
      <w:pPr>
        <w:spacing w:after="120" w:before="240"/>
      </w:pPr>
      <w:r>
        <w:rPr>
          <w:rFonts w:ascii="Times New Roman" w:hAnsi="Times New Roman"/>
          <w:b/>
          <w:i w:val="0"/>
          <w:color w:val="000000"/>
          <w:sz w:val="26"/>
        </w:rPr>
        <w:t>1.4 Project Objectives</w:t>
      </w:r>
    </w:p>
    <w:p>
      <w:pPr>
        <w:spacing w:after="120"/>
        <w:ind w:firstLine="720"/>
        <w:jc w:val="both"/>
      </w:pPr>
      <w:r>
        <w:rPr>
          <w:rFonts w:ascii="Times New Roman" w:hAnsi="Times New Roman"/>
          <w:b w:val="0"/>
          <w:i w:val="0"/>
          <w:color w:val="000000"/>
          <w:sz w:val="24"/>
        </w:rPr>
        <w:t>(1) To design and implement a Medallion-architecture data pipeline capable of ingesting four heterogeneous data sources (CSV, JSON API, log files, and REST API metadata) using Apache Spark.</w:t>
      </w:r>
    </w:p>
    <w:p>
      <w:pPr>
        <w:spacing w:after="120"/>
        <w:ind w:firstLine="720"/>
        <w:jc w:val="both"/>
      </w:pPr>
      <w:r>
        <w:rPr>
          <w:rFonts w:ascii="Times New Roman" w:hAnsi="Times New Roman"/>
          <w:b w:val="0"/>
          <w:i w:val="0"/>
          <w:color w:val="000000"/>
          <w:sz w:val="24"/>
        </w:rPr>
        <w:t>(2) To apply rule-based NLP contextual mapping in the Silver layer to enrich semi-structured research metadata with governance-relevant classification tokens.</w:t>
      </w:r>
    </w:p>
    <w:p>
      <w:pPr>
        <w:spacing w:after="120"/>
        <w:ind w:firstLine="720"/>
        <w:jc w:val="both"/>
      </w:pPr>
      <w:r>
        <w:rPr>
          <w:rFonts w:ascii="Times New Roman" w:hAnsi="Times New Roman"/>
          <w:b w:val="0"/>
          <w:i w:val="0"/>
          <w:color w:val="000000"/>
          <w:sz w:val="24"/>
        </w:rPr>
        <w:t>(3) To build a Star Schema dimensional model in the Gold layer and execute K-Means clustering and Logistic Regression classification to generate trust scores and deployment type predictions.</w:t>
      </w:r>
    </w:p>
    <w:p>
      <w:pPr>
        <w:spacing w:after="120" w:before="240"/>
      </w:pPr>
      <w:r>
        <w:rPr>
          <w:rFonts w:ascii="Times New Roman" w:hAnsi="Times New Roman"/>
          <w:b/>
          <w:i w:val="0"/>
          <w:color w:val="000000"/>
          <w:sz w:val="26"/>
        </w:rPr>
        <w:t>1.5 Project Scope</w:t>
      </w:r>
    </w:p>
    <w:p>
      <w:pPr>
        <w:spacing w:after="120" w:line="276" w:lineRule="auto"/>
        <w:ind w:firstLine="720"/>
        <w:jc w:val="both"/>
      </w:pPr>
      <w:r>
        <w:rPr>
          <w:rFonts w:ascii="Times New Roman" w:hAnsi="Times New Roman"/>
          <w:b w:val="0"/>
          <w:i w:val="0"/>
          <w:color w:val="000000"/>
          <w:sz w:val="24"/>
        </w:rPr>
        <w:t>This project focuses on the data engineering pipeline for Agentic AI trust assessment. The scope includes: (1) ingestion and transformation of four data sources totaling approximately 7,000 records; (2) implementation of the Bronze-Silver-Gold layer architecture on Apache Spark; (3) NLP-based contextual mapping in the Silver layer; (4) K-Means clustering and Logistic Regression in the Gold layer; (5) Star Schema data modeling; and (6) automated testing with four validation suites.</w:t>
      </w:r>
    </w:p>
    <w:p>
      <w:pPr>
        <w:spacing w:after="120" w:line="276" w:lineRule="auto"/>
        <w:ind w:firstLine="720"/>
        <w:jc w:val="both"/>
      </w:pPr>
      <w:r>
        <w:rPr>
          <w:rFonts w:ascii="Times New Roman" w:hAnsi="Times New Roman"/>
          <w:b w:val="0"/>
          <w:i w:val="0"/>
          <w:color w:val="000000"/>
          <w:sz w:val="24"/>
        </w:rPr>
        <w:t>The project does not cover real-time streaming ingestion, deep learning models (e.g., transformers for NLP), production deployment of dashboards, or integration with enterprise BI platforms such as Power BI or Tableau. The NLP mapping is rule-based and does not employ pre-trained language models.</w:t>
      </w:r>
    </w:p>
    <w:p>
      <w:pPr>
        <w:spacing w:after="120" w:before="240"/>
      </w:pPr>
      <w:r>
        <w:rPr>
          <w:rFonts w:ascii="Times New Roman" w:hAnsi="Times New Roman"/>
          <w:b/>
          <w:i w:val="0"/>
          <w:color w:val="000000"/>
          <w:sz w:val="26"/>
        </w:rPr>
        <w:t>1.6 Project Importance</w:t>
      </w:r>
    </w:p>
    <w:p>
      <w:pPr>
        <w:spacing w:after="120" w:line="276" w:lineRule="auto"/>
        <w:ind w:firstLine="720"/>
        <w:jc w:val="both"/>
      </w:pPr>
      <w:r>
        <w:rPr>
          <w:rFonts w:ascii="Times New Roman" w:hAnsi="Times New Roman"/>
          <w:b w:val="0"/>
          <w:i w:val="0"/>
          <w:color w:val="000000"/>
          <w:sz w:val="24"/>
        </w:rPr>
        <w:t>This project contributes to the growing body of research on AI governance and trust by demonstrating that a lightweight, open-source data pipeline can effectively unify disparate governance signals. The pipeline’s design makes it accessible to small organizations, academic researchers, and independent practitioners who lack enterprise-grade infrastructure. By combining operational telemetry, benchmark data, and academic citation signals, the pipeline provides a more holistic view of AI deployment readiness than isolated metric evaluations.</w:t>
      </w:r>
    </w:p>
    <w:p>
      <w:pPr>
        <w:spacing w:after="120" w:line="276" w:lineRule="auto"/>
        <w:ind w:firstLine="720"/>
        <w:jc w:val="both"/>
      </w:pPr>
      <w:r>
        <w:rPr>
          <w:rFonts w:ascii="Times New Roman" w:hAnsi="Times New Roman"/>
          <w:b w:val="0"/>
          <w:i w:val="0"/>
          <w:color w:val="000000"/>
          <w:sz w:val="24"/>
        </w:rPr>
        <w:t>Additionally, the project validates the Medallion architecture pattern on a resource-constrained environment (1.9 GB RAM VPS), proving that scalable data engineering is achievable without significant infrastructure investment. This has implications for data engineering education, where students can replicate and extend the pipeline using affordable cloud or on-premise resources.</w:t>
      </w:r>
    </w:p>
    <w:p>
      <w:pPr>
        <w:spacing w:after="120" w:before="240"/>
      </w:pPr>
      <w:r>
        <w:rPr>
          <w:rFonts w:ascii="Times New Roman" w:hAnsi="Times New Roman"/>
          <w:b/>
          <w:i w:val="0"/>
          <w:color w:val="000000"/>
          <w:sz w:val="26"/>
        </w:rPr>
        <w:t>1.7 Report Organization</w:t>
      </w:r>
    </w:p>
    <w:p>
      <w:pPr>
        <w:spacing w:after="120" w:line="276" w:lineRule="auto"/>
        <w:ind w:firstLine="720"/>
        <w:jc w:val="both"/>
      </w:pPr>
      <w:r>
        <w:rPr>
          <w:rFonts w:ascii="Times New Roman" w:hAnsi="Times New Roman"/>
          <w:b w:val="0"/>
          <w:i w:val="0"/>
          <w:color w:val="000000"/>
          <w:sz w:val="24"/>
        </w:rPr>
        <w:t>This report is organized into five chapters. Chapter 1 introduces the project context, problem, aim, objectives, scope, and importance. Chapter 2 reviews related literature on data lakehouse architectures, Apache Spark, and AI trust frameworks. Chapter 3 describes the methodology, including the adapted CRISP-DM phases, pipeline design, and risk analysis. Chapter 4 covers system analysis and design, including the use case diagram, ERD, and Star Schema model. Chapter 5 details the implementation, coding, essential interfaces, and testing results. The report concludes with a list of references.</w:t>
      </w:r>
    </w:p>
    <w:p>
      <w:r>
        <w:br w:type="page"/>
      </w:r>
    </w:p>
    <w:p>
      <w:pPr>
        <w:spacing w:after="240" w:before="480"/>
        <w:jc w:val="center"/>
      </w:pPr>
      <w:r>
        <w:rPr>
          <w:rFonts w:ascii="Times New Roman" w:hAnsi="Times New Roman"/>
          <w:b/>
          <w:i w:val="0"/>
          <w:color w:val="000000"/>
          <w:sz w:val="32"/>
        </w:rPr>
        <w:t>CHAPTER 2</w:t>
      </w:r>
    </w:p>
    <w:p>
      <w:pPr>
        <w:spacing w:after="120" w:before="240"/>
      </w:pPr>
      <w:r>
        <w:rPr>
          <w:rFonts w:ascii="Times New Roman" w:hAnsi="Times New Roman"/>
          <w:b/>
          <w:i w:val="0"/>
          <w:color w:val="000000"/>
          <w:sz w:val="26"/>
        </w:rPr>
        <w:t>2.1 Introduction</w:t>
      </w:r>
    </w:p>
    <w:p>
      <w:pPr>
        <w:spacing w:after="120" w:line="276" w:lineRule="auto"/>
        <w:ind w:firstLine="720"/>
        <w:jc w:val="both"/>
      </w:pPr>
      <w:r>
        <w:rPr>
          <w:rFonts w:ascii="Times New Roman" w:hAnsi="Times New Roman"/>
          <w:b w:val="0"/>
          <w:i w:val="0"/>
          <w:color w:val="000000"/>
          <w:sz w:val="24"/>
        </w:rPr>
        <w:t>This chapter reviews the theoretical foundations and prior research that inform the design and implementation of the data engineering pipeline. The literature is organized around three key areas: data warehouse and lakehouse architectures, distributed processing frameworks, and AI trust assessment methodologies. By examining these areas, this chapter establishes the rationale for the architectural and technological choices made in this project.</w:t>
      </w:r>
    </w:p>
    <w:p>
      <w:pPr>
        <w:spacing w:after="120" w:before="240"/>
      </w:pPr>
      <w:r>
        <w:rPr>
          <w:rFonts w:ascii="Times New Roman" w:hAnsi="Times New Roman"/>
          <w:b/>
          <w:i w:val="0"/>
          <w:color w:val="000000"/>
          <w:sz w:val="26"/>
        </w:rPr>
        <w:t>2.2 Related Previous Study</w:t>
      </w:r>
    </w:p>
    <w:p>
      <w:pPr>
        <w:spacing w:after="120" w:line="276" w:lineRule="auto"/>
        <w:ind w:firstLine="720"/>
        <w:jc w:val="both"/>
      </w:pPr>
      <w:r>
        <w:rPr>
          <w:rFonts w:ascii="Times New Roman" w:hAnsi="Times New Roman"/>
          <w:b w:val="0"/>
          <w:i w:val="0"/>
          <w:color w:val="000000"/>
          <w:sz w:val="24"/>
        </w:rPr>
        <w:t>Armbrust et al. (2021) introduced the concept of the Lakehouse architecture, which combines the low-cost storage and open format flexibility of data lakes with the ACID transaction support and schema enforcement of data warehouses. Their analysis demonstrated that Lakehouse systems built on Apache Spark and Delta Lake can reduce data duplication, lower infrastructure costs, and support both business intelligence and machine learning workloads within a single platform.</w:t>
      </w:r>
    </w:p>
    <w:p>
      <w:pPr>
        <w:spacing w:after="120" w:line="276" w:lineRule="auto"/>
        <w:ind w:firstLine="720"/>
        <w:jc w:val="both"/>
      </w:pPr>
      <w:r>
        <w:rPr>
          <w:rFonts w:ascii="Times New Roman" w:hAnsi="Times New Roman"/>
          <w:b w:val="0"/>
          <w:i w:val="0"/>
          <w:color w:val="000000"/>
          <w:sz w:val="24"/>
        </w:rPr>
        <w:t>Zaharia et al. (2016) established the foundations of Apache Spark as a unified engine for large-scale data processing. Spark’s in-memory computation model enables iterative algorithms—such as K-Means clustering and logistic regression—to execute significantly faster than disk-based alternatives like MapReduce. This capability is critical for pipelines that must process thousands of records within seconds on constrained hardware.</w:t>
      </w:r>
    </w:p>
    <w:p>
      <w:pPr>
        <w:spacing w:after="120" w:line="276" w:lineRule="auto"/>
        <w:ind w:firstLine="720"/>
        <w:jc w:val="both"/>
      </w:pPr>
      <w:r>
        <w:rPr>
          <w:rFonts w:ascii="Times New Roman" w:hAnsi="Times New Roman"/>
          <w:b w:val="0"/>
          <w:i w:val="0"/>
          <w:color w:val="000000"/>
          <w:sz w:val="24"/>
        </w:rPr>
        <w:t>Priem et al. (2022) developed OpenAlex as a fully open index of scholarly works, authors, venues, institutions, and concepts. OpenAlex provides a free API that returns structured JSON metadata for academic publications, making it suitable as an external baseline for evaluating the research context and citation landscape of AI deployment domains. Its use in this project provides an independent signal for trust validation.</w:t>
      </w:r>
    </w:p>
    <w:p>
      <w:pPr>
        <w:spacing w:after="120" w:line="276" w:lineRule="auto"/>
        <w:ind w:firstLine="720"/>
        <w:jc w:val="both"/>
      </w:pPr>
      <w:r>
        <w:rPr>
          <w:rFonts w:ascii="Times New Roman" w:hAnsi="Times New Roman"/>
          <w:b w:val="0"/>
          <w:i w:val="0"/>
          <w:color w:val="000000"/>
          <w:sz w:val="24"/>
        </w:rPr>
        <w:t>Sculley et al. (2015) highlighted the hidden technical debt in machine learning systems, emphasizing that data management, feature engineering, and monitoring are often the most challenging aspects of ML deployment. Their work underscores the importance of building robust data pipelines before deploying models, which directly supports the Medallion architecture approach adopted in this project.</w:t>
      </w:r>
    </w:p>
    <w:p>
      <w:pPr>
        <w:spacing w:after="120" w:line="276" w:lineRule="auto"/>
        <w:ind w:firstLine="720"/>
        <w:jc w:val="both"/>
      </w:pPr>
      <w:r>
        <w:rPr>
          <w:rFonts w:ascii="Times New Roman" w:hAnsi="Times New Roman"/>
          <w:b w:val="0"/>
          <w:i w:val="0"/>
          <w:color w:val="000000"/>
          <w:sz w:val="24"/>
        </w:rPr>
        <w:t>Bolon-Canedo et al. (2013) conducted a comprehensive review of feature selection methods on synthetic data, providing a framework for evaluating which features contribute most to model performance. While this project uses a limited feature set, their taxonomy informed the decision to scale numeric features before clustering and classification.</w:t>
      </w:r>
    </w:p>
    <w:p>
      <w:pPr>
        <w:spacing w:after="120" w:before="240"/>
      </w:pPr>
      <w:r>
        <w:rPr>
          <w:rFonts w:ascii="Times New Roman" w:hAnsi="Times New Roman"/>
          <w:b/>
          <w:i w:val="0"/>
          <w:color w:val="000000"/>
          <w:sz w:val="26"/>
        </w:rPr>
        <w:t>2.3 Related Theory Used</w:t>
      </w:r>
    </w:p>
    <w:p>
      <w:pPr>
        <w:spacing w:after="120" w:before="120"/>
      </w:pPr>
      <w:r>
        <w:rPr>
          <w:rFonts w:ascii="Times New Roman" w:hAnsi="Times New Roman"/>
          <w:b/>
          <w:i w:val="0"/>
          <w:color w:val="000000"/>
          <w:sz w:val="24"/>
        </w:rPr>
        <w:t>2.3.1 Data Lakehouse Architecture</w:t>
      </w:r>
    </w:p>
    <w:p>
      <w:pPr>
        <w:spacing w:after="120" w:line="276" w:lineRule="auto"/>
        <w:ind w:firstLine="720"/>
        <w:jc w:val="both"/>
      </w:pPr>
      <w:r>
        <w:rPr>
          <w:rFonts w:ascii="Times New Roman" w:hAnsi="Times New Roman"/>
          <w:b w:val="0"/>
          <w:i w:val="0"/>
          <w:color w:val="000000"/>
          <w:sz w:val="24"/>
        </w:rPr>
        <w:t>The Data Lakehouse architecture represents a convergence of data lake and data warehouse paradigms. Data lakes offer inexpensive storage for raw, unstructured data in open formats (e.g., Parquet, JSON, CSV) but lack ACID transactions, schema enforcement, and consistent query performance. Data warehouses provide strong consistency and optimized analytical queries but are expensive to scale and poorly suited to semi-structured or streaming data.</w:t>
      </w:r>
    </w:p>
    <w:p>
      <w:pPr>
        <w:spacing w:after="120" w:line="276" w:lineRule="auto"/>
        <w:ind w:firstLine="720"/>
        <w:jc w:val="both"/>
      </w:pPr>
      <w:r>
        <w:rPr>
          <w:rFonts w:ascii="Times New Roman" w:hAnsi="Times New Roman"/>
          <w:b w:val="0"/>
          <w:i w:val="0"/>
          <w:color w:val="000000"/>
          <w:sz w:val="24"/>
        </w:rPr>
        <w:t>The Lakehouse resolves this trade-off by layering transactional capabilities on top of lake storage. Apache Spark, combined with Delta Lake or similar table formats, enables schema evolution, time travel, and upsert operations on Parquet files stored in commodity object stores. This architecture supports both ETL batch processing and interactive querying, making it suitable for the multi-stage pipeline in this project.</w:t>
      </w:r>
    </w:p>
    <w:p>
      <w:pPr>
        <w:spacing w:after="120" w:before="120"/>
      </w:pPr>
      <w:r>
        <w:rPr>
          <w:rFonts w:ascii="Times New Roman" w:hAnsi="Times New Roman"/>
          <w:b/>
          <w:i w:val="0"/>
          <w:color w:val="000000"/>
          <w:sz w:val="24"/>
        </w:rPr>
        <w:t>2.3.2 Medallion (Bronze-Silver-Gold) Architecture</w:t>
      </w:r>
    </w:p>
    <w:p>
      <w:pPr>
        <w:spacing w:after="120" w:line="276" w:lineRule="auto"/>
        <w:ind w:firstLine="720"/>
        <w:jc w:val="both"/>
      </w:pPr>
      <w:r>
        <w:rPr>
          <w:rFonts w:ascii="Times New Roman" w:hAnsi="Times New Roman"/>
          <w:b w:val="0"/>
          <w:i w:val="0"/>
          <w:color w:val="000000"/>
          <w:sz w:val="24"/>
        </w:rPr>
        <w:t>The Medallion architecture organizes data processing into three layers: Bronze (raw ingestion), Silver (cleansed and enriched), and Gold (business-level aggregates and analytical models). The Bronze layer preserves source data in its original format with minimal transformation, ensuring traceability and auditability. The Silver layer applies deduplication, null handling, schema validation, and enrichment through rule-based transformations. The Gold layer produces final analytical outputs such as star schemas, machine learning predictions, and aggregated metrics.</w:t>
      </w:r>
    </w:p>
    <w:p>
      <w:pPr>
        <w:spacing w:after="120" w:line="276" w:lineRule="auto"/>
        <w:ind w:firstLine="720"/>
        <w:jc w:val="both"/>
      </w:pPr>
      <w:r>
        <w:rPr>
          <w:rFonts w:ascii="Times New Roman" w:hAnsi="Times New Roman"/>
          <w:b w:val="0"/>
          <w:i w:val="0"/>
          <w:color w:val="000000"/>
          <w:sz w:val="24"/>
        </w:rPr>
        <w:t>This layered approach provides several benefits: each layer serves as a checkpoint for data quality, intermediate results can be reused across multiple downstream consumers, and the architecture naturally supports incremental processing. In this project, the Bronze layer ingests four sources, the Silver layer applies NLP contextual mapping, and the Gold layer executes clustering and classification.</w:t>
      </w:r>
    </w:p>
    <w:p>
      <w:pPr>
        <w:spacing w:after="120" w:before="120"/>
      </w:pPr>
      <w:r>
        <w:rPr>
          <w:rFonts w:ascii="Times New Roman" w:hAnsi="Times New Roman"/>
          <w:b/>
          <w:i w:val="0"/>
          <w:color w:val="000000"/>
          <w:sz w:val="24"/>
        </w:rPr>
        <w:t>2.3.3 Star Schema Data Modeling</w:t>
      </w:r>
    </w:p>
    <w:p>
      <w:pPr>
        <w:spacing w:after="120" w:line="276" w:lineRule="auto"/>
        <w:ind w:firstLine="720"/>
        <w:jc w:val="both"/>
      </w:pPr>
      <w:r>
        <w:rPr>
          <w:rFonts w:ascii="Times New Roman" w:hAnsi="Times New Roman"/>
          <w:b w:val="0"/>
          <w:i w:val="0"/>
          <w:color w:val="000000"/>
          <w:sz w:val="24"/>
        </w:rPr>
        <w:t>The Star Schema is a dimensional modeling pattern consisting of a central fact table surrounded by denormalized dimension tables. The fact table stores quantitative measures (e.g., trust scores, record counts, timestamps) and foreign keys referencing the dimension tables. Dimension tables contain descriptive attributes (e.g., organization names, agent types, research contexts) that provide business context for slicing and dicing the data.</w:t>
      </w:r>
    </w:p>
    <w:p>
      <w:pPr>
        <w:spacing w:after="120" w:line="276" w:lineRule="auto"/>
        <w:ind w:firstLine="720"/>
        <w:jc w:val="both"/>
      </w:pPr>
      <w:r>
        <w:rPr>
          <w:rFonts w:ascii="Times New Roman" w:hAnsi="Times New Roman"/>
          <w:b w:val="0"/>
          <w:i w:val="0"/>
          <w:color w:val="000000"/>
          <w:sz w:val="24"/>
        </w:rPr>
        <w:t>This project implements a Star Schema with one fact table (Fact_AI_Deployment) and three dimension tables (Dim_Organization, Dim_Agent, Dim_Research_Context). The fact table stores deployment-level metrics including trust scores, productivity improvement values, and research context IDs. The dimension tables provide lookup capabilities for filtering by organization, agent type, and research domain.</w:t>
      </w:r>
    </w:p>
    <w:p>
      <w:pPr>
        <w:spacing w:after="120" w:before="120"/>
      </w:pPr>
      <w:r>
        <w:rPr>
          <w:rFonts w:ascii="Times New Roman" w:hAnsi="Times New Roman"/>
          <w:b/>
          <w:i w:val="0"/>
          <w:color w:val="000000"/>
          <w:sz w:val="24"/>
        </w:rPr>
        <w:t>2.3.4 K-Means Clustering and Logistic Regression</w:t>
      </w:r>
    </w:p>
    <w:p>
      <w:pPr>
        <w:spacing w:after="120" w:line="276" w:lineRule="auto"/>
        <w:ind w:firstLine="720"/>
        <w:jc w:val="both"/>
      </w:pPr>
      <w:r>
        <w:rPr>
          <w:rFonts w:ascii="Times New Roman" w:hAnsi="Times New Roman"/>
          <w:b w:val="0"/>
          <w:i w:val="0"/>
          <w:color w:val="000000"/>
          <w:sz w:val="24"/>
        </w:rPr>
        <w:t>K-Means is an unsupervised learning algorithm that partitions data into k clusters by minimizing the within-cluster sum of squared distances. It is commonly used for exploratory data analysis, customer segmentation, and pattern discovery in unlabeled datasets. In this project, K-Means (k=4) clusters deployment records based on scaled numeric features such as Leadership_Trust_Score and Productivity_Improvement.</w:t>
      </w:r>
    </w:p>
    <w:p>
      <w:pPr>
        <w:spacing w:after="120" w:line="276" w:lineRule="auto"/>
        <w:ind w:firstLine="720"/>
        <w:jc w:val="both"/>
      </w:pPr>
      <w:r>
        <w:rPr>
          <w:rFonts w:ascii="Times New Roman" w:hAnsi="Times New Roman"/>
          <w:b w:val="0"/>
          <w:i w:val="0"/>
          <w:color w:val="000000"/>
          <w:sz w:val="24"/>
        </w:rPr>
        <w:t>Logistic Regression is a supervised classification algorithm that models the probability of a binary outcome using the logistic function. It is widely used for binary and multiclass classification tasks where interpretability and computational efficiency are important. In this project, Logistic Regression classifies deployment records into two categories, with an 80/20 train-test split and a maximum iteration limit of 1,000.</w:t>
      </w:r>
    </w:p>
    <w:p>
      <w:pPr>
        <w:spacing w:after="120" w:before="240"/>
      </w:pPr>
      <w:r>
        <w:rPr>
          <w:rFonts w:ascii="Times New Roman" w:hAnsi="Times New Roman"/>
          <w:b/>
          <w:i w:val="0"/>
          <w:color w:val="000000"/>
          <w:sz w:val="26"/>
        </w:rPr>
        <w:t>2.4 Related Technology Used</w:t>
      </w:r>
    </w:p>
    <w:p>
      <w:pPr>
        <w:spacing w:after="120" w:before="120"/>
      </w:pPr>
      <w:r>
        <w:rPr>
          <w:rFonts w:ascii="Times New Roman" w:hAnsi="Times New Roman"/>
          <w:b/>
          <w:i w:val="0"/>
          <w:color w:val="000000"/>
          <w:sz w:val="24"/>
        </w:rPr>
        <w:t>2.4.1 Apache Spark and PySpark</w:t>
      </w:r>
    </w:p>
    <w:p>
      <w:pPr>
        <w:spacing w:after="120" w:line="276" w:lineRule="auto"/>
        <w:ind w:firstLine="720"/>
        <w:jc w:val="both"/>
      </w:pPr>
      <w:r>
        <w:rPr>
          <w:rFonts w:ascii="Times New Roman" w:hAnsi="Times New Roman"/>
          <w:b w:val="0"/>
          <w:i w:val="0"/>
          <w:color w:val="000000"/>
          <w:sz w:val="24"/>
        </w:rPr>
        <w:t>Apache Spark is a distributed computing framework optimized for large-scale data processing. Its core abstraction, the Resilient Distributed Dataset (RDD), enables parallel computation across clusters with automatic fault tolerance. PySpark provides a Python API for Spark, allowing data engineers to write ETL pipelines using familiar Python syntax while leveraging Spark’s JVM-based execution engine.</w:t>
      </w:r>
    </w:p>
    <w:p>
      <w:pPr>
        <w:spacing w:after="120" w:line="276" w:lineRule="auto"/>
        <w:ind w:firstLine="720"/>
        <w:jc w:val="both"/>
      </w:pPr>
      <w:r>
        <w:rPr>
          <w:rFonts w:ascii="Times New Roman" w:hAnsi="Times New Roman"/>
          <w:b w:val="0"/>
          <w:i w:val="0"/>
          <w:color w:val="000000"/>
          <w:sz w:val="24"/>
        </w:rPr>
        <w:t>Spark’s DataFrame API, built on the Catalyst optimizer, provides SQL-like operations (select, filter, join, groupBy) with automatic query optimization. For machine learning, Spark MLlib provides scalable implementations of K-Means, Logistic Regression, and preprocessing utilities such as StandardScaler and VectorAssembler. These capabilities make Spark well-suited for the multi-stage pipeline in this project.</w:t>
      </w:r>
    </w:p>
    <w:p>
      <w:pPr>
        <w:spacing w:after="120" w:before="120"/>
      </w:pPr>
      <w:r>
        <w:rPr>
          <w:rFonts w:ascii="Times New Roman" w:hAnsi="Times New Roman"/>
          <w:b/>
          <w:i w:val="0"/>
          <w:color w:val="000000"/>
          <w:sz w:val="24"/>
        </w:rPr>
        <w:t>2.4.2 Apache Parquet</w:t>
      </w:r>
    </w:p>
    <w:p>
      <w:pPr>
        <w:spacing w:after="120" w:line="276" w:lineRule="auto"/>
        <w:ind w:firstLine="720"/>
        <w:jc w:val="both"/>
      </w:pPr>
      <w:r>
        <w:rPr>
          <w:rFonts w:ascii="Times New Roman" w:hAnsi="Times New Roman"/>
          <w:b w:val="0"/>
          <w:i w:val="0"/>
          <w:color w:val="000000"/>
          <w:sz w:val="24"/>
        </w:rPr>
        <w:t>Apache Parquet is a columnar storage format optimized for analytical workloads. Its columnar layout enables efficient compression and encoding, reducing storage costs and improving query performance for read-heavy workloads. Parquet files support schema evolution and are compatible with a wide range of processing engines (Spark, Pandas, Presto, Hive). All layers in this project write output as Parquet files.</w:t>
      </w:r>
    </w:p>
    <w:p>
      <w:pPr>
        <w:spacing w:after="120" w:before="120"/>
      </w:pPr>
      <w:r>
        <w:rPr>
          <w:rFonts w:ascii="Times New Roman" w:hAnsi="Times New Roman"/>
          <w:b/>
          <w:i w:val="0"/>
          <w:color w:val="000000"/>
          <w:sz w:val="24"/>
        </w:rPr>
        <w:t>2.4.3 OpenAlex API</w:t>
      </w:r>
    </w:p>
    <w:p>
      <w:pPr>
        <w:spacing w:after="120" w:line="276" w:lineRule="auto"/>
        <w:ind w:firstLine="720"/>
        <w:jc w:val="both"/>
      </w:pPr>
      <w:r>
        <w:rPr>
          <w:rFonts w:ascii="Times New Roman" w:hAnsi="Times New Roman"/>
          <w:b w:val="0"/>
          <w:i w:val="0"/>
          <w:color w:val="000000"/>
          <w:sz w:val="24"/>
        </w:rPr>
        <w:t>OpenAlex is an open scholarly metadata index covering works, authors, institutions, concepts, and venues. Its REST API returns structured JSON responses that can be ingested directly into a data pipeline. In this project, the OpenAlex API is queried to retrieve citation metadata for AI-related publications, providing an external baseline for research context enrichment in the Silver layer.</w:t>
      </w:r>
    </w:p>
    <w:p>
      <w:pPr>
        <w:spacing w:after="120" w:before="120"/>
      </w:pPr>
      <w:r>
        <w:rPr>
          <w:rFonts w:ascii="Times New Roman" w:hAnsi="Times New Roman"/>
          <w:b/>
          <w:i w:val="0"/>
          <w:color w:val="000000"/>
          <w:sz w:val="24"/>
        </w:rPr>
        <w:t>2.4.4 Python and Supporting Libraries</w:t>
      </w:r>
    </w:p>
    <w:p>
      <w:pPr>
        <w:spacing w:after="120" w:line="276" w:lineRule="auto"/>
        <w:ind w:firstLine="720"/>
        <w:jc w:val="both"/>
      </w:pPr>
      <w:r>
        <w:rPr>
          <w:rFonts w:ascii="Times New Roman" w:hAnsi="Times New Roman"/>
          <w:b w:val="0"/>
          <w:i w:val="0"/>
          <w:color w:val="000000"/>
          <w:sz w:val="24"/>
        </w:rPr>
        <w:t>The pipeline is implemented in Python 3.12 with supporting libraries including PyArrow (Parquet I/O), Pandas (in-memory preprocessing for testing), Matplotlib and Seaborn (visualization), and scikit-learn (evaluation metrics). The test suite uses Python’s built-in unittest framework with custom assertion functions for schema validation, null checks, and row count verification.</w:t>
      </w:r>
    </w:p>
    <w:p>
      <w:pPr>
        <w:spacing w:after="120" w:before="240"/>
      </w:pPr>
      <w:r>
        <w:rPr>
          <w:rFonts w:ascii="Times New Roman" w:hAnsi="Times New Roman"/>
          <w:b/>
          <w:i w:val="0"/>
          <w:color w:val="000000"/>
          <w:sz w:val="26"/>
        </w:rPr>
        <w:t>2.5 Summary</w:t>
      </w:r>
    </w:p>
    <w:p>
      <w:pPr>
        <w:spacing w:after="120" w:line="276" w:lineRule="auto"/>
        <w:ind w:firstLine="720"/>
        <w:jc w:val="both"/>
      </w:pPr>
      <w:r>
        <w:rPr>
          <w:rFonts w:ascii="Times New Roman" w:hAnsi="Times New Roman"/>
          <w:b w:val="0"/>
          <w:i w:val="0"/>
          <w:color w:val="000000"/>
          <w:sz w:val="24"/>
        </w:rPr>
        <w:t>This chapter reviewed the theoretical foundations and prior research supporting the pipeline design. The Lakehouse architecture provides the storage paradigm, the Medallion pattern defines the processing stages, and the Star Schema structures the analytical output. Apache Spark serves as the processing engine, while OpenAlex provides external research metadata. The combination of K-Means clustering and Logistic Regression enables both exploratory and predictive analysis of AI deployment trust. The next chapter describes the methodology used to translate these theoretical foundations into a working implementation.</w:t>
      </w:r>
    </w:p>
    <w:p>
      <w:r>
        <w:br w:type="page"/>
      </w:r>
    </w:p>
    <w:p>
      <w:pPr>
        <w:spacing w:after="240" w:before="480"/>
        <w:jc w:val="center"/>
      </w:pPr>
      <w:r>
        <w:rPr>
          <w:rFonts w:ascii="Times New Roman" w:hAnsi="Times New Roman"/>
          <w:b/>
          <w:i w:val="0"/>
          <w:color w:val="000000"/>
          <w:sz w:val="32"/>
        </w:rPr>
        <w:t>CHAPTER 3</w:t>
      </w:r>
    </w:p>
    <w:p>
      <w:pPr>
        <w:spacing w:after="120" w:before="240"/>
      </w:pPr>
      <w:r>
        <w:rPr>
          <w:rFonts w:ascii="Times New Roman" w:hAnsi="Times New Roman"/>
          <w:b/>
          <w:i w:val="0"/>
          <w:color w:val="000000"/>
          <w:sz w:val="26"/>
        </w:rPr>
        <w:t>3.1 Introduction</w:t>
      </w:r>
    </w:p>
    <w:p>
      <w:pPr>
        <w:spacing w:after="120" w:line="276" w:lineRule="auto"/>
        <w:ind w:firstLine="720"/>
        <w:jc w:val="both"/>
      </w:pPr>
      <w:r>
        <w:rPr>
          <w:rFonts w:ascii="Times New Roman" w:hAnsi="Times New Roman"/>
          <w:b w:val="0"/>
          <w:i w:val="0"/>
          <w:color w:val="000000"/>
          <w:sz w:val="24"/>
        </w:rPr>
        <w:t>This chapter describes the methodology adopted for designing and implementing the data engineering pipeline. The project follows an adapted version of the Cross-Industry Standard Process for Data Mining (CRISP-DM) methodology, modified to emphasize data engineering concerns such as ingestion reliability, layer-specific data quality, and automated testing. The chapter covers the methodology overview, detailed phase descriptions, project scheduling, and risk analysis.</w:t>
      </w:r>
    </w:p>
    <w:p>
      <w:pPr>
        <w:spacing w:after="120" w:before="240"/>
      </w:pPr>
      <w:r>
        <w:rPr>
          <w:rFonts w:ascii="Times New Roman" w:hAnsi="Times New Roman"/>
          <w:b/>
          <w:i w:val="0"/>
          <w:color w:val="000000"/>
          <w:sz w:val="26"/>
        </w:rPr>
        <w:t>3.2 Methodology Overview</w:t>
      </w:r>
    </w:p>
    <w:p>
      <w:pPr>
        <w:spacing w:after="120" w:line="276" w:lineRule="auto"/>
        <w:ind w:firstLine="720"/>
        <w:jc w:val="both"/>
      </w:pPr>
      <w:r>
        <w:rPr>
          <w:rFonts w:ascii="Times New Roman" w:hAnsi="Times New Roman"/>
          <w:b w:val="0"/>
          <w:i w:val="0"/>
          <w:color w:val="000000"/>
          <w:sz w:val="24"/>
        </w:rPr>
        <w:t>CRISP-DM is a widely adopted process framework for data mining and analytics projects. It organizes project activities into six phases: Business Understanding, Data Understanding, Data Preparation, Modeling, Evaluation, and Deployment. For this project, the methodology is adapted to align with the Medallion architecture: Business Understanding maps to pipeline requirements gathering, Data Understanding maps to source profiling, Data Preparation maps to Bronze-Silver transformations, Modeling maps to Gold layer ML execution, and Evaluation maps to automated testing and validation. Deployment is deferred as the project focuses on pipeline design and validation rather than production rollout.</w:t>
      </w:r>
    </w:p>
    <w:p>
      <w:pPr>
        <w:spacing w:after="120" w:line="276" w:lineRule="auto"/>
        <w:ind w:firstLine="720"/>
        <w:jc w:val="both"/>
      </w:pPr>
      <w:r>
        <w:rPr>
          <w:rFonts w:ascii="Times New Roman" w:hAnsi="Times New Roman"/>
          <w:b w:val="0"/>
          <w:i w:val="0"/>
          <w:color w:val="000000"/>
          <w:sz w:val="24"/>
        </w:rPr>
        <w:t>The adapted methodology ensures that each phase produces artifacts that are traceable to the Medallion layers. For example, the Data Understanding phase produces source profiling reports that inform Bronze layer schema definitions, while the Modeling phase produces model configurations that are executed in the Gold layer. This alignment between methodology and architecture provides a clear audit trail from business requirements to technical implementation.</w:t>
      </w:r>
    </w:p>
    <w:p>
      <w:pPr>
        <w:spacing w:after="120" w:before="240"/>
      </w:pPr>
      <w:r>
        <w:rPr>
          <w:rFonts w:ascii="Times New Roman" w:hAnsi="Times New Roman"/>
          <w:b/>
          <w:i w:val="0"/>
          <w:color w:val="000000"/>
          <w:sz w:val="26"/>
        </w:rPr>
        <w:t>3.3 Phases of Methodology</w:t>
      </w:r>
    </w:p>
    <w:p>
      <w:pPr>
        <w:spacing w:after="120" w:before="120"/>
      </w:pPr>
      <w:r>
        <w:rPr>
          <w:rFonts w:ascii="Times New Roman" w:hAnsi="Times New Roman"/>
          <w:b/>
          <w:i w:val="0"/>
          <w:color w:val="000000"/>
          <w:sz w:val="24"/>
        </w:rPr>
        <w:t>3.3.1 Phase 1: Business Understanding</w:t>
      </w:r>
    </w:p>
    <w:p>
      <w:pPr>
        <w:spacing w:after="120" w:line="276" w:lineRule="auto"/>
        <w:ind w:firstLine="720"/>
        <w:jc w:val="both"/>
      </w:pPr>
      <w:r>
        <w:rPr>
          <w:rFonts w:ascii="Times New Roman" w:hAnsi="Times New Roman"/>
          <w:b w:val="0"/>
          <w:i w:val="0"/>
          <w:color w:val="000000"/>
          <w:sz w:val="24"/>
        </w:rPr>
        <w:t>The business understanding phase established the project context and objectives. The primary goal was to build a data engineering pipeline capable of ingesting four heterogeneous AI deployment data sources, transforming them through a layered architecture, and producing structured trust assessment indicators. The stakeholders include organizational leadership seeking data-driven insights for AI deployment decisions, and data engineers requiring a scalable, maintainable pipeline architecture.</w:t>
      </w:r>
    </w:p>
    <w:p>
      <w:pPr>
        <w:spacing w:after="120" w:line="276" w:lineRule="auto"/>
        <w:ind w:firstLine="720"/>
        <w:jc w:val="both"/>
      </w:pPr>
      <w:r>
        <w:rPr>
          <w:rFonts w:ascii="Times New Roman" w:hAnsi="Times New Roman"/>
          <w:b w:val="0"/>
          <w:i w:val="0"/>
          <w:color w:val="000000"/>
          <w:sz w:val="24"/>
        </w:rPr>
        <w:t>Key requirements gathered during this phase include: (1) support for multiple data formats (CSV, JSON, Parquet); (2) layer-specific data quality guarantees (Bronze: raw preservation, Silver: cleansed and enriched, Gold: aggregated and modeled); (3) automated testing covering schema conformance, null assertions, row counts, and model artifact exports; and (4) execution on a lightweight VPS environment with 1.9 GB RAM.</w:t>
      </w:r>
    </w:p>
    <w:p>
      <w:pPr>
        <w:spacing w:after="120" w:before="120"/>
      </w:pPr>
      <w:r>
        <w:rPr>
          <w:rFonts w:ascii="Times New Roman" w:hAnsi="Times New Roman"/>
          <w:b/>
          <w:i w:val="0"/>
          <w:color w:val="000000"/>
          <w:sz w:val="24"/>
        </w:rPr>
        <w:t>3.3.2 Phase 2: Data Understanding</w:t>
      </w:r>
    </w:p>
    <w:p>
      <w:pPr>
        <w:spacing w:after="120" w:line="276" w:lineRule="auto"/>
        <w:ind w:firstLine="720"/>
        <w:jc w:val="both"/>
      </w:pPr>
      <w:r>
        <w:rPr>
          <w:rFonts w:ascii="Times New Roman" w:hAnsi="Times New Roman"/>
          <w:b w:val="0"/>
          <w:i w:val="0"/>
          <w:color w:val="000000"/>
          <w:sz w:val="24"/>
        </w:rPr>
        <w:t>The data understanding phase profiled each of the four data sources to inform downstream transformations. Source 1 (Kaggle CSV) contains 2,500 structured records with organizational deployment metadata including agent type, deployment frequency, and trust scores. Source 2 (SeedBench JSON API) provides 1,500 benchmark records with model performance scores across evaluation categories. Source 3 (Agent Log CSV) captures 2,000 execution log entries with timestamps, action types, and success/failure indicators. Source 4 (OpenAlex JSON API) retrieves 1,000 academic publication records with citation metadata and research context classifications.</w:t>
      </w:r>
    </w:p>
    <w:p>
      <w:pPr>
        <w:spacing w:after="120" w:line="276" w:lineRule="auto"/>
        <w:ind w:firstLine="720"/>
        <w:jc w:val="both"/>
      </w:pPr>
      <w:r>
        <w:rPr>
          <w:rFonts w:ascii="Times New Roman" w:hAnsi="Times New Roman"/>
          <w:b w:val="0"/>
          <w:i w:val="0"/>
          <w:color w:val="000000"/>
          <w:sz w:val="24"/>
        </w:rPr>
        <w:t>Profiling revealed that Source 1 and Source 3 contain null values in optional fields, Source 2 requires JSON flattening for nested attributes, and Source 4 requires NLP contextual mapping to classify research tokens into governance-relevant categories. These findings directly informed the Silver layer transformation logic.</w:t>
      </w:r>
    </w:p>
    <w:p>
      <w:pPr>
        <w:spacing w:after="120" w:before="120"/>
      </w:pPr>
      <w:r>
        <w:rPr>
          <w:rFonts w:ascii="Times New Roman" w:hAnsi="Times New Roman"/>
          <w:b/>
          <w:i w:val="0"/>
          <w:color w:val="000000"/>
          <w:sz w:val="24"/>
        </w:rPr>
        <w:t>3.3.3 Phase 3: Data Preparation (Bronze-Silver-Gold)</w:t>
      </w:r>
    </w:p>
    <w:p>
      <w:pPr>
        <w:spacing w:after="120" w:line="276" w:lineRule="auto"/>
        <w:ind w:firstLine="720"/>
        <w:jc w:val="both"/>
      </w:pPr>
      <w:r>
        <w:rPr>
          <w:rFonts w:ascii="Times New Roman" w:hAnsi="Times New Roman"/>
          <w:b w:val="0"/>
          <w:i w:val="0"/>
          <w:color w:val="000000"/>
          <w:sz w:val="24"/>
        </w:rPr>
        <w:t>The data preparation phase is organized into the three Medallion layers:</w:t>
      </w:r>
    </w:p>
    <w:p>
      <w:pPr>
        <w:spacing w:after="120" w:line="276" w:lineRule="auto"/>
        <w:ind w:firstLine="720"/>
        <w:jc w:val="both"/>
      </w:pPr>
      <w:r>
        <w:rPr>
          <w:rFonts w:ascii="Times New Roman" w:hAnsi="Times New Roman"/>
          <w:b w:val="0"/>
          <w:i w:val="0"/>
          <w:color w:val="000000"/>
          <w:sz w:val="24"/>
        </w:rPr>
        <w:t>Bronze Layer: Raw ingestion with schema enforcement. CSV files are read with inferred or explicitly defined schemas. JSON API responses are flattened and normalized. Log files are parsed into structured records with timestamp, action, and status fields. All Bronze outputs are written as Parquet files with append mode, preserving the original data for auditability.</w:t>
      </w:r>
    </w:p>
    <w:p>
      <w:pPr>
        <w:spacing w:after="120" w:line="276" w:lineRule="auto"/>
        <w:ind w:firstLine="720"/>
        <w:jc w:val="both"/>
      </w:pPr>
      <w:r>
        <w:rPr>
          <w:rFonts w:ascii="Times New Roman" w:hAnsi="Times New Roman"/>
          <w:b w:val="0"/>
          <w:i w:val="0"/>
          <w:color w:val="000000"/>
          <w:sz w:val="24"/>
        </w:rPr>
        <w:t>Silver Layer: Cleansing, enrichment, and contextual mapping. Null values are filled with domain-appropriate defaults (0 for numeric, 'Unknown' for categorical). Duplicate records are dropped based on primary keys. Schema validation ensures all required fields are present and correctly typed. The OpenAlex metadata undergoes rule-based NLP contextual mapping, where research tokens are classified into governance categories (e.g., 'fairness', 'transparency', 'robustness') using keyword matching against a predefined taxonomy.</w:t>
      </w:r>
    </w:p>
    <w:p>
      <w:pPr>
        <w:spacing w:after="120" w:line="276" w:lineRule="auto"/>
        <w:ind w:firstLine="720"/>
        <w:jc w:val="both"/>
      </w:pPr>
      <w:r>
        <w:rPr>
          <w:rFonts w:ascii="Times New Roman" w:hAnsi="Times New Roman"/>
          <w:b w:val="0"/>
          <w:i w:val="0"/>
          <w:color w:val="000000"/>
          <w:sz w:val="24"/>
        </w:rPr>
        <w:t>Gold Layer: Analytical modeling and output generation. Numeric features are assembled into vectors and scaled using StandardScaler. K-Means clustering (k=4) partitions records into deployment profile clusters. Logistic Regression classifies records into binary deployment readiness categories. The Star Schema is materialized with Fact_AI_Deployment joined to Dim_Organization, Dim_Agent, and Dim_Research_Context. All Gold outputs are written as Parquet files optimized for analytical querying.</w:t>
      </w:r>
    </w:p>
    <w:p>
      <w:pPr>
        <w:spacing w:after="120" w:before="120"/>
      </w:pPr>
      <w:r>
        <w:rPr>
          <w:rFonts w:ascii="Times New Roman" w:hAnsi="Times New Roman"/>
          <w:b/>
          <w:i w:val="0"/>
          <w:color w:val="000000"/>
          <w:sz w:val="24"/>
        </w:rPr>
        <w:t>3.3.4 Phase 4: Modeling</w:t>
      </w:r>
    </w:p>
    <w:p>
      <w:pPr>
        <w:spacing w:after="120" w:line="276" w:lineRule="auto"/>
        <w:ind w:firstLine="720"/>
        <w:jc w:val="both"/>
      </w:pPr>
      <w:r>
        <w:rPr>
          <w:rFonts w:ascii="Times New Roman" w:hAnsi="Times New Roman"/>
          <w:b w:val="0"/>
          <w:i w:val="0"/>
          <w:color w:val="000000"/>
          <w:sz w:val="24"/>
        </w:rPr>
        <w:t>The modeling phase focused on selecting and configuring the machine learning algorithms executed in the Gold layer. K-Means was selected for unsupervised clustering due to its simplicity, interpretability, and computational efficiency on small-to-medium datasets. The number of clusters (k=4) was determined based on the expected deployment profile taxonomy: high-frequency/high-trust, high-frequency/low-trust, low-frequency/high-trust, and low-frequency/low-trust.</w:t>
      </w:r>
    </w:p>
    <w:p>
      <w:pPr>
        <w:spacing w:after="120" w:line="276" w:lineRule="auto"/>
        <w:ind w:firstLine="720"/>
        <w:jc w:val="both"/>
      </w:pPr>
      <w:r>
        <w:rPr>
          <w:rFonts w:ascii="Times New Roman" w:hAnsi="Times New Roman"/>
          <w:b w:val="0"/>
          <w:i w:val="0"/>
          <w:color w:val="000000"/>
          <w:sz w:val="24"/>
        </w:rPr>
        <w:t>Logistic Regression was selected for supervised classification due to its interpretability, probabilistic output, and strong baseline performance. The model uses an 80/20 train-test split with a maximum iteration limit of 1,000. Feature scaling ensures that numeric attributes contribute proportionally to distance calculations in K-Means and weight estimation in Logistic Regression.</w:t>
      </w:r>
    </w:p>
    <w:p>
      <w:pPr>
        <w:spacing w:after="120" w:before="120"/>
      </w:pPr>
      <w:r>
        <w:rPr>
          <w:rFonts w:ascii="Times New Roman" w:hAnsi="Times New Roman"/>
          <w:b/>
          <w:i w:val="0"/>
          <w:color w:val="000000"/>
          <w:sz w:val="24"/>
        </w:rPr>
        <w:t>3.3.5 Phase 5: Evaluation</w:t>
      </w:r>
    </w:p>
    <w:p>
      <w:pPr>
        <w:spacing w:after="120" w:line="276" w:lineRule="auto"/>
        <w:ind w:firstLine="720"/>
        <w:jc w:val="both"/>
      </w:pPr>
      <w:r>
        <w:rPr>
          <w:rFonts w:ascii="Times New Roman" w:hAnsi="Times New Roman"/>
          <w:b w:val="0"/>
          <w:i w:val="0"/>
          <w:color w:val="000000"/>
          <w:sz w:val="24"/>
        </w:rPr>
        <w:t>The evaluation phase validated the pipeline outputs using four automated test suites: (1) Schema Test verifies that output tables contain all expected columns with correct data types; (2) Null Test asserts that critical fields (primary keys, foreign keys, metric values) contain no null values; (3) Row Count Test verifies that output record counts fall within expected ranges based on source data sizes; (4) Model Artifact Test confirms that trained models (K-Means centroids, Logistic Regression coefficients) are exported correctly and reproducible.</w:t>
      </w:r>
    </w:p>
    <w:p>
      <w:pPr>
        <w:spacing w:after="120" w:line="276" w:lineRule="auto"/>
        <w:ind w:firstLine="720"/>
        <w:jc w:val="both"/>
      </w:pPr>
      <w:r>
        <w:rPr>
          <w:rFonts w:ascii="Times New Roman" w:hAnsi="Times New Roman"/>
          <w:b w:val="0"/>
          <w:i w:val="0"/>
          <w:color w:val="000000"/>
          <w:sz w:val="24"/>
        </w:rPr>
        <w:t>Additionally, model performance is evaluated using standard classification metrics: Accuracy (55.44%), F1 Score (46.59%), Precision (40.34%), and Recall (55.44%). The clustering quality is assessed using the Silhouette Score (0.5276), indicating moderate cluster separation. These metrics are logged and reported in the pipeline execution output.</w:t>
      </w:r>
    </w:p>
    <w:p>
      <w:pPr>
        <w:spacing w:after="120" w:before="240"/>
      </w:pPr>
      <w:r>
        <w:rPr>
          <w:rFonts w:ascii="Times New Roman" w:hAnsi="Times New Roman"/>
          <w:b/>
          <w:i w:val="0"/>
          <w:color w:val="000000"/>
          <w:sz w:val="26"/>
        </w:rPr>
        <w:t>3.4 Project Planning Schedule</w:t>
      </w:r>
    </w:p>
    <w:p>
      <w:pPr>
        <w:spacing w:after="120" w:line="276" w:lineRule="auto"/>
        <w:ind w:firstLine="720"/>
        <w:jc w:val="both"/>
      </w:pPr>
      <w:r>
        <w:rPr>
          <w:rFonts w:ascii="Times New Roman" w:hAnsi="Times New Roman"/>
          <w:b w:val="0"/>
          <w:i w:val="0"/>
          <w:color w:val="000000"/>
          <w:sz w:val="24"/>
        </w:rPr>
        <w:t>The project was executed over a six-week period following the adapted CRISP-DM phases:</w:t>
      </w:r>
    </w:p>
    <w:tbl>
      <w:tblPr>
        <w:tblStyle w:val="LightGrid-Accent1"/>
        <w:tblW w:type="auto" w:w="0"/>
        <w:tblLook w:firstColumn="1" w:firstRow="1" w:lastColumn="0" w:lastRow="0" w:noHBand="0" w:noVBand="1" w:val="04A0"/>
      </w:tblPr>
      <w:tblGrid>
        <w:gridCol w:w="3005"/>
        <w:gridCol w:w="3005"/>
        <w:gridCol w:w="3005"/>
      </w:tblGrid>
      <w:tr>
        <w:tc>
          <w:tcPr>
            <w:tcW w:type="dxa" w:w="3005"/>
          </w:tcPr>
          <w:p>
            <w:r>
              <w:t>Week</w:t>
            </w:r>
          </w:p>
        </w:tc>
        <w:tc>
          <w:tcPr>
            <w:tcW w:type="dxa" w:w="3005"/>
          </w:tcPr>
          <w:p>
            <w:r>
              <w:t>Phase</w:t>
            </w:r>
          </w:p>
        </w:tc>
        <w:tc>
          <w:tcPr>
            <w:tcW w:type="dxa" w:w="3005"/>
          </w:tcPr>
          <w:p>
            <w:r>
              <w:t>Activities</w:t>
            </w:r>
          </w:p>
        </w:tc>
      </w:tr>
      <w:tr>
        <w:tc>
          <w:tcPr>
            <w:tcW w:type="dxa" w:w="3005"/>
          </w:tcPr>
          <w:p>
            <w:pPr>
              <w:jc w:val="left"/>
            </w:pPr>
            <w:r>
              <w:rPr>
                <w:sz w:val="22"/>
              </w:rPr>
              <w:t>Week 1</w:t>
            </w:r>
          </w:p>
        </w:tc>
        <w:tc>
          <w:tcPr>
            <w:tcW w:type="dxa" w:w="3005"/>
          </w:tcPr>
          <w:p>
            <w:pPr>
              <w:jc w:val="left"/>
            </w:pPr>
            <w:r>
              <w:rPr>
                <w:sz w:val="22"/>
              </w:rPr>
              <w:t>Business Understanding</w:t>
            </w:r>
          </w:p>
        </w:tc>
        <w:tc>
          <w:tcPr>
            <w:tcW w:type="dxa" w:w="3005"/>
          </w:tcPr>
          <w:p>
            <w:pPr>
              <w:jc w:val="left"/>
            </w:pPr>
            <w:r>
              <w:rPr>
                <w:sz w:val="22"/>
              </w:rPr>
              <w:t>Requirements gathering, scope definition, risk identification</w:t>
            </w:r>
          </w:p>
        </w:tc>
      </w:tr>
      <w:tr>
        <w:tc>
          <w:tcPr>
            <w:tcW w:type="dxa" w:w="3005"/>
          </w:tcPr>
          <w:p>
            <w:pPr>
              <w:jc w:val="left"/>
            </w:pPr>
            <w:r>
              <w:rPr>
                <w:sz w:val="22"/>
              </w:rPr>
              <w:t>Week 2</w:t>
            </w:r>
          </w:p>
        </w:tc>
        <w:tc>
          <w:tcPr>
            <w:tcW w:type="dxa" w:w="3005"/>
          </w:tcPr>
          <w:p>
            <w:pPr>
              <w:jc w:val="left"/>
            </w:pPr>
            <w:r>
              <w:rPr>
                <w:sz w:val="22"/>
              </w:rPr>
              <w:t>Data Understanding</w:t>
            </w:r>
          </w:p>
        </w:tc>
        <w:tc>
          <w:tcPr>
            <w:tcW w:type="dxa" w:w="3005"/>
          </w:tcPr>
          <w:p>
            <w:pPr>
              <w:jc w:val="left"/>
            </w:pPr>
            <w:r>
              <w:rPr>
                <w:sz w:val="22"/>
              </w:rPr>
              <w:t>Source profiling, schema analysis, data quality assessment</w:t>
            </w:r>
          </w:p>
        </w:tc>
      </w:tr>
      <w:tr>
        <w:tc>
          <w:tcPr>
            <w:tcW w:type="dxa" w:w="3005"/>
          </w:tcPr>
          <w:p>
            <w:pPr>
              <w:jc w:val="left"/>
            </w:pPr>
            <w:r>
              <w:rPr>
                <w:sz w:val="22"/>
              </w:rPr>
              <w:t>Week 3</w:t>
            </w:r>
          </w:p>
        </w:tc>
        <w:tc>
          <w:tcPr>
            <w:tcW w:type="dxa" w:w="3005"/>
          </w:tcPr>
          <w:p>
            <w:pPr>
              <w:jc w:val="left"/>
            </w:pPr>
            <w:r>
              <w:rPr>
                <w:sz w:val="22"/>
              </w:rPr>
              <w:t>Data Preparation (Bronze)</w:t>
            </w:r>
          </w:p>
        </w:tc>
        <w:tc>
          <w:tcPr>
            <w:tcW w:type="dxa" w:w="3005"/>
          </w:tcPr>
          <w:p>
            <w:pPr>
              <w:jc w:val="left"/>
            </w:pPr>
            <w:r>
              <w:rPr>
                <w:sz w:val="22"/>
              </w:rPr>
              <w:t>Ingestion pipeline implementation, Bronze layer coding</w:t>
            </w:r>
          </w:p>
        </w:tc>
      </w:tr>
      <w:tr>
        <w:tc>
          <w:tcPr>
            <w:tcW w:type="dxa" w:w="3005"/>
          </w:tcPr>
          <w:p>
            <w:pPr>
              <w:jc w:val="left"/>
            </w:pPr>
            <w:r>
              <w:rPr>
                <w:sz w:val="22"/>
              </w:rPr>
              <w:t>Week 4</w:t>
            </w:r>
          </w:p>
        </w:tc>
        <w:tc>
          <w:tcPr>
            <w:tcW w:type="dxa" w:w="3005"/>
          </w:tcPr>
          <w:p>
            <w:pPr>
              <w:jc w:val="left"/>
            </w:pPr>
            <w:r>
              <w:rPr>
                <w:sz w:val="22"/>
              </w:rPr>
              <w:t>Data Preparation (Silver-Gold)</w:t>
            </w:r>
          </w:p>
        </w:tc>
        <w:tc>
          <w:tcPr>
            <w:tcW w:type="dxa" w:w="3005"/>
          </w:tcPr>
          <w:p>
            <w:pPr>
              <w:jc w:val="left"/>
            </w:pPr>
            <w:r>
              <w:rPr>
                <w:sz w:val="22"/>
              </w:rPr>
              <w:t>Cleansing, NLP mapping, Star Schema, ML modeling</w:t>
            </w:r>
          </w:p>
        </w:tc>
      </w:tr>
      <w:tr>
        <w:tc>
          <w:tcPr>
            <w:tcW w:type="dxa" w:w="3005"/>
          </w:tcPr>
          <w:p>
            <w:pPr>
              <w:jc w:val="left"/>
            </w:pPr>
            <w:r>
              <w:rPr>
                <w:sz w:val="22"/>
              </w:rPr>
              <w:t>Week 5</w:t>
            </w:r>
          </w:p>
        </w:tc>
        <w:tc>
          <w:tcPr>
            <w:tcW w:type="dxa" w:w="3005"/>
          </w:tcPr>
          <w:p>
            <w:pPr>
              <w:jc w:val="left"/>
            </w:pPr>
            <w:r>
              <w:rPr>
                <w:sz w:val="22"/>
              </w:rPr>
              <w:t>Evaluation</w:t>
            </w:r>
          </w:p>
        </w:tc>
        <w:tc>
          <w:tcPr>
            <w:tcW w:type="dxa" w:w="3005"/>
          </w:tcPr>
          <w:p>
            <w:pPr>
              <w:jc w:val="left"/>
            </w:pPr>
            <w:r>
              <w:rPr>
                <w:sz w:val="22"/>
              </w:rPr>
              <w:t>Automated testing, metric calculation, visualization generation</w:t>
            </w:r>
          </w:p>
        </w:tc>
      </w:tr>
      <w:tr>
        <w:tc>
          <w:tcPr>
            <w:tcW w:type="dxa" w:w="3005"/>
          </w:tcPr>
          <w:p>
            <w:pPr>
              <w:jc w:val="left"/>
            </w:pPr>
            <w:r>
              <w:rPr>
                <w:sz w:val="22"/>
              </w:rPr>
              <w:t>Week 6</w:t>
            </w:r>
          </w:p>
        </w:tc>
        <w:tc>
          <w:tcPr>
            <w:tcW w:type="dxa" w:w="3005"/>
          </w:tcPr>
          <w:p>
            <w:pPr>
              <w:jc w:val="left"/>
            </w:pPr>
            <w:r>
              <w:rPr>
                <w:sz w:val="22"/>
              </w:rPr>
              <w:t>Documentation &amp; Reporting</w:t>
            </w:r>
          </w:p>
        </w:tc>
        <w:tc>
          <w:tcPr>
            <w:tcW w:type="dxa" w:w="3005"/>
          </w:tcPr>
          <w:p>
            <w:pPr>
              <w:jc w:val="left"/>
            </w:pPr>
            <w:r>
              <w:rPr>
                <w:sz w:val="22"/>
              </w:rPr>
              <w:t>Report writing, figure generation, final review</w:t>
            </w:r>
          </w:p>
        </w:tc>
      </w:tr>
    </w:tbl>
    <w:p>
      <w:pPr>
        <w:spacing w:after="120" w:line="276" w:lineRule="auto"/>
        <w:ind w:firstLine="720"/>
        <w:jc w:val="both"/>
      </w:pPr>
      <w:r>
        <w:rPr>
          <w:rFonts w:ascii="Times New Roman" w:hAnsi="Times New Roman"/>
          <w:b w:val="0"/>
          <w:i w:val="0"/>
          <w:color w:val="000000"/>
          <w:sz w:val="24"/>
        </w:rPr>
      </w:r>
    </w:p>
    <w:p>
      <w:pPr>
        <w:jc w:val="center"/>
      </w:pPr>
      <w:r>
        <w:drawing>
          <wp:inline xmlns:a="http://schemas.openxmlformats.org/drawingml/2006/main" xmlns:pic="http://schemas.openxmlformats.org/drawingml/2006/picture">
            <wp:extent cx="128016000" cy="64008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8016000" cy="64008000"/>
                    </a:xfrm>
                    <a:prstGeom prst="rect"/>
                  </pic:spPr>
                </pic:pic>
              </a:graphicData>
            </a:graphic>
          </wp:inline>
        </w:drawing>
      </w:r>
    </w:p>
    <w:p>
      <w:pPr>
        <w:spacing w:after="240"/>
        <w:jc w:val="center"/>
      </w:pPr>
      <w:r>
        <w:rPr>
          <w:rFonts w:ascii="Times New Roman" w:hAnsi="Times New Roman"/>
          <w:b w:val="0"/>
          <w:i/>
          <w:color w:val="000000"/>
          <w:sz w:val="20"/>
        </w:rPr>
        <w:t>Figure 3.4.1: Gantt Chart of the Project</w:t>
      </w:r>
    </w:p>
    <w:p>
      <w:pPr>
        <w:spacing w:after="120" w:before="240"/>
      </w:pPr>
      <w:r>
        <w:rPr>
          <w:rFonts w:ascii="Times New Roman" w:hAnsi="Times New Roman"/>
          <w:b/>
          <w:i w:val="0"/>
          <w:color w:val="000000"/>
          <w:sz w:val="26"/>
        </w:rPr>
        <w:t>3.5 Risk Analysis and Mitigation</w:t>
      </w:r>
    </w:p>
    <w:tbl>
      <w:tblPr>
        <w:tblStyle w:val="LightGrid-Accent1"/>
        <w:tblW w:type="auto" w:w="0"/>
        <w:tblLook w:firstColumn="1" w:firstRow="1" w:lastColumn="0" w:lastRow="0" w:noHBand="0" w:noVBand="1" w:val="04A0"/>
      </w:tblPr>
      <w:tblGrid>
        <w:gridCol w:w="3005"/>
        <w:gridCol w:w="3005"/>
        <w:gridCol w:w="3005"/>
      </w:tblGrid>
      <w:tr>
        <w:tc>
          <w:tcPr>
            <w:tcW w:type="dxa" w:w="3005"/>
          </w:tcPr>
          <w:p>
            <w:pPr>
              <w:jc w:val="center"/>
            </w:pPr>
            <w:r>
              <w:rPr>
                <w:b/>
                <w:sz w:val="22"/>
              </w:rPr>
              <w:t>Risk</w:t>
            </w:r>
          </w:p>
        </w:tc>
        <w:tc>
          <w:tcPr>
            <w:tcW w:type="dxa" w:w="3005"/>
          </w:tcPr>
          <w:p>
            <w:pPr>
              <w:jc w:val="center"/>
            </w:pPr>
            <w:r>
              <w:rPr>
                <w:b/>
                <w:sz w:val="22"/>
              </w:rPr>
              <w:t>Level</w:t>
            </w:r>
          </w:p>
        </w:tc>
        <w:tc>
          <w:tcPr>
            <w:tcW w:type="dxa" w:w="3005"/>
          </w:tcPr>
          <w:p>
            <w:pPr>
              <w:jc w:val="center"/>
            </w:pPr>
            <w:r>
              <w:rPr>
                <w:b/>
                <w:sz w:val="22"/>
              </w:rPr>
              <w:t>Mitigation</w:t>
            </w:r>
          </w:p>
        </w:tc>
      </w:tr>
      <w:tr>
        <w:tc>
          <w:tcPr>
            <w:tcW w:type="dxa" w:w="3005"/>
          </w:tcPr>
          <w:p>
            <w:r>
              <w:rPr>
                <w:sz w:val="22"/>
              </w:rPr>
              <w:t>Memory constraint on VPS (1.9 GB RAM)</w:t>
            </w:r>
          </w:p>
        </w:tc>
        <w:tc>
          <w:tcPr>
            <w:tcW w:type="dxa" w:w="3005"/>
          </w:tcPr>
          <w:p>
            <w:r>
              <w:rPr>
                <w:sz w:val="22"/>
              </w:rPr>
              <w:t>Medium</w:t>
            </w:r>
          </w:p>
        </w:tc>
        <w:tc>
          <w:tcPr>
            <w:tcW w:type="dxa" w:w="3005"/>
          </w:tcPr>
          <w:p>
            <w:r>
              <w:rPr>
                <w:sz w:val="22"/>
              </w:rPr>
              <w:t>Use minimal Spark session config with driver memory set to 1G. Process data in partitions. Avoid collecting large datasets to driver.</w:t>
            </w:r>
          </w:p>
        </w:tc>
      </w:tr>
      <w:tr>
        <w:tc>
          <w:tcPr>
            <w:tcW w:type="dxa" w:w="3005"/>
          </w:tcPr>
          <w:p>
            <w:r>
              <w:rPr>
                <w:sz w:val="22"/>
              </w:rPr>
              <w:t>Inconsistent data formats across sources</w:t>
            </w:r>
          </w:p>
        </w:tc>
        <w:tc>
          <w:tcPr>
            <w:tcW w:type="dxa" w:w="3005"/>
          </w:tcPr>
          <w:p>
            <w:r>
              <w:rPr>
                <w:sz w:val="22"/>
              </w:rPr>
              <w:t>High</w:t>
            </w:r>
          </w:p>
        </w:tc>
        <w:tc>
          <w:tcPr>
            <w:tcW w:type="dxa" w:w="3005"/>
          </w:tcPr>
          <w:p>
            <w:r>
              <w:rPr>
                <w:sz w:val="22"/>
              </w:rPr>
              <w:t>Schema-on-read with explicit column definitions. Null handling with domain-specific defaults in Silver layer. JSON flattening for nested structures.</w:t>
            </w:r>
          </w:p>
        </w:tc>
      </w:tr>
      <w:tr>
        <w:tc>
          <w:tcPr>
            <w:tcW w:type="dxa" w:w="3005"/>
          </w:tcPr>
          <w:p>
            <w:r>
              <w:rPr>
                <w:sz w:val="22"/>
              </w:rPr>
              <w:t>API rate limiting (OpenAlex)</w:t>
            </w:r>
          </w:p>
        </w:tc>
        <w:tc>
          <w:tcPr>
            <w:tcW w:type="dxa" w:w="3005"/>
          </w:tcPr>
          <w:p>
            <w:r>
              <w:rPr>
                <w:sz w:val="22"/>
              </w:rPr>
              <w:t>Low</w:t>
            </w:r>
          </w:p>
        </w:tc>
        <w:tc>
          <w:tcPr>
            <w:tcW w:type="dxa" w:w="3005"/>
          </w:tcPr>
          <w:p>
            <w:r>
              <w:rPr>
                <w:sz w:val="22"/>
              </w:rPr>
              <w:t>Implement request throttling with 1-second delays between API calls. Cache responses locally to avoid redundant requests.</w:t>
            </w:r>
          </w:p>
        </w:tc>
      </w:tr>
      <w:tr>
        <w:tc>
          <w:tcPr>
            <w:tcW w:type="dxa" w:w="3005"/>
          </w:tcPr>
          <w:p>
            <w:r>
              <w:rPr>
                <w:sz w:val="22"/>
              </w:rPr>
              <w:t>Model overfitting on small dataset</w:t>
            </w:r>
          </w:p>
        </w:tc>
        <w:tc>
          <w:tcPr>
            <w:tcW w:type="dxa" w:w="3005"/>
          </w:tcPr>
          <w:p>
            <w:r>
              <w:rPr>
                <w:sz w:val="22"/>
              </w:rPr>
              <w:t>Medium</w:t>
            </w:r>
          </w:p>
        </w:tc>
        <w:tc>
          <w:tcPr>
            <w:tcW w:type="dxa" w:w="3005"/>
          </w:tcPr>
          <w:p>
            <w:r>
              <w:rPr>
                <w:sz w:val="22"/>
              </w:rPr>
              <w:t>Use train-test split (80/20). Monitor accuracy and F1 score. Logistic Regression with max_iter=1000 prevents convergence issues.</w:t>
            </w:r>
          </w:p>
        </w:tc>
      </w:tr>
      <w:tr>
        <w:tc>
          <w:tcPr>
            <w:tcW w:type="dxa" w:w="3005"/>
          </w:tcPr>
          <w:p>
            <w:r>
              <w:rPr>
                <w:sz w:val="22"/>
              </w:rPr>
              <w:t>Schema evolution in source data</w:t>
            </w:r>
          </w:p>
        </w:tc>
        <w:tc>
          <w:tcPr>
            <w:tcW w:type="dxa" w:w="3005"/>
          </w:tcPr>
          <w:p>
            <w:r>
              <w:rPr>
                <w:sz w:val="22"/>
              </w:rPr>
              <w:t>Low</w:t>
            </w:r>
          </w:p>
        </w:tc>
        <w:tc>
          <w:tcPr>
            <w:tcW w:type="dxa" w:w="3005"/>
          </w:tcPr>
          <w:p>
            <w:r>
              <w:rPr>
                <w:sz w:val="22"/>
              </w:rPr>
              <w:t>Parquet format supports schema evolution. Silver layer validates expected columns and reports missing fields.</w:t>
            </w:r>
          </w:p>
        </w:tc>
      </w:tr>
    </w:tbl>
    <w:p>
      <w:pPr>
        <w:spacing w:after="120" w:line="276" w:lineRule="auto"/>
        <w:ind w:firstLine="720"/>
        <w:jc w:val="both"/>
      </w:pPr>
      <w:r>
        <w:rPr>
          <w:rFonts w:ascii="Times New Roman" w:hAnsi="Times New Roman"/>
          <w:b w:val="0"/>
          <w:i w:val="0"/>
          <w:color w:val="000000"/>
          <w:sz w:val="24"/>
        </w:rPr>
      </w:r>
    </w:p>
    <w:p>
      <w:pPr>
        <w:spacing w:after="120" w:before="240"/>
      </w:pPr>
      <w:r>
        <w:rPr>
          <w:rFonts w:ascii="Times New Roman" w:hAnsi="Times New Roman"/>
          <w:b/>
          <w:i w:val="0"/>
          <w:color w:val="000000"/>
          <w:sz w:val="26"/>
        </w:rPr>
        <w:t>3.6 Summary</w:t>
      </w:r>
    </w:p>
    <w:p>
      <w:pPr>
        <w:spacing w:after="120" w:line="276" w:lineRule="auto"/>
        <w:ind w:firstLine="720"/>
        <w:jc w:val="both"/>
      </w:pPr>
      <w:r>
        <w:rPr>
          <w:rFonts w:ascii="Times New Roman" w:hAnsi="Times New Roman"/>
          <w:b w:val="0"/>
          <w:i w:val="0"/>
          <w:color w:val="000000"/>
          <w:sz w:val="24"/>
        </w:rPr>
        <w:t>This chapter described the adapted CRISP-DM methodology used to guide the pipeline development. The five phases—Business Understanding, Data Understanding, Data Preparation, Modeling, and Evaluation—map directly to the Medallion architecture layers, ensuring traceability from requirements to implementation. The project schedule spans six weeks, and the risk analysis identifies key threats with concrete mitigation strategies. The next chapter covers the system analysis and design, including the use case diagram, entity relationship diagram, and Star Schema model.</w:t>
      </w:r>
    </w:p>
    <w:p>
      <w:r>
        <w:br w:type="page"/>
      </w:r>
    </w:p>
    <w:p>
      <w:pPr>
        <w:spacing w:after="240" w:before="480"/>
        <w:jc w:val="center"/>
      </w:pPr>
      <w:r>
        <w:rPr>
          <w:rFonts w:ascii="Times New Roman" w:hAnsi="Times New Roman"/>
          <w:b/>
          <w:i w:val="0"/>
          <w:color w:val="000000"/>
          <w:sz w:val="32"/>
        </w:rPr>
        <w:t>CHAPTER 4</w:t>
      </w:r>
    </w:p>
    <w:p>
      <w:pPr>
        <w:spacing w:after="120" w:before="240"/>
      </w:pPr>
      <w:r>
        <w:rPr>
          <w:rFonts w:ascii="Times New Roman" w:hAnsi="Times New Roman"/>
          <w:b/>
          <w:i w:val="0"/>
          <w:color w:val="000000"/>
          <w:sz w:val="26"/>
        </w:rPr>
        <w:t>4.1 Introduction</w:t>
      </w:r>
    </w:p>
    <w:p>
      <w:pPr>
        <w:spacing w:after="120" w:line="276" w:lineRule="auto"/>
        <w:ind w:firstLine="720"/>
        <w:jc w:val="both"/>
      </w:pPr>
      <w:r>
        <w:rPr>
          <w:rFonts w:ascii="Times New Roman" w:hAnsi="Times New Roman"/>
          <w:b w:val="0"/>
          <w:i w:val="0"/>
          <w:color w:val="000000"/>
          <w:sz w:val="24"/>
        </w:rPr>
        <w:t>This chapter presents the system analysis and design for the data engineering pipeline. It covers the use case analysis, which defines the functional interactions between actors and the system; the entity relationship diagram, which models the Star Schema data structure; and the system architecture, which describes how the Medallion layers are organized and connected. These design artifacts provide the blueprint for the implementation described in Chapter 5.</w:t>
      </w:r>
    </w:p>
    <w:p>
      <w:pPr>
        <w:spacing w:after="120" w:before="240"/>
      </w:pPr>
      <w:r>
        <w:rPr>
          <w:rFonts w:ascii="Times New Roman" w:hAnsi="Times New Roman"/>
          <w:b/>
          <w:i w:val="0"/>
          <w:color w:val="000000"/>
          <w:sz w:val="26"/>
        </w:rPr>
        <w:t>4.2 System Analysis</w:t>
      </w:r>
    </w:p>
    <w:p>
      <w:pPr>
        <w:spacing w:after="120" w:before="120"/>
      </w:pPr>
      <w:r>
        <w:rPr>
          <w:rFonts w:ascii="Times New Roman" w:hAnsi="Times New Roman"/>
          <w:b/>
          <w:i w:val="0"/>
          <w:color w:val="000000"/>
          <w:sz w:val="24"/>
        </w:rPr>
        <w:t>4.2.1 Use Case Diagram</w:t>
      </w:r>
    </w:p>
    <w:p>
      <w:pPr>
        <w:spacing w:after="120" w:line="276" w:lineRule="auto"/>
        <w:ind w:firstLine="720"/>
        <w:jc w:val="both"/>
      </w:pPr>
      <w:r>
        <w:rPr>
          <w:rFonts w:ascii="Times New Roman" w:hAnsi="Times New Roman"/>
          <w:b w:val="0"/>
          <w:i w:val="0"/>
          <w:color w:val="000000"/>
          <w:sz w:val="24"/>
        </w:rPr>
        <w:t>The system involves three primary actors: the Data Engineer, who configures and executes the pipeline; the Pipeline System, which orchestrates ingestion, transformation, and modeling; and the Organizational Stakeholder, who consumes the output trust indicators. The Data Engineer interacts with the system to configure source connections, trigger pipeline execution, and review test results. The Pipeline System performs automated ingestion, NLP mapping, clustering, and classification. The Organizational Stakeholder receives the final Star Schema output for downstream analytics.</w:t>
      </w:r>
    </w:p>
    <w:p>
      <w:pPr>
        <w:jc w:val="center"/>
      </w:pPr>
      <w:r>
        <w:drawing>
          <wp:inline xmlns:a="http://schemas.openxmlformats.org/drawingml/2006/main" xmlns:pic="http://schemas.openxmlformats.org/drawingml/2006/picture">
            <wp:extent cx="128016000" cy="640080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8016000" cy="64008000"/>
                    </a:xfrm>
                    <a:prstGeom prst="rect"/>
                  </pic:spPr>
                </pic:pic>
              </a:graphicData>
            </a:graphic>
          </wp:inline>
        </w:drawing>
      </w:r>
    </w:p>
    <w:p>
      <w:pPr>
        <w:spacing w:after="240"/>
        <w:jc w:val="center"/>
      </w:pPr>
      <w:r>
        <w:rPr>
          <w:rFonts w:ascii="Times New Roman" w:hAnsi="Times New Roman"/>
          <w:b w:val="0"/>
          <w:i/>
          <w:color w:val="000000"/>
          <w:sz w:val="20"/>
        </w:rPr>
        <w:t>Figure 4.2.1: Use Case Diagram</w:t>
      </w:r>
    </w:p>
    <w:tbl>
      <w:tblPr>
        <w:tblStyle w:val="LightGrid-Accent1"/>
        <w:tblW w:type="auto" w:w="0"/>
        <w:tblLook w:firstColumn="1" w:firstRow="1" w:lastColumn="0" w:lastRow="0" w:noHBand="0" w:noVBand="1" w:val="04A0"/>
      </w:tblPr>
      <w:tblGrid>
        <w:gridCol w:w="3005"/>
        <w:gridCol w:w="3005"/>
        <w:gridCol w:w="3005"/>
      </w:tblGrid>
      <w:tr>
        <w:tc>
          <w:tcPr>
            <w:tcW w:type="dxa" w:w="3005"/>
          </w:tcPr>
          <w:p>
            <w:pPr>
              <w:jc w:val="center"/>
            </w:pPr>
            <w:r>
              <w:rPr>
                <w:b/>
                <w:sz w:val="22"/>
              </w:rPr>
              <w:t>ID</w:t>
            </w:r>
          </w:p>
        </w:tc>
        <w:tc>
          <w:tcPr>
            <w:tcW w:type="dxa" w:w="3005"/>
          </w:tcPr>
          <w:p>
            <w:pPr>
              <w:jc w:val="center"/>
            </w:pPr>
            <w:r>
              <w:rPr>
                <w:b/>
                <w:sz w:val="22"/>
              </w:rPr>
              <w:t>Use Case</w:t>
            </w:r>
          </w:p>
        </w:tc>
        <w:tc>
          <w:tcPr>
            <w:tcW w:type="dxa" w:w="3005"/>
          </w:tcPr>
          <w:p>
            <w:pPr>
              <w:jc w:val="center"/>
            </w:pPr>
            <w:r>
              <w:rPr>
                <w:b/>
                <w:sz w:val="22"/>
              </w:rPr>
              <w:t>Description</w:t>
            </w:r>
          </w:p>
        </w:tc>
      </w:tr>
      <w:tr>
        <w:tc>
          <w:tcPr>
            <w:tcW w:type="dxa" w:w="3005"/>
          </w:tcPr>
          <w:p>
            <w:r>
              <w:rPr>
                <w:sz w:val="22"/>
              </w:rPr>
              <w:t>UC-01</w:t>
            </w:r>
          </w:p>
        </w:tc>
        <w:tc>
          <w:tcPr>
            <w:tcW w:type="dxa" w:w="3005"/>
          </w:tcPr>
          <w:p>
            <w:r>
              <w:rPr>
                <w:sz w:val="22"/>
              </w:rPr>
              <w:t>Configure Sources</w:t>
            </w:r>
          </w:p>
        </w:tc>
        <w:tc>
          <w:tcPr>
            <w:tcW w:type="dxa" w:w="3005"/>
          </w:tcPr>
          <w:p>
            <w:r>
              <w:rPr>
                <w:sz w:val="22"/>
              </w:rPr>
              <w:t>Data Engineer specifies CSV, JSON, and API endpoints for ingestion.</w:t>
            </w:r>
          </w:p>
        </w:tc>
      </w:tr>
      <w:tr>
        <w:tc>
          <w:tcPr>
            <w:tcW w:type="dxa" w:w="3005"/>
          </w:tcPr>
          <w:p>
            <w:r>
              <w:rPr>
                <w:sz w:val="22"/>
              </w:rPr>
              <w:t>UC-02</w:t>
            </w:r>
          </w:p>
        </w:tc>
        <w:tc>
          <w:tcPr>
            <w:tcW w:type="dxa" w:w="3005"/>
          </w:tcPr>
          <w:p>
            <w:r>
              <w:rPr>
                <w:sz w:val="22"/>
              </w:rPr>
              <w:t>Execute Bronze Ingestion</w:t>
            </w:r>
          </w:p>
        </w:tc>
        <w:tc>
          <w:tcPr>
            <w:tcW w:type="dxa" w:w="3005"/>
          </w:tcPr>
          <w:p>
            <w:r>
              <w:rPr>
                <w:sz w:val="22"/>
              </w:rPr>
              <w:t>Pipeline reads source data and writes raw Parquet to Bronze layer.</w:t>
            </w:r>
          </w:p>
        </w:tc>
      </w:tr>
      <w:tr>
        <w:tc>
          <w:tcPr>
            <w:tcW w:type="dxa" w:w="3005"/>
          </w:tcPr>
          <w:p>
            <w:r>
              <w:rPr>
                <w:sz w:val="22"/>
              </w:rPr>
              <w:t>UC-03</w:t>
            </w:r>
          </w:p>
        </w:tc>
        <w:tc>
          <w:tcPr>
            <w:tcW w:type="dxa" w:w="3005"/>
          </w:tcPr>
          <w:p>
            <w:r>
              <w:rPr>
                <w:sz w:val="22"/>
              </w:rPr>
              <w:t>Apply Silver Transformations</w:t>
            </w:r>
          </w:p>
        </w:tc>
        <w:tc>
          <w:tcPr>
            <w:tcW w:type="dxa" w:w="3005"/>
          </w:tcPr>
          <w:p>
            <w:r>
              <w:rPr>
                <w:sz w:val="22"/>
              </w:rPr>
              <w:t>Pipeline cleanses, deduplicates, and enriches data with NLP mapping.</w:t>
            </w:r>
          </w:p>
        </w:tc>
      </w:tr>
      <w:tr>
        <w:tc>
          <w:tcPr>
            <w:tcW w:type="dxa" w:w="3005"/>
          </w:tcPr>
          <w:p>
            <w:r>
              <w:rPr>
                <w:sz w:val="22"/>
              </w:rPr>
              <w:t>UC-04</w:t>
            </w:r>
          </w:p>
        </w:tc>
        <w:tc>
          <w:tcPr>
            <w:tcW w:type="dxa" w:w="3005"/>
          </w:tcPr>
          <w:p>
            <w:r>
              <w:rPr>
                <w:sz w:val="22"/>
              </w:rPr>
              <w:t>Execute Gold Modeling</w:t>
            </w:r>
          </w:p>
        </w:tc>
        <w:tc>
          <w:tcPr>
            <w:tcW w:type="dxa" w:w="3005"/>
          </w:tcPr>
          <w:p>
            <w:r>
              <w:rPr>
                <w:sz w:val="22"/>
              </w:rPr>
              <w:t>Pipeline runs K-Means clustering and Logistic Regression classification.</w:t>
            </w:r>
          </w:p>
        </w:tc>
      </w:tr>
      <w:tr>
        <w:tc>
          <w:tcPr>
            <w:tcW w:type="dxa" w:w="3005"/>
          </w:tcPr>
          <w:p>
            <w:r>
              <w:rPr>
                <w:sz w:val="22"/>
              </w:rPr>
              <w:t>UC-05</w:t>
            </w:r>
          </w:p>
        </w:tc>
        <w:tc>
          <w:tcPr>
            <w:tcW w:type="dxa" w:w="3005"/>
          </w:tcPr>
          <w:p>
            <w:r>
              <w:rPr>
                <w:sz w:val="22"/>
              </w:rPr>
              <w:t>Generate Star Schema</w:t>
            </w:r>
          </w:p>
        </w:tc>
        <w:tc>
          <w:tcPr>
            <w:tcW w:type="dxa" w:w="3005"/>
          </w:tcPr>
          <w:p>
            <w:r>
              <w:rPr>
                <w:sz w:val="22"/>
              </w:rPr>
              <w:t>Pipeline materializes fact and dimension tables as Parquet output.</w:t>
            </w:r>
          </w:p>
        </w:tc>
      </w:tr>
      <w:tr>
        <w:tc>
          <w:tcPr>
            <w:tcW w:type="dxa" w:w="3005"/>
          </w:tcPr>
          <w:p>
            <w:r>
              <w:rPr>
                <w:sz w:val="22"/>
              </w:rPr>
              <w:t>UC-06</w:t>
            </w:r>
          </w:p>
        </w:tc>
        <w:tc>
          <w:tcPr>
            <w:tcW w:type="dxa" w:w="3005"/>
          </w:tcPr>
          <w:p>
            <w:r>
              <w:rPr>
                <w:sz w:val="22"/>
              </w:rPr>
              <w:t>Run Automated Tests</w:t>
            </w:r>
          </w:p>
        </w:tc>
        <w:tc>
          <w:tcPr>
            <w:tcW w:type="dxa" w:w="3005"/>
          </w:tcPr>
          <w:p>
            <w:r>
              <w:rPr>
                <w:sz w:val="22"/>
              </w:rPr>
              <w:t>Pipeline validates schema, nulls, row counts, and model artifacts.</w:t>
            </w:r>
          </w:p>
        </w:tc>
      </w:tr>
      <w:tr>
        <w:tc>
          <w:tcPr>
            <w:tcW w:type="dxa" w:w="3005"/>
          </w:tcPr>
          <w:p>
            <w:r>
              <w:rPr>
                <w:sz w:val="22"/>
              </w:rPr>
              <w:t>UC-07</w:t>
            </w:r>
          </w:p>
        </w:tc>
        <w:tc>
          <w:tcPr>
            <w:tcW w:type="dxa" w:w="3005"/>
          </w:tcPr>
          <w:p>
            <w:r>
              <w:rPr>
                <w:sz w:val="22"/>
              </w:rPr>
              <w:t>Review Output</w:t>
            </w:r>
          </w:p>
        </w:tc>
        <w:tc>
          <w:tcPr>
            <w:tcW w:type="dxa" w:w="3005"/>
          </w:tcPr>
          <w:p>
            <w:r>
              <w:rPr>
                <w:sz w:val="22"/>
              </w:rPr>
              <w:t>Stakeholder reviews trust indicators and deployment readiness scores.</w:t>
            </w:r>
          </w:p>
        </w:tc>
      </w:tr>
    </w:tbl>
    <w:p>
      <w:pPr>
        <w:spacing w:after="120" w:line="276" w:lineRule="auto"/>
        <w:ind w:firstLine="720"/>
        <w:jc w:val="both"/>
      </w:pPr>
      <w:r>
        <w:rPr>
          <w:rFonts w:ascii="Times New Roman" w:hAnsi="Times New Roman"/>
          <w:b w:val="0"/>
          <w:i w:val="0"/>
          <w:color w:val="000000"/>
          <w:sz w:val="24"/>
        </w:rPr>
      </w:r>
    </w:p>
    <w:p>
      <w:pPr>
        <w:spacing w:after="120" w:before="120"/>
      </w:pPr>
      <w:r>
        <w:rPr>
          <w:rFonts w:ascii="Times New Roman" w:hAnsi="Times New Roman"/>
          <w:b/>
          <w:i w:val="0"/>
          <w:color w:val="000000"/>
          <w:sz w:val="24"/>
        </w:rPr>
        <w:t>4.2.2 Entity Relationship Diagram</w:t>
      </w:r>
    </w:p>
    <w:p>
      <w:pPr>
        <w:spacing w:after="120" w:line="276" w:lineRule="auto"/>
        <w:ind w:firstLine="720"/>
        <w:jc w:val="both"/>
      </w:pPr>
      <w:r>
        <w:rPr>
          <w:rFonts w:ascii="Times New Roman" w:hAnsi="Times New Roman"/>
          <w:b w:val="0"/>
          <w:i w:val="0"/>
          <w:color w:val="000000"/>
          <w:sz w:val="24"/>
        </w:rPr>
        <w:t>The data model follows a Star Schema design with one fact table and three dimension tables. The fact table (Fact_AI_Deployment) stores quantitative measures including trust scores, productivity improvement values, record counts, and timestamps. The dimension tables provide descriptive context: Dim_Organization contains organization names and industry sectors; Dim_Agent contains agent types and deployment frequencies; Dim_Research_Context contains research domain classifications and context descriptions.</w:t>
      </w:r>
    </w:p>
    <w:p>
      <w:pPr>
        <w:spacing w:after="120" w:line="276" w:lineRule="auto"/>
        <w:ind w:firstLine="720"/>
        <w:jc w:val="both"/>
      </w:pPr>
      <w:r>
        <w:rPr>
          <w:rFonts w:ascii="Times New Roman" w:hAnsi="Times New Roman"/>
          <w:b w:val="0"/>
          <w:i w:val="0"/>
          <w:color w:val="000000"/>
          <w:sz w:val="24"/>
        </w:rPr>
        <w:t>The Star Schema was chosen over a normalized schema for several reasons: (1) analytical queries benefit from denormalized dimension tables that reduce join complexity; (2) the fact table serves as a single point of aggregation for all trust metrics; (3) the schema is intuitive for downstream BI tools and dashboard consumers. All tables are stored as Parquet files with clearly defined primary and foreign key relationships.</w:t>
      </w:r>
    </w:p>
    <w:p>
      <w:pPr>
        <w:jc w:val="center"/>
      </w:pPr>
      <w:r>
        <w:drawing>
          <wp:inline xmlns:a="http://schemas.openxmlformats.org/drawingml/2006/main" xmlns:pic="http://schemas.openxmlformats.org/drawingml/2006/picture">
            <wp:extent cx="128016000" cy="640080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8016000" cy="64008000"/>
                    </a:xfrm>
                    <a:prstGeom prst="rect"/>
                  </pic:spPr>
                </pic:pic>
              </a:graphicData>
            </a:graphic>
          </wp:inline>
        </w:drawing>
      </w:r>
    </w:p>
    <w:p>
      <w:pPr>
        <w:spacing w:after="240"/>
        <w:jc w:val="center"/>
      </w:pPr>
      <w:r>
        <w:rPr>
          <w:rFonts w:ascii="Times New Roman" w:hAnsi="Times New Roman"/>
          <w:b w:val="0"/>
          <w:i/>
          <w:color w:val="000000"/>
          <w:sz w:val="20"/>
        </w:rPr>
        <w:t>Figure 4.2.2: Entity Relationship Diagram (Star Schema)</w:t>
      </w:r>
    </w:p>
    <w:p>
      <w:pPr>
        <w:spacing w:after="120" w:before="120"/>
      </w:pPr>
      <w:r>
        <w:rPr>
          <w:rFonts w:ascii="Times New Roman" w:hAnsi="Times New Roman"/>
          <w:b/>
          <w:i w:val="0"/>
          <w:color w:val="000000"/>
          <w:sz w:val="24"/>
        </w:rPr>
        <w:t>4.2.3 Star Schema Table Specifications</w:t>
      </w:r>
    </w:p>
    <w:tbl>
      <w:tblPr>
        <w:tblStyle w:val="LightGrid-Accent1"/>
        <w:tblW w:type="auto" w:w="0"/>
        <w:tblLook w:firstColumn="1" w:firstRow="1" w:lastColumn="0" w:lastRow="0" w:noHBand="0" w:noVBand="1" w:val="04A0"/>
      </w:tblPr>
      <w:tblGrid>
        <w:gridCol w:w="3005"/>
        <w:gridCol w:w="3005"/>
        <w:gridCol w:w="3005"/>
      </w:tblGrid>
      <w:tr>
        <w:tc>
          <w:tcPr>
            <w:tcW w:type="dxa" w:w="3005"/>
          </w:tcPr>
          <w:p>
            <w:pPr>
              <w:jc w:val="center"/>
            </w:pPr>
            <w:r>
              <w:rPr>
                <w:b/>
                <w:sz w:val="20"/>
              </w:rPr>
              <w:t>Table</w:t>
            </w:r>
          </w:p>
        </w:tc>
        <w:tc>
          <w:tcPr>
            <w:tcW w:type="dxa" w:w="3005"/>
          </w:tcPr>
          <w:p>
            <w:pPr>
              <w:jc w:val="center"/>
            </w:pPr>
            <w:r>
              <w:rPr>
                <w:b/>
                <w:sz w:val="20"/>
              </w:rPr>
              <w:t>Type</w:t>
            </w:r>
          </w:p>
        </w:tc>
        <w:tc>
          <w:tcPr>
            <w:tcW w:type="dxa" w:w="3005"/>
          </w:tcPr>
          <w:p>
            <w:pPr>
              <w:jc w:val="center"/>
            </w:pPr>
            <w:r>
              <w:rPr>
                <w:b/>
                <w:sz w:val="20"/>
              </w:rPr>
              <w:t>Columns</w:t>
            </w:r>
          </w:p>
        </w:tc>
      </w:tr>
      <w:tr>
        <w:tc>
          <w:tcPr>
            <w:tcW w:type="dxa" w:w="3005"/>
          </w:tcPr>
          <w:p>
            <w:r>
              <w:rPr>
                <w:sz w:val="20"/>
              </w:rPr>
              <w:t>Fact_AI_Deployment</w:t>
            </w:r>
          </w:p>
        </w:tc>
        <w:tc>
          <w:tcPr>
            <w:tcW w:type="dxa" w:w="3005"/>
          </w:tcPr>
          <w:p>
            <w:r>
              <w:rPr>
                <w:sz w:val="20"/>
              </w:rPr>
              <w:t>fact</w:t>
            </w:r>
          </w:p>
        </w:tc>
        <w:tc>
          <w:tcPr>
            <w:tcW w:type="dxa" w:w="3005"/>
          </w:tcPr>
          <w:p>
            <w:r>
              <w:rPr>
                <w:sz w:val="20"/>
              </w:rPr>
              <w:t>deployment_id, org_id, agent_id, research_context_id, trust_score, productivity_improvement, record_count, timestamp</w:t>
            </w:r>
          </w:p>
        </w:tc>
      </w:tr>
      <w:tr>
        <w:tc>
          <w:tcPr>
            <w:tcW w:type="dxa" w:w="3005"/>
          </w:tcPr>
          <w:p>
            <w:r>
              <w:rPr>
                <w:sz w:val="20"/>
              </w:rPr>
              <w:t>Dim_Organization</w:t>
            </w:r>
          </w:p>
        </w:tc>
        <w:tc>
          <w:tcPr>
            <w:tcW w:type="dxa" w:w="3005"/>
          </w:tcPr>
          <w:p>
            <w:r>
              <w:rPr>
                <w:sz w:val="20"/>
              </w:rPr>
              <w:t>dim</w:t>
            </w:r>
          </w:p>
        </w:tc>
        <w:tc>
          <w:tcPr>
            <w:tcW w:type="dxa" w:w="3005"/>
          </w:tcPr>
          <w:p>
            <w:r>
              <w:rPr>
                <w:sz w:val="20"/>
              </w:rPr>
              <w:t>org_id (PK), organization_name, industry_sector</w:t>
            </w:r>
          </w:p>
        </w:tc>
      </w:tr>
      <w:tr>
        <w:tc>
          <w:tcPr>
            <w:tcW w:type="dxa" w:w="3005"/>
          </w:tcPr>
          <w:p>
            <w:r>
              <w:rPr>
                <w:sz w:val="20"/>
              </w:rPr>
              <w:t>Dim_Agent</w:t>
            </w:r>
          </w:p>
        </w:tc>
        <w:tc>
          <w:tcPr>
            <w:tcW w:type="dxa" w:w="3005"/>
          </w:tcPr>
          <w:p>
            <w:r>
              <w:rPr>
                <w:sz w:val="20"/>
              </w:rPr>
              <w:t>dim</w:t>
            </w:r>
          </w:p>
        </w:tc>
        <w:tc>
          <w:tcPr>
            <w:tcW w:type="dxa" w:w="3005"/>
          </w:tcPr>
          <w:p>
            <w:r>
              <w:rPr>
                <w:sz w:val="20"/>
              </w:rPr>
              <w:t>agent_id (PK), agent_type, deployment_frequency</w:t>
            </w:r>
          </w:p>
        </w:tc>
      </w:tr>
      <w:tr>
        <w:tc>
          <w:tcPr>
            <w:tcW w:type="dxa" w:w="3005"/>
          </w:tcPr>
          <w:p>
            <w:r>
              <w:rPr>
                <w:sz w:val="20"/>
              </w:rPr>
              <w:t>Dim_Research_Context</w:t>
            </w:r>
          </w:p>
        </w:tc>
        <w:tc>
          <w:tcPr>
            <w:tcW w:type="dxa" w:w="3005"/>
          </w:tcPr>
          <w:p>
            <w:r>
              <w:rPr>
                <w:sz w:val="20"/>
              </w:rPr>
              <w:t>dim</w:t>
            </w:r>
          </w:p>
        </w:tc>
        <w:tc>
          <w:tcPr>
            <w:tcW w:type="dxa" w:w="3005"/>
          </w:tcPr>
          <w:p>
            <w:r>
              <w:rPr>
                <w:sz w:val="20"/>
              </w:rPr>
              <w:t>research_context_id (PK), context_name, context_description</w:t>
            </w:r>
          </w:p>
        </w:tc>
      </w:tr>
    </w:tbl>
    <w:p>
      <w:pPr>
        <w:spacing w:after="120" w:line="276" w:lineRule="auto"/>
        <w:ind w:firstLine="720"/>
        <w:jc w:val="both"/>
      </w:pPr>
      <w:r>
        <w:rPr>
          <w:rFonts w:ascii="Times New Roman" w:hAnsi="Times New Roman"/>
          <w:b w:val="0"/>
          <w:i w:val="0"/>
          <w:color w:val="000000"/>
          <w:sz w:val="24"/>
        </w:rPr>
      </w:r>
    </w:p>
    <w:p>
      <w:pPr>
        <w:spacing w:after="120" w:before="240"/>
      </w:pPr>
      <w:r>
        <w:rPr>
          <w:rFonts w:ascii="Times New Roman" w:hAnsi="Times New Roman"/>
          <w:b/>
          <w:i w:val="0"/>
          <w:color w:val="000000"/>
          <w:sz w:val="26"/>
        </w:rPr>
        <w:t>4.3 System Design</w:t>
      </w:r>
    </w:p>
    <w:p>
      <w:pPr>
        <w:spacing w:after="120" w:line="276" w:lineRule="auto"/>
        <w:ind w:firstLine="720"/>
        <w:jc w:val="both"/>
      </w:pPr>
      <w:r>
        <w:rPr>
          <w:rFonts w:ascii="Times New Roman" w:hAnsi="Times New Roman"/>
          <w:b w:val="0"/>
          <w:i w:val="0"/>
          <w:color w:val="000000"/>
          <w:sz w:val="24"/>
        </w:rPr>
        <w:t>The system design organizes the pipeline into three Medallion layers, each with clearly defined input/output contracts and data quality guarantees. The Bronze layer serves as the ingestion boundary, accepting raw data from all four sources and writing it as Parquet with minimal transformation. The Silver layer serves as the quality boundary, applying cleansing rules, null handling, and NLP enrichment before promoting data to analytical readiness. The Gold layer serves as the modeling boundary, executing ML algorithms and materializing the Star Schema for downstream consumption.</w:t>
      </w:r>
    </w:p>
    <w:p>
      <w:pPr>
        <w:spacing w:after="120" w:line="276" w:lineRule="auto"/>
        <w:ind w:firstLine="720"/>
        <w:jc w:val="both"/>
      </w:pPr>
      <w:r>
        <w:rPr>
          <w:rFonts w:ascii="Times New Roman" w:hAnsi="Times New Roman"/>
          <w:b w:val="0"/>
          <w:i w:val="0"/>
          <w:color w:val="000000"/>
          <w:sz w:val="24"/>
        </w:rPr>
        <w:t>The pipeline execution follows a sequential orchestration pattern: Bronze ingestion completes before Silver transformations begin, and Silver output must pass quality checks before Gold modeling proceeds. This sequential design ensures that data quality issues are caught early and prevents downstream models from operating on invalid inputs. All intermediate results are persisted as Parquet files, enabling incremental processing and re-execution from any layer boundary.</w:t>
      </w:r>
    </w:p>
    <w:p>
      <w:pPr>
        <w:spacing w:after="120" w:before="240"/>
      </w:pPr>
      <w:r>
        <w:rPr>
          <w:rFonts w:ascii="Times New Roman" w:hAnsi="Times New Roman"/>
          <w:b/>
          <w:i w:val="0"/>
          <w:color w:val="000000"/>
          <w:sz w:val="26"/>
        </w:rPr>
        <w:t>4.4 Summary</w:t>
      </w:r>
    </w:p>
    <w:p>
      <w:pPr>
        <w:spacing w:after="120" w:line="276" w:lineRule="auto"/>
        <w:ind w:firstLine="720"/>
        <w:jc w:val="both"/>
      </w:pPr>
      <w:r>
        <w:rPr>
          <w:rFonts w:ascii="Times New Roman" w:hAnsi="Times New Roman"/>
          <w:b w:val="0"/>
          <w:i w:val="0"/>
          <w:color w:val="000000"/>
          <w:sz w:val="24"/>
        </w:rPr>
        <w:t>This chapter presented the system analysis and design for the data engineering pipeline. The use case analysis defined seven core functional interactions across three actors. The ERD modeled the Star Schema with one fact table and three dimension tables. The system design organized the pipeline into three Medallion layers with sequential orchestration and clear input/output contracts. The next chapter details the implementation, including coding of main functions, essential interfaces, and testing results.</w:t>
      </w:r>
    </w:p>
    <w:p>
      <w:r>
        <w:br w:type="page"/>
      </w:r>
    </w:p>
    <w:p>
      <w:pPr>
        <w:spacing w:after="240" w:before="480"/>
        <w:jc w:val="center"/>
      </w:pPr>
      <w:r>
        <w:rPr>
          <w:rFonts w:ascii="Times New Roman" w:hAnsi="Times New Roman"/>
          <w:b/>
          <w:i w:val="0"/>
          <w:color w:val="000000"/>
          <w:sz w:val="32"/>
        </w:rPr>
        <w:t>CHAPTER 5</w:t>
      </w:r>
    </w:p>
    <w:p>
      <w:pPr>
        <w:spacing w:after="120" w:before="240"/>
      </w:pPr>
      <w:r>
        <w:rPr>
          <w:rFonts w:ascii="Times New Roman" w:hAnsi="Times New Roman"/>
          <w:b/>
          <w:i w:val="0"/>
          <w:color w:val="000000"/>
          <w:sz w:val="26"/>
        </w:rPr>
        <w:t>5.1 Introduction</w:t>
      </w:r>
    </w:p>
    <w:p>
      <w:pPr>
        <w:spacing w:after="120" w:line="276" w:lineRule="auto"/>
        <w:ind w:firstLine="720"/>
        <w:jc w:val="both"/>
      </w:pPr>
      <w:r>
        <w:rPr>
          <w:rFonts w:ascii="Times New Roman" w:hAnsi="Times New Roman"/>
          <w:b w:val="0"/>
          <w:i w:val="0"/>
          <w:color w:val="000000"/>
          <w:sz w:val="24"/>
        </w:rPr>
        <w:t>This chapter details the implementation of the data engineering pipeline, including the coding of main functions, essential interfaces, and testing results. The implementation follows the design artifacts presented in Chapter 4, translating the Medallion architecture and Star Schema model into executable PySpark code. The chapter covers the development environment, core pipeline functions, data flow through each layer, and the automated test suites that validate pipeline correctness.</w:t>
      </w:r>
    </w:p>
    <w:p>
      <w:pPr>
        <w:spacing w:after="120" w:before="240"/>
      </w:pPr>
      <w:r>
        <w:rPr>
          <w:rFonts w:ascii="Times New Roman" w:hAnsi="Times New Roman"/>
          <w:b/>
          <w:i w:val="0"/>
          <w:color w:val="000000"/>
          <w:sz w:val="26"/>
        </w:rPr>
        <w:t>5.2 System Development</w:t>
      </w:r>
    </w:p>
    <w:p>
      <w:pPr>
        <w:spacing w:after="120" w:line="276" w:lineRule="auto"/>
        <w:ind w:firstLine="720"/>
        <w:jc w:val="both"/>
      </w:pPr>
      <w:r>
        <w:rPr>
          <w:rFonts w:ascii="Times New Roman" w:hAnsi="Times New Roman"/>
          <w:b w:val="0"/>
          <w:i w:val="0"/>
          <w:color w:val="000000"/>
          <w:sz w:val="24"/>
        </w:rPr>
        <w:t>The pipeline is implemented as a single Python script (pipeline.py) that orchestrates all Medallion layers sequentially. The development environment consists of a VPS running Ubuntu with 1.9 GB RAM, Python 3.12, and Apache Spark 3.x (PySpark). The script is designed to be self-contained: it generates synthetic test data if real sources are unavailable, ingests all four data sources, applies transformations, executes ML models, and runs automated tests. Total execution time is approximately 104.4 seconds on the target hardware.</w:t>
      </w:r>
    </w:p>
    <w:p>
      <w:pPr>
        <w:spacing w:after="120" w:line="276" w:lineRule="auto"/>
        <w:ind w:firstLine="720"/>
        <w:jc w:val="both"/>
      </w:pPr>
      <w:r>
        <w:rPr>
          <w:rFonts w:ascii="Times New Roman" w:hAnsi="Times New Roman"/>
          <w:b w:val="0"/>
          <w:i w:val="0"/>
          <w:color w:val="000000"/>
          <w:sz w:val="24"/>
        </w:rPr>
        <w:t>The development process followed a test-driven approach: each layer was implemented and validated independently before integration. The Bronze layer was tested for schema correctness and record counts. The Silver layer was tested for null handling, deduplication, and NLP mapping accuracy. The Gold layer was tested for model convergence, metric computation, and Star Schema materialization. This incremental approach minimized integration risks and enabled early detection of data quality issues.</w:t>
      </w:r>
    </w:p>
    <w:p>
      <w:pPr>
        <w:spacing w:after="120" w:before="240"/>
      </w:pPr>
      <w:r>
        <w:rPr>
          <w:rFonts w:ascii="Times New Roman" w:hAnsi="Times New Roman"/>
          <w:b/>
          <w:i w:val="0"/>
          <w:color w:val="000000"/>
          <w:sz w:val="26"/>
        </w:rPr>
        <w:t>5.3 Coding of Main Functions</w:t>
      </w:r>
    </w:p>
    <w:p>
      <w:pPr>
        <w:spacing w:after="120" w:before="120"/>
      </w:pPr>
      <w:r>
        <w:rPr>
          <w:rFonts w:ascii="Times New Roman" w:hAnsi="Times New Roman"/>
          <w:b/>
          <w:i w:val="0"/>
          <w:color w:val="000000"/>
          <w:sz w:val="24"/>
        </w:rPr>
        <w:t>5.3.1 Bronze Layer Ingestion</w:t>
      </w:r>
    </w:p>
    <w:p>
      <w:pPr>
        <w:spacing w:after="120" w:line="276" w:lineRule="auto"/>
        <w:ind w:firstLine="720"/>
        <w:jc w:val="both"/>
      </w:pPr>
      <w:r>
        <w:rPr>
          <w:rFonts w:ascii="Times New Roman" w:hAnsi="Times New Roman"/>
          <w:b w:val="0"/>
          <w:i w:val="0"/>
          <w:color w:val="000000"/>
          <w:sz w:val="24"/>
        </w:rPr>
        <w:t>The Bronze layer implements four ingestion functions, one for each data source. The ingesting_bronze_kaggle() function reads CSV files with explicit schema definitions, handling type conversions for numeric fields and filling missing values with defaults. The ingesting_bronze_benchmark() function processes JSON API responses, flattening nested structures into tabular format using Spark's built-in JSON parsing capabilities. The ingesting_bronze_logs() function parses structured log files, extracting timestamp, action type, and status fields into a unified schema. The ingesting_bronze_openalex() function queries the OpenAlex REST API with throttled requests, collecting JSON responses and normalizing them into a consistent publication metadata schema.</w:t>
      </w:r>
    </w:p>
    <w:p>
      <w:pPr>
        <w:spacing w:after="120" w:line="276" w:lineRule="auto"/>
        <w:ind w:firstLine="720"/>
        <w:jc w:val="both"/>
      </w:pPr>
      <w:r>
        <w:rPr>
          <w:rFonts w:ascii="Times New Roman" w:hAnsi="Times New Roman"/>
          <w:b w:val="0"/>
          <w:i w:val="0"/>
          <w:color w:val="000000"/>
          <w:sz w:val="24"/>
        </w:rPr>
        <w:t>All Bronze functions follow a common pattern: read source data, apply minimal schema enforcement, and write output as Parquet files with append mode. This ensures that raw data is preserved exactly as received, enabling downstream traceability and auditability. The append mode supports incremental ingestion, where new records are added without overwriting existing data.</w:t>
      </w:r>
    </w:p>
    <w:p>
      <w:pPr>
        <w:spacing w:after="120" w:before="120"/>
      </w:pPr>
      <w:r>
        <w:rPr>
          <w:rFonts w:ascii="Times New Roman" w:hAnsi="Times New Roman"/>
          <w:b/>
          <w:i w:val="0"/>
          <w:color w:val="000000"/>
          <w:sz w:val="24"/>
        </w:rPr>
        <w:t>5.3.2 Silver Layer Transformations</w:t>
      </w:r>
    </w:p>
    <w:p>
      <w:pPr>
        <w:spacing w:after="120" w:line="276" w:lineRule="auto"/>
        <w:ind w:firstLine="720"/>
        <w:jc w:val="both"/>
      </w:pPr>
      <w:r>
        <w:rPr>
          <w:rFonts w:ascii="Times New Roman" w:hAnsi="Times New Roman"/>
          <w:b w:val="0"/>
          <w:i w:val="0"/>
          <w:color w:val="000000"/>
          <w:sz w:val="24"/>
        </w:rPr>
        <w:t>The Silver layer applies cleansing, enrichment, and contextual mapping to Bronze outputs. The transforming_silver_kaggle() function handles null values by filling numeric fields with 0 and categorical fields with 'Unknown'. It deduplicates records based on primary keys and validates that all required columns are present with correct data types. The transforming_silver_benchmark() function performs similar cleansing on benchmark data, with additional handling for JSON-derived nested fields.</w:t>
      </w:r>
    </w:p>
    <w:p>
      <w:pPr>
        <w:spacing w:after="120" w:line="276" w:lineRule="auto"/>
        <w:ind w:firstLine="720"/>
        <w:jc w:val="both"/>
      </w:pPr>
      <w:r>
        <w:rPr>
          <w:rFonts w:ascii="Times New Roman" w:hAnsi="Times New Roman"/>
          <w:b w:val="0"/>
          <w:i w:val="0"/>
          <w:color w:val="000000"/>
          <w:sz w:val="24"/>
        </w:rPr>
        <w:t>The transforming_silver_openalex() function includes the NLP contextual mapping logic. This function applies rule-based keyword matching to classify research tokens into governance categories: tokens containing 'fairness', 'bias', or 'equity' are classified under the fairness category; tokens containing 'transparency', 'explainability', or 'interpretability' are classified under transparency; tokens containing 'robustness', 'reliability', or 'safety' are classified under robustness. The mapping results are stored as additional columns in the Silver output, enabling downstream filtering and analysis by governance category.</w:t>
      </w:r>
    </w:p>
    <w:p>
      <w:pPr>
        <w:spacing w:after="120" w:before="120"/>
      </w:pPr>
      <w:r>
        <w:rPr>
          <w:rFonts w:ascii="Times New Roman" w:hAnsi="Times New Roman"/>
          <w:b/>
          <w:i w:val="0"/>
          <w:color w:val="000000"/>
          <w:sz w:val="24"/>
        </w:rPr>
        <w:t>5.3.3 Gold Layer Modeling</w:t>
      </w:r>
    </w:p>
    <w:p>
      <w:pPr>
        <w:spacing w:after="120" w:line="276" w:lineRule="auto"/>
        <w:ind w:firstLine="720"/>
        <w:jc w:val="both"/>
      </w:pPr>
      <w:r>
        <w:rPr>
          <w:rFonts w:ascii="Times New Roman" w:hAnsi="Times New Roman"/>
          <w:b w:val="0"/>
          <w:i w:val="0"/>
          <w:color w:val="000000"/>
          <w:sz w:val="24"/>
        </w:rPr>
        <w:t>The Gold layer executes the machine learning pipeline and materializes the Star Schema. The modeling_gold() function assembles numeric features (Leadership_Trust_Score, Productivity_Improvement, Record_Count) into a feature vector using Spark MLlib's VectorAssembler. The feature vector is scaled using StandardScaler to ensure zero mean and unit variance. K-Means clustering (k=4) is applied to the scaled features, producing cluster assignments for each record. Logistic Regression is trained on an 80/20 train-test split with max_iter=1000, producing binary classification predictions.</w:t>
      </w:r>
    </w:p>
    <w:p>
      <w:pPr>
        <w:spacing w:after="120" w:line="276" w:lineRule="auto"/>
        <w:ind w:firstLine="720"/>
        <w:jc w:val="both"/>
      </w:pPr>
      <w:r>
        <w:rPr>
          <w:rFonts w:ascii="Times New Roman" w:hAnsi="Times New Roman"/>
          <w:b w:val="0"/>
          <w:i w:val="0"/>
          <w:color w:val="000000"/>
          <w:sz w:val="24"/>
        </w:rPr>
        <w:t>The Star Schema is materialized by joining the Gold output with dimension tables. The Fact_AI_Deployment table contains all quantitative measures and foreign keys. Dim_Organization, Dim_Agent, and Dim_Research_Context tables are generated from the deduplicated dimension values in the Gold output. All tables are written as Parquet files in the Gold output directory, ready for downstream analytical querying.</w:t>
      </w:r>
    </w:p>
    <w:p>
      <w:pPr>
        <w:spacing w:after="120" w:before="240"/>
      </w:pPr>
      <w:r>
        <w:rPr>
          <w:rFonts w:ascii="Times New Roman" w:hAnsi="Times New Roman"/>
          <w:b/>
          <w:i w:val="0"/>
          <w:color w:val="000000"/>
          <w:sz w:val="26"/>
        </w:rPr>
        <w:t>5.4 Essential Interfaces</w:t>
      </w:r>
    </w:p>
    <w:p>
      <w:pPr>
        <w:spacing w:after="120" w:line="276" w:lineRule="auto"/>
        <w:ind w:firstLine="720"/>
        <w:jc w:val="both"/>
      </w:pPr>
      <w:r>
        <w:rPr>
          <w:rFonts w:ascii="Times New Roman" w:hAnsi="Times New Roman"/>
          <w:b w:val="0"/>
          <w:i w:val="0"/>
          <w:color w:val="000000"/>
          <w:sz w:val="24"/>
        </w:rPr>
        <w:t>The pipeline execution produces several key output artifacts that serve as interfaces for downstream consumers:</w:t>
      </w:r>
    </w:p>
    <w:p>
      <w:pPr>
        <w:jc w:val="center"/>
      </w:pPr>
      <w:r>
        <w:drawing>
          <wp:inline xmlns:a="http://schemas.openxmlformats.org/drawingml/2006/main" xmlns:pic="http://schemas.openxmlformats.org/drawingml/2006/picture">
            <wp:extent cx="128016000" cy="640080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8016000" cy="64008000"/>
                    </a:xfrm>
                    <a:prstGeom prst="rect"/>
                  </pic:spPr>
                </pic:pic>
              </a:graphicData>
            </a:graphic>
          </wp:inline>
        </w:drawing>
      </w:r>
    </w:p>
    <w:p>
      <w:pPr>
        <w:spacing w:after="240"/>
        <w:jc w:val="center"/>
      </w:pPr>
      <w:r>
        <w:rPr>
          <w:rFonts w:ascii="Times New Roman" w:hAnsi="Times New Roman"/>
          <w:b w:val="0"/>
          <w:i/>
          <w:color w:val="000000"/>
          <w:sz w:val="20"/>
        </w:rPr>
        <w:t>Figure 5.4.1: Pipeline Execution Monitor Output</w:t>
      </w:r>
    </w:p>
    <w:p>
      <w:pPr>
        <w:spacing w:after="120"/>
        <w:jc w:val="both"/>
      </w:pPr>
      <w:r>
        <w:rPr>
          <w:rFonts w:ascii="Times New Roman" w:hAnsi="Times New Roman"/>
          <w:b/>
          <w:i w:val="0"/>
          <w:color w:val="000000"/>
          <w:sz w:val="24"/>
        </w:rPr>
        <w:t xml:space="preserve">Bronze Parquet Files: </w:t>
      </w:r>
      <w:r>
        <w:rPr>
          <w:rFonts w:ascii="Times New Roman" w:hAnsi="Times New Roman"/>
          <w:b w:val="0"/>
          <w:i w:val="0"/>
          <w:color w:val="000000"/>
          <w:sz w:val="24"/>
        </w:rPr>
        <w:t>Raw ingested data from all four sources, stored as Parquet files in the Bronze output directory. These files serve as the source of truth for all downstream transformations.</w:t>
      </w:r>
    </w:p>
    <w:p>
      <w:pPr>
        <w:spacing w:after="120"/>
        <w:jc w:val="both"/>
      </w:pPr>
      <w:r>
        <w:rPr>
          <w:rFonts w:ascii="Times New Roman" w:hAnsi="Times New Roman"/>
          <w:b/>
          <w:i w:val="0"/>
          <w:color w:val="000000"/>
          <w:sz w:val="24"/>
        </w:rPr>
        <w:t xml:space="preserve">Silver Parquet Files: </w:t>
      </w:r>
      <w:r>
        <w:rPr>
          <w:rFonts w:ascii="Times New Roman" w:hAnsi="Times New Roman"/>
          <w:b w:val="0"/>
          <w:i w:val="0"/>
          <w:color w:val="000000"/>
          <w:sz w:val="24"/>
        </w:rPr>
        <w:t>Cleansed and enriched data with NLP contextual mapping. These files represent the analytical-ready dataset and can be queried independently of the Gold layer.</w:t>
      </w:r>
    </w:p>
    <w:p>
      <w:pPr>
        <w:spacing w:after="120"/>
        <w:jc w:val="both"/>
      </w:pPr>
      <w:r>
        <w:rPr>
          <w:rFonts w:ascii="Times New Roman" w:hAnsi="Times New Roman"/>
          <w:b/>
          <w:i w:val="0"/>
          <w:color w:val="000000"/>
          <w:sz w:val="24"/>
        </w:rPr>
        <w:t xml:space="preserve">Gold Star Schema: </w:t>
      </w:r>
      <w:r>
        <w:rPr>
          <w:rFonts w:ascii="Times New Roman" w:hAnsi="Times New Roman"/>
          <w:b w:val="0"/>
          <w:i w:val="0"/>
          <w:color w:val="000000"/>
          <w:sz w:val="24"/>
        </w:rPr>
        <w:t>Fact and dimension tables materialized as Parquet files. The fact table (Fact_AI_Deployment) contains all quantitative measures, while dimension tables provide lookup capabilities.</w:t>
      </w:r>
    </w:p>
    <w:p>
      <w:pPr>
        <w:spacing w:after="120"/>
        <w:jc w:val="both"/>
      </w:pPr>
      <w:r>
        <w:rPr>
          <w:rFonts w:ascii="Times New Roman" w:hAnsi="Times New Roman"/>
          <w:b/>
          <w:i w:val="0"/>
          <w:color w:val="000000"/>
          <w:sz w:val="24"/>
        </w:rPr>
        <w:t xml:space="preserve">ML Model Artifacts: </w:t>
      </w:r>
      <w:r>
        <w:rPr>
          <w:rFonts w:ascii="Times New Roman" w:hAnsi="Times New Roman"/>
          <w:b w:val="0"/>
          <w:i w:val="0"/>
          <w:color w:val="000000"/>
          <w:sz w:val="24"/>
        </w:rPr>
        <w:t>Trained K-Means and Logistic Regression models exported as Spark ML pipeline stages. These artifacts can be loaded for prediction on new data without retraining.</w:t>
      </w:r>
    </w:p>
    <w:p>
      <w:pPr>
        <w:spacing w:after="120"/>
        <w:jc w:val="both"/>
      </w:pPr>
      <w:r>
        <w:rPr>
          <w:rFonts w:ascii="Times New Roman" w:hAnsi="Times New Roman"/>
          <w:b/>
          <w:i w:val="0"/>
          <w:color w:val="000000"/>
          <w:sz w:val="24"/>
        </w:rPr>
        <w:t xml:space="preserve">Test Reports: </w:t>
      </w:r>
      <w:r>
        <w:rPr>
          <w:rFonts w:ascii="Times New Roman" w:hAnsi="Times New Roman"/>
          <w:b w:val="0"/>
          <w:i w:val="0"/>
          <w:color w:val="000000"/>
          <w:sz w:val="24"/>
        </w:rPr>
        <w:t>Automated test results covering schema validation, null assertions, row counts, and model artifact verification. Test reports are printed to stdout and can be captured for CI/CD integration.</w:t>
      </w:r>
    </w:p>
    <w:p>
      <w:pPr>
        <w:spacing w:after="120" w:before="240"/>
      </w:pPr>
      <w:r>
        <w:rPr>
          <w:rFonts w:ascii="Times New Roman" w:hAnsi="Times New Roman"/>
          <w:b/>
          <w:i w:val="0"/>
          <w:color w:val="000000"/>
          <w:sz w:val="26"/>
        </w:rPr>
        <w:t>5.5 Testing</w:t>
      </w:r>
    </w:p>
    <w:p>
      <w:pPr>
        <w:spacing w:after="120" w:line="276" w:lineRule="auto"/>
        <w:ind w:firstLine="720"/>
        <w:jc w:val="both"/>
      </w:pPr>
      <w:r>
        <w:rPr>
          <w:rFonts w:ascii="Times New Roman" w:hAnsi="Times New Roman"/>
          <w:b w:val="0"/>
          <w:i w:val="0"/>
          <w:color w:val="000000"/>
          <w:sz w:val="24"/>
        </w:rPr>
        <w:t>The automated test suite consists of four validation modules, each targeting a specific aspect of pipeline correctness:</w:t>
      </w:r>
    </w:p>
    <w:p>
      <w:pPr>
        <w:jc w:val="center"/>
      </w:pPr>
      <w:r>
        <w:drawing>
          <wp:inline xmlns:a="http://schemas.openxmlformats.org/drawingml/2006/main" xmlns:pic="http://schemas.openxmlformats.org/drawingml/2006/picture">
            <wp:extent cx="128016000" cy="640080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8016000" cy="64008000"/>
                    </a:xfrm>
                    <a:prstGeom prst="rect"/>
                  </pic:spPr>
                </pic:pic>
              </a:graphicData>
            </a:graphic>
          </wp:inline>
        </w:drawing>
      </w:r>
    </w:p>
    <w:p>
      <w:pPr>
        <w:spacing w:after="240"/>
        <w:jc w:val="center"/>
      </w:pPr>
      <w:r>
        <w:rPr>
          <w:rFonts w:ascii="Times New Roman" w:hAnsi="Times New Roman"/>
          <w:b w:val="0"/>
          <w:i/>
          <w:color w:val="000000"/>
          <w:sz w:val="20"/>
        </w:rPr>
        <w:t>Figure 5.4.2: K-Means Clustering Visualization</w:t>
      </w:r>
    </w:p>
    <w:tbl>
      <w:tblPr>
        <w:tblStyle w:val="LightGrid-Accent1"/>
        <w:tblW w:type="auto" w:w="0"/>
        <w:tblLook w:firstColumn="1" w:firstRow="1" w:lastColumn="0" w:lastRow="0" w:noHBand="0" w:noVBand="1" w:val="04A0"/>
      </w:tblPr>
      <w:tblGrid>
        <w:gridCol w:w="3005"/>
        <w:gridCol w:w="3005"/>
        <w:gridCol w:w="3005"/>
      </w:tblGrid>
      <w:tr>
        <w:tc>
          <w:tcPr>
            <w:tcW w:type="dxa" w:w="3005"/>
          </w:tcPr>
          <w:p>
            <w:pPr>
              <w:jc w:val="center"/>
            </w:pPr>
            <w:r>
              <w:rPr>
                <w:b/>
                <w:sz w:val="22"/>
              </w:rPr>
              <w:t>Test</w:t>
            </w:r>
          </w:p>
        </w:tc>
        <w:tc>
          <w:tcPr>
            <w:tcW w:type="dxa" w:w="3005"/>
          </w:tcPr>
          <w:p>
            <w:pPr>
              <w:jc w:val="center"/>
            </w:pPr>
            <w:r>
              <w:rPr>
                <w:b/>
                <w:sz w:val="22"/>
              </w:rPr>
              <w:t>Result</w:t>
            </w:r>
          </w:p>
        </w:tc>
        <w:tc>
          <w:tcPr>
            <w:tcW w:type="dxa" w:w="3005"/>
          </w:tcPr>
          <w:p>
            <w:pPr>
              <w:jc w:val="center"/>
            </w:pPr>
            <w:r>
              <w:rPr>
                <w:b/>
                <w:sz w:val="22"/>
              </w:rPr>
              <w:t>Details</w:t>
            </w:r>
          </w:p>
        </w:tc>
      </w:tr>
      <w:tr>
        <w:tc>
          <w:tcPr>
            <w:tcW w:type="dxa" w:w="3005"/>
          </w:tcPr>
          <w:p>
            <w:r>
              <w:rPr>
                <w:sz w:val="20"/>
              </w:rPr>
              <w:t>Schema Test</w:t>
            </w:r>
          </w:p>
        </w:tc>
        <w:tc>
          <w:tcPr>
            <w:tcW w:type="dxa" w:w="3005"/>
          </w:tcPr>
          <w:p>
            <w:r>
              <w:rPr>
                <w:sz w:val="20"/>
              </w:rPr>
              <w:t>PASS</w:t>
            </w:r>
          </w:p>
        </w:tc>
        <w:tc>
          <w:tcPr>
            <w:tcW w:type="dxa" w:w="3005"/>
          </w:tcPr>
          <w:p>
            <w:r>
              <w:rPr>
                <w:sz w:val="20"/>
              </w:rPr>
              <w:t>Output tables contain all expected columns with correct data types. Verified: Fact_AI_Deployment (8 columns), Dim_Organization (3 columns), Dim_Agent (3 columns), Dim_Research_Context (3 columns).</w:t>
            </w:r>
          </w:p>
        </w:tc>
      </w:tr>
      <w:tr>
        <w:tc>
          <w:tcPr>
            <w:tcW w:type="dxa" w:w="3005"/>
          </w:tcPr>
          <w:p>
            <w:r>
              <w:rPr>
                <w:sz w:val="20"/>
              </w:rPr>
              <w:t>Null Test</w:t>
            </w:r>
          </w:p>
        </w:tc>
        <w:tc>
          <w:tcPr>
            <w:tcW w:type="dxa" w:w="3005"/>
          </w:tcPr>
          <w:p>
            <w:r>
              <w:rPr>
                <w:sz w:val="20"/>
              </w:rPr>
              <w:t>PASS</w:t>
            </w:r>
          </w:p>
        </w:tc>
        <w:tc>
          <w:tcPr>
            <w:tcW w:type="dxa" w:w="3005"/>
          </w:tcPr>
          <w:p>
            <w:r>
              <w:rPr>
                <w:sz w:val="20"/>
              </w:rPr>
              <w:t>Critical fields (primary keys, foreign keys, metric values) contain zero null values. Verified: deployment_id, org_id, agent_id, trust_score columns are null-free.</w:t>
            </w:r>
          </w:p>
        </w:tc>
      </w:tr>
      <w:tr>
        <w:tc>
          <w:tcPr>
            <w:tcW w:type="dxa" w:w="3005"/>
          </w:tcPr>
          <w:p>
            <w:r>
              <w:rPr>
                <w:sz w:val="20"/>
              </w:rPr>
              <w:t>Row Count Test</w:t>
            </w:r>
          </w:p>
        </w:tc>
        <w:tc>
          <w:tcPr>
            <w:tcW w:type="dxa" w:w="3005"/>
          </w:tcPr>
          <w:p>
            <w:r>
              <w:rPr>
                <w:sz w:val="20"/>
              </w:rPr>
              <w:t>PASS</w:t>
            </w:r>
          </w:p>
        </w:tc>
        <w:tc>
          <w:tcPr>
            <w:tcW w:type="dxa" w:w="3005"/>
          </w:tcPr>
          <w:p>
            <w:r>
              <w:rPr>
                <w:sz w:val="20"/>
              </w:rPr>
              <w:t>Output record counts fall within expected ranges. Bronze: ~7,000 records (4 sources). Silver: ~6,800 records (after dedup). Gold: ~6,800 records (fact table) + dimension records.</w:t>
            </w:r>
          </w:p>
        </w:tc>
      </w:tr>
      <w:tr>
        <w:tc>
          <w:tcPr>
            <w:tcW w:type="dxa" w:w="3005"/>
          </w:tcPr>
          <w:p>
            <w:r>
              <w:rPr>
                <w:sz w:val="20"/>
              </w:rPr>
              <w:t>Model Artifact Test</w:t>
            </w:r>
          </w:p>
        </w:tc>
        <w:tc>
          <w:tcPr>
            <w:tcW w:type="dxa" w:w="3005"/>
          </w:tcPr>
          <w:p>
            <w:r>
              <w:rPr>
                <w:sz w:val="20"/>
              </w:rPr>
              <w:t>PASS</w:t>
            </w:r>
          </w:p>
        </w:tc>
        <w:tc>
          <w:tcPr>
            <w:tcW w:type="dxa" w:w="3005"/>
          </w:tcPr>
          <w:p>
            <w:r>
              <w:rPr>
                <w:sz w:val="20"/>
              </w:rPr>
              <w:t>K-Means centroids (4 clusters, 3 features) and Logistic Regression coefficients (3 features) exported correctly. Model re-loading verified.</w:t>
            </w:r>
          </w:p>
        </w:tc>
      </w:tr>
    </w:tbl>
    <w:p>
      <w:pPr>
        <w:spacing w:after="120" w:line="276" w:lineRule="auto"/>
        <w:ind w:firstLine="720"/>
        <w:jc w:val="both"/>
      </w:pPr>
      <w:r>
        <w:rPr>
          <w:rFonts w:ascii="Times New Roman" w:hAnsi="Times New Roman"/>
          <w:b w:val="0"/>
          <w:i w:val="0"/>
          <w:color w:val="000000"/>
          <w:sz w:val="24"/>
        </w:rPr>
      </w:r>
    </w:p>
    <w:p>
      <w:pPr>
        <w:spacing w:after="120" w:line="276" w:lineRule="auto"/>
        <w:ind w:firstLine="720"/>
        <w:jc w:val="both"/>
      </w:pPr>
      <w:r>
        <w:rPr>
          <w:rFonts w:ascii="Times New Roman" w:hAnsi="Times New Roman"/>
          <w:b w:val="0"/>
          <w:i w:val="0"/>
          <w:color w:val="000000"/>
          <w:sz w:val="24"/>
        </w:rPr>
        <w:t>Model performance metrics are summarized as follows:</w:t>
      </w:r>
    </w:p>
    <w:tbl>
      <w:tblPr>
        <w:tblStyle w:val="LightGrid-Accent1"/>
        <w:tblW w:type="auto" w:w="0"/>
        <w:tblLook w:firstColumn="1" w:firstRow="1" w:lastColumn="0" w:lastRow="0" w:noHBand="0" w:noVBand="1" w:val="04A0"/>
      </w:tblPr>
      <w:tblGrid>
        <w:gridCol w:w="4507"/>
        <w:gridCol w:w="4507"/>
      </w:tblGrid>
      <w:tr>
        <w:tc>
          <w:tcPr>
            <w:tcW w:type="dxa" w:w="4507"/>
          </w:tcPr>
          <w:p>
            <w:pPr>
              <w:jc w:val="center"/>
            </w:pPr>
            <w:r>
              <w:rPr>
                <w:b/>
                <w:sz w:val="22"/>
              </w:rPr>
              <w:t>Metric</w:t>
            </w:r>
          </w:p>
        </w:tc>
        <w:tc>
          <w:tcPr>
            <w:tcW w:type="dxa" w:w="4507"/>
          </w:tcPr>
          <w:p>
            <w:pPr>
              <w:jc w:val="center"/>
            </w:pPr>
            <w:r>
              <w:rPr>
                <w:b/>
                <w:sz w:val="22"/>
              </w:rPr>
              <w:t>Value</w:t>
            </w:r>
          </w:p>
        </w:tc>
      </w:tr>
      <w:tr>
        <w:tc>
          <w:tcPr>
            <w:tcW w:type="dxa" w:w="4507"/>
          </w:tcPr>
          <w:p>
            <w:r>
              <w:rPr>
                <w:sz w:val="22"/>
              </w:rPr>
              <w:t>Accuracy</w:t>
            </w:r>
          </w:p>
        </w:tc>
        <w:tc>
          <w:tcPr>
            <w:tcW w:type="dxa" w:w="4507"/>
          </w:tcPr>
          <w:p>
            <w:r>
              <w:rPr>
                <w:sz w:val="22"/>
              </w:rPr>
              <w:t>55.44%</w:t>
            </w:r>
          </w:p>
        </w:tc>
      </w:tr>
      <w:tr>
        <w:tc>
          <w:tcPr>
            <w:tcW w:type="dxa" w:w="4507"/>
          </w:tcPr>
          <w:p>
            <w:r>
              <w:rPr>
                <w:sz w:val="22"/>
              </w:rPr>
              <w:t>F1 Score</w:t>
            </w:r>
          </w:p>
        </w:tc>
        <w:tc>
          <w:tcPr>
            <w:tcW w:type="dxa" w:w="4507"/>
          </w:tcPr>
          <w:p>
            <w:r>
              <w:rPr>
                <w:sz w:val="22"/>
              </w:rPr>
              <w:t>46.59%</w:t>
            </w:r>
          </w:p>
        </w:tc>
      </w:tr>
      <w:tr>
        <w:tc>
          <w:tcPr>
            <w:tcW w:type="dxa" w:w="4507"/>
          </w:tcPr>
          <w:p>
            <w:r>
              <w:rPr>
                <w:sz w:val="22"/>
              </w:rPr>
              <w:t>Precision</w:t>
            </w:r>
          </w:p>
        </w:tc>
        <w:tc>
          <w:tcPr>
            <w:tcW w:type="dxa" w:w="4507"/>
          </w:tcPr>
          <w:p>
            <w:r>
              <w:rPr>
                <w:sz w:val="22"/>
              </w:rPr>
              <w:t>40.34%</w:t>
            </w:r>
          </w:p>
        </w:tc>
      </w:tr>
      <w:tr>
        <w:tc>
          <w:tcPr>
            <w:tcW w:type="dxa" w:w="4507"/>
          </w:tcPr>
          <w:p>
            <w:r>
              <w:rPr>
                <w:sz w:val="22"/>
              </w:rPr>
              <w:t>Recall</w:t>
            </w:r>
          </w:p>
        </w:tc>
        <w:tc>
          <w:tcPr>
            <w:tcW w:type="dxa" w:w="4507"/>
          </w:tcPr>
          <w:p>
            <w:r>
              <w:rPr>
                <w:sz w:val="22"/>
              </w:rPr>
              <w:t>55.44%</w:t>
            </w:r>
          </w:p>
        </w:tc>
      </w:tr>
      <w:tr>
        <w:tc>
          <w:tcPr>
            <w:tcW w:type="dxa" w:w="4507"/>
          </w:tcPr>
          <w:p>
            <w:r>
              <w:rPr>
                <w:sz w:val="22"/>
              </w:rPr>
              <w:t>Silhouette Score (K-Means)</w:t>
            </w:r>
          </w:p>
        </w:tc>
        <w:tc>
          <w:tcPr>
            <w:tcW w:type="dxa" w:w="4507"/>
          </w:tcPr>
          <w:p>
            <w:r>
              <w:rPr>
                <w:sz w:val="22"/>
              </w:rPr>
              <w:t>0.5276</w:t>
            </w:r>
          </w:p>
        </w:tc>
      </w:tr>
    </w:tbl>
    <w:p>
      <w:pPr>
        <w:spacing w:after="120" w:line="276" w:lineRule="auto"/>
        <w:ind w:firstLine="720"/>
        <w:jc w:val="both"/>
      </w:pPr>
      <w:r>
        <w:rPr>
          <w:rFonts w:ascii="Times New Roman" w:hAnsi="Times New Roman"/>
          <w:b w:val="0"/>
          <w:i w:val="0"/>
          <w:color w:val="000000"/>
          <w:sz w:val="24"/>
        </w:rPr>
      </w:r>
    </w:p>
    <w:p>
      <w:pPr>
        <w:spacing w:after="120" w:line="276" w:lineRule="auto"/>
        <w:ind w:firstLine="720"/>
        <w:jc w:val="both"/>
      </w:pPr>
      <w:r>
        <w:rPr>
          <w:rFonts w:ascii="Times New Roman" w:hAnsi="Times New Roman"/>
          <w:b w:val="0"/>
          <w:i w:val="0"/>
          <w:color w:val="000000"/>
          <w:sz w:val="24"/>
        </w:rPr>
        <w:t>The moderate Silhouette Score (0.5276) indicates that the four clusters have reasonable separation, though some overlap exists between deployment profiles. The Logistic Regression accuracy (55.44%) is expected given the small dataset size and limited feature set. These metrics serve as baselines for future model improvements with larger datasets and additional features.</w:t>
      </w:r>
    </w:p>
    <w:p>
      <w:pPr>
        <w:spacing w:after="120" w:before="240"/>
      </w:pPr>
      <w:r>
        <w:rPr>
          <w:rFonts w:ascii="Times New Roman" w:hAnsi="Times New Roman"/>
          <w:b/>
          <w:i w:val="0"/>
          <w:color w:val="000000"/>
          <w:sz w:val="26"/>
        </w:rPr>
        <w:t>5.6 Summary</w:t>
      </w:r>
    </w:p>
    <w:p>
      <w:pPr>
        <w:spacing w:after="120" w:line="276" w:lineRule="auto"/>
        <w:ind w:firstLine="720"/>
        <w:jc w:val="both"/>
      </w:pPr>
      <w:r>
        <w:rPr>
          <w:rFonts w:ascii="Times New Roman" w:hAnsi="Times New Roman"/>
          <w:b w:val="0"/>
          <w:i w:val="0"/>
          <w:color w:val="000000"/>
          <w:sz w:val="24"/>
        </w:rPr>
        <w:t>This chapter detailed the implementation of the data engineering pipeline across all Medallion layers. The Bronze layer ingests four heterogeneous sources, the Silver layer applies cleansing and NLP mapping, and the Gold layer executes ML models and materializes the Star Schema. Automated testing validated schema correctness, null handling, row counts, and model artifacts. All four test suites passed, and the pipeline completed execution in 104.4 seconds on a 1.9 GB RAM VPS. The results demonstrate that a lightweight Spark-based pipeline can effectively unify disparate AI governance signals into structured, actionable metrics.</w:t>
      </w:r>
    </w:p>
    <w:p>
      <w:r>
        <w:br w:type="page"/>
      </w:r>
    </w:p>
    <w:p>
      <w:pPr>
        <w:spacing w:after="240" w:before="480"/>
        <w:jc w:val="center"/>
      </w:pPr>
      <w:r>
        <w:rPr>
          <w:rFonts w:ascii="Times New Roman" w:hAnsi="Times New Roman"/>
          <w:b/>
          <w:i w:val="0"/>
          <w:color w:val="000000"/>
          <w:sz w:val="32"/>
        </w:rPr>
        <w:t>REFERENCES</w:t>
      </w:r>
    </w:p>
    <w:p>
      <w:pPr>
        <w:spacing w:after="80"/>
        <w:ind w:left="720" w:hanging="720"/>
      </w:pPr>
      <w:r>
        <w:rPr>
          <w:rFonts w:ascii="Times New Roman" w:hAnsi="Times New Roman"/>
          <w:b w:val="0"/>
          <w:i w:val="0"/>
          <w:color w:val="000000"/>
          <w:sz w:val="22"/>
        </w:rPr>
        <w:t>[1] Armbrust, M., Xin, R., Lian, C., Huai, Y., Liu, D., Bradley, J. K., ... &amp; Zaharia, M. (2021). Lakehouse: A new generation of open platforms that unify data warehousing and advanced analytics. Proceedings of CIDR 2021.</w:t>
      </w:r>
    </w:p>
    <w:p>
      <w:pPr>
        <w:spacing w:after="80"/>
        <w:ind w:left="720" w:hanging="720"/>
      </w:pPr>
      <w:r>
        <w:rPr>
          <w:rFonts w:ascii="Times New Roman" w:hAnsi="Times New Roman"/>
          <w:b w:val="0"/>
          <w:i w:val="0"/>
          <w:color w:val="000000"/>
          <w:sz w:val="22"/>
        </w:rPr>
        <w:t>[2] Zaharia, M., Xin, R. S., Wendell, P., Das, T., Armbrust, M., Dave, A., ... &amp; Stoica, I. (2016). Apache Spark: A unified engine for big data processing. Communications of the ACM, 59(11), 56–65.</w:t>
      </w:r>
    </w:p>
    <w:p>
      <w:pPr>
        <w:spacing w:after="80"/>
        <w:ind w:left="720" w:hanging="720"/>
      </w:pPr>
      <w:r>
        <w:rPr>
          <w:rFonts w:ascii="Times New Roman" w:hAnsi="Times New Roman"/>
          <w:b w:val="0"/>
          <w:i w:val="0"/>
          <w:color w:val="000000"/>
          <w:sz w:val="22"/>
        </w:rPr>
        <w:t>[3] Priem, J., Piwowar, H., &amp; Orr, R. (2022). OpenAlex: A fully-open index of scholarly works, authors, venues, institutions and concepts. arXiv preprint arXiv:2205.01833.</w:t>
      </w:r>
    </w:p>
    <w:p>
      <w:pPr>
        <w:spacing w:after="80"/>
        <w:ind w:left="720" w:hanging="720"/>
      </w:pPr>
      <w:r>
        <w:rPr>
          <w:rFonts w:ascii="Times New Roman" w:hAnsi="Times New Roman"/>
          <w:b w:val="0"/>
          <w:i w:val="0"/>
          <w:color w:val="000000"/>
          <w:sz w:val="22"/>
        </w:rPr>
        <w:t>[4] Sculley, D., Holt, G., Golovin, D., Davydov, E., Phillips, T., Ebner, D., ... &amp; Ratzka, T. (2015). Hidden technical debt in machine learning systems. Advances in Neural Information Processing Systems, 28.</w:t>
      </w:r>
    </w:p>
    <w:p>
      <w:pPr>
        <w:spacing w:after="80"/>
        <w:ind w:left="720" w:hanging="720"/>
      </w:pPr>
      <w:r>
        <w:rPr>
          <w:rFonts w:ascii="Times New Roman" w:hAnsi="Times New Roman"/>
          <w:b w:val="0"/>
          <w:i w:val="0"/>
          <w:color w:val="000000"/>
          <w:sz w:val="22"/>
        </w:rPr>
        <w:t>[5] Bolon-Canedo, V., Sánchez-Maroño, N., &amp; Alonso-Betanzos, A. (2013). A review of feature selection methods on synthetic data. Knowledge and Information Systems, 34(3), 487–516.</w:t>
      </w:r>
    </w:p>
    <w:p>
      <w:pPr>
        <w:spacing w:after="80"/>
        <w:ind w:left="720" w:hanging="720"/>
      </w:pPr>
      <w:r>
        <w:rPr>
          <w:rFonts w:ascii="Times New Roman" w:hAnsi="Times New Roman"/>
          <w:b w:val="0"/>
          <w:i w:val="0"/>
          <w:color w:val="000000"/>
          <w:sz w:val="22"/>
        </w:rPr>
        <w:t>[6] Kimball, R., &amp; Ross, M. (2013). The Data Warehouse Toolkit: The Definitive Guide to Dimensional Modeling (3rd ed.). John Wiley &amp; Sons.</w:t>
      </w:r>
    </w:p>
    <w:p>
      <w:pPr>
        <w:spacing w:after="80"/>
        <w:ind w:left="720" w:hanging="720"/>
      </w:pPr>
      <w:r>
        <w:rPr>
          <w:rFonts w:ascii="Times New Roman" w:hAnsi="Times New Roman"/>
          <w:b w:val="0"/>
          <w:i w:val="0"/>
          <w:color w:val="000000"/>
          <w:sz w:val="22"/>
        </w:rPr>
        <w:t>[7] Inmon, W. H. (2005). Building the Data Warehouse (4th ed.). John Wiley &amp; Sons.</w:t>
      </w:r>
    </w:p>
    <w:p>
      <w:pPr>
        <w:spacing w:after="80"/>
        <w:ind w:left="720" w:hanging="720"/>
      </w:pPr>
      <w:r>
        <w:rPr>
          <w:rFonts w:ascii="Times New Roman" w:hAnsi="Times New Roman"/>
          <w:b w:val="0"/>
          <w:i w:val="0"/>
          <w:color w:val="000000"/>
          <w:sz w:val="22"/>
        </w:rPr>
        <w:t>[8] Chamberlin, D. D., &amp; Boyce, R. F. (1974). SEQUEL: A structured English query language. Proceedings of the 1974 ACM SIGFIDET Workshop on Data Description, Access and Control, 249–264.</w:t>
      </w:r>
    </w:p>
    <w:p>
      <w:pPr>
        <w:spacing w:after="80"/>
        <w:ind w:left="720" w:hanging="720"/>
      </w:pPr>
      <w:r>
        <w:rPr>
          <w:rFonts w:ascii="Times New Roman" w:hAnsi="Times New Roman"/>
          <w:b w:val="0"/>
          <w:i w:val="0"/>
          <w:color w:val="000000"/>
          <w:sz w:val="22"/>
        </w:rPr>
        <w:t>[9] Lloyd, S. (1982). Least squares quantization in PCM. IEEE Transactions on Information Theory, 28(2), 129–137.</w:t>
      </w:r>
    </w:p>
    <w:p>
      <w:pPr>
        <w:spacing w:after="80"/>
        <w:ind w:left="720" w:hanging="720"/>
      </w:pPr>
      <w:r>
        <w:rPr>
          <w:rFonts w:ascii="Times New Roman" w:hAnsi="Times New Roman"/>
          <w:b w:val="0"/>
          <w:i w:val="0"/>
          <w:color w:val="000000"/>
          <w:sz w:val="22"/>
        </w:rPr>
        <w:t>[10] Cox, D. R. (1958). The regression analysis of binary sequences. Journal of the Royal Statistical Society: Series B, 20(2), 215–242.</w:t>
      </w:r>
    </w:p>
    <w:p>
      <w:pPr>
        <w:spacing w:after="80"/>
        <w:ind w:left="720" w:hanging="720"/>
      </w:pPr>
      <w:r>
        <w:rPr>
          <w:rFonts w:ascii="Times New Roman" w:hAnsi="Times New Roman"/>
          <w:b w:val="0"/>
          <w:i w:val="0"/>
          <w:color w:val="000000"/>
          <w:sz w:val="22"/>
        </w:rPr>
        <w:t>[11] Dean, J., &amp; Ghemawat, S. (2008). MapReduce: Simplified data processing on large clusters. Communications of the ACM, 51(1), 107–113.</w:t>
      </w:r>
    </w:p>
    <w:p>
      <w:pPr>
        <w:spacing w:after="80"/>
        <w:ind w:left="720" w:hanging="720"/>
      </w:pPr>
      <w:r>
        <w:rPr>
          <w:rFonts w:ascii="Times New Roman" w:hAnsi="Times New Roman"/>
          <w:b w:val="0"/>
          <w:i w:val="0"/>
          <w:color w:val="000000"/>
          <w:sz w:val="22"/>
        </w:rPr>
        <w:t>[12] Shvachko, K., Kuang, H., Radia, S., &amp; Chansler, R. (2010). The Hadoop distributed file system. Proceedings of the 2010 IEEE 26th Symposium on Mass Storage Systems and Technologies, 1–10.</w:t>
      </w:r>
    </w:p>
    <w:p>
      <w:r>
        <w:br w:type="page"/>
      </w:r>
    </w:p>
    <w:p>
      <w:pPr>
        <w:spacing w:after="240" w:before="480"/>
        <w:jc w:val="center"/>
      </w:pPr>
      <w:r>
        <w:rPr>
          <w:rFonts w:ascii="Times New Roman" w:hAnsi="Times New Roman"/>
          <w:b/>
          <w:i w:val="0"/>
          <w:color w:val="000000"/>
          <w:sz w:val="32"/>
        </w:rPr>
        <w:t>APPENDIX A: AI TOOL USAGE LOG</w:t>
      </w:r>
    </w:p>
    <w:p>
      <w:pPr>
        <w:spacing w:after="120" w:before="240"/>
      </w:pPr>
      <w:r>
        <w:rPr>
          <w:rFonts w:ascii="Times New Roman" w:hAnsi="Times New Roman"/>
          <w:b/>
          <w:i w:val="0"/>
          <w:color w:val="000000"/>
          <w:sz w:val="26"/>
        </w:rPr>
        <w:t>A.1 AI Tools Used</w:t>
      </w:r>
    </w:p>
    <w:p>
      <w:pPr>
        <w:spacing w:after="120" w:line="276" w:lineRule="auto"/>
        <w:ind w:firstLine="720"/>
        <w:jc w:val="both"/>
      </w:pPr>
      <w:r>
        <w:rPr>
          <w:rFonts w:ascii="Times New Roman" w:hAnsi="Times New Roman"/>
          <w:b w:val="0"/>
          <w:i w:val="0"/>
          <w:color w:val="000000"/>
          <w:sz w:val="24"/>
        </w:rPr>
        <w:t>The following AI tools were utilized throughout the development of this project. Each tool served a specific purpose in the pipeline design, implementation, and documentation process.</w:t>
      </w:r>
    </w:p>
    <w:p>
      <w:pPr>
        <w:spacing w:after="120"/>
      </w:pPr>
      <w:r>
        <w:rPr>
          <w:rFonts w:ascii="Times New Roman" w:hAnsi="Times New Roman"/>
          <w:b/>
          <w:i w:val="0"/>
          <w:color w:val="000000"/>
          <w:sz w:val="22"/>
        </w:rPr>
        <w:t xml:space="preserve">Hermes Agent (Nous Research): </w:t>
      </w:r>
      <w:r>
        <w:rPr>
          <w:rFonts w:ascii="Times New Roman" w:hAnsi="Times New Roman"/>
          <w:b w:val="0"/>
          <w:i w:val="0"/>
          <w:color w:val="000000"/>
          <w:sz w:val="22"/>
        </w:rPr>
        <w:t>Primary development assistant for code generation, debugging, architecture design, documentation writing, and figure generation. Used across all project phases from requirements gathering through final report production.</w:t>
      </w:r>
    </w:p>
    <w:p>
      <w:pPr>
        <w:spacing w:after="120"/>
      </w:pPr>
      <w:r>
        <w:rPr>
          <w:rFonts w:ascii="Times New Roman" w:hAnsi="Times New Roman"/>
          <w:b/>
          <w:i w:val="0"/>
          <w:color w:val="000000"/>
          <w:sz w:val="22"/>
        </w:rPr>
        <w:t xml:space="preserve">GitHub Copilot: </w:t>
      </w:r>
      <w:r>
        <w:rPr>
          <w:rFonts w:ascii="Times New Roman" w:hAnsi="Times New Roman"/>
          <w:b w:val="0"/>
          <w:i w:val="0"/>
          <w:color w:val="000000"/>
          <w:sz w:val="22"/>
        </w:rPr>
        <w:t>Code completion and inline suggestions during PySpark pipeline development. Assisted with boilerplate code, function signatures, and common API patterns.</w:t>
      </w:r>
    </w:p>
    <w:p>
      <w:pPr>
        <w:spacing w:after="120"/>
      </w:pPr>
      <w:r>
        <w:rPr>
          <w:rFonts w:ascii="Times New Roman" w:hAnsi="Times New Roman"/>
          <w:b/>
          <w:i w:val="0"/>
          <w:color w:val="000000"/>
          <w:sz w:val="22"/>
        </w:rPr>
        <w:t xml:space="preserve">ChatGPT (OpenAI): </w:t>
      </w:r>
      <w:r>
        <w:rPr>
          <w:rFonts w:ascii="Times New Roman" w:hAnsi="Times New Roman"/>
          <w:b w:val="0"/>
          <w:i w:val="0"/>
          <w:color w:val="000000"/>
          <w:sz w:val="22"/>
        </w:rPr>
        <w:t>Supplementary research assistance for literature review summaries and methodology refinement. Used sparingly for fact-checking and concept clarification.</w:t>
      </w:r>
    </w:p>
    <w:p>
      <w:pPr>
        <w:spacing w:after="120" w:before="240"/>
      </w:pPr>
      <w:r>
        <w:rPr>
          <w:rFonts w:ascii="Times New Roman" w:hAnsi="Times New Roman"/>
          <w:b/>
          <w:i w:val="0"/>
          <w:color w:val="000000"/>
          <w:sz w:val="26"/>
        </w:rPr>
        <w:t>A.2 Usage Examples</w:t>
      </w:r>
    </w:p>
    <w:p>
      <w:pPr>
        <w:spacing w:after="120" w:line="276" w:lineRule="auto"/>
        <w:ind w:firstLine="720"/>
        <w:jc w:val="both"/>
      </w:pPr>
      <w:r>
        <w:rPr>
          <w:rFonts w:ascii="Times New Roman" w:hAnsi="Times New Roman"/>
          <w:b w:val="0"/>
          <w:i w:val="0"/>
          <w:color w:val="000000"/>
          <w:sz w:val="24"/>
        </w:rPr>
        <w:t>The following are representative prompts used with AI tools during the project:</w:t>
      </w:r>
    </w:p>
    <w:p>
      <w:pPr>
        <w:spacing w:after="120"/>
      </w:pPr>
      <w:r>
        <w:rPr>
          <w:rFonts w:ascii="Times New Roman" w:hAnsi="Times New Roman"/>
          <w:b/>
          <w:i w:val="0"/>
          <w:color w:val="000000"/>
          <w:sz w:val="22"/>
        </w:rPr>
        <w:t xml:space="preserve">Architecture Design: </w:t>
      </w:r>
      <w:r>
        <w:rPr>
          <w:rFonts w:ascii="Times New Roman" w:hAnsi="Times New Roman"/>
          <w:b w:val="0"/>
          <w:i w:val="0"/>
          <w:color w:val="000000"/>
          <w:sz w:val="22"/>
        </w:rPr>
        <w:t>"Design a Medallion architecture pipeline using PySpark for four heterogeneous data sources: Kaggle CSV, SeedBench JSON API, agent log CSV, and OpenAlex REST API. The pipeline should include Bronze (raw), Silver (cleansed + NLP mapping), and Gold (ML modeling + Star Schema) layers."</w:t>
      </w:r>
    </w:p>
    <w:p>
      <w:pPr>
        <w:spacing w:after="120"/>
      </w:pPr>
      <w:r>
        <w:rPr>
          <w:rFonts w:ascii="Times New Roman" w:hAnsi="Times New Roman"/>
          <w:b/>
          <w:i w:val="0"/>
          <w:color w:val="000000"/>
          <w:sz w:val="22"/>
        </w:rPr>
        <w:t xml:space="preserve">Code Generation: </w:t>
      </w:r>
      <w:r>
        <w:rPr>
          <w:rFonts w:ascii="Times New Roman" w:hAnsi="Times New Roman"/>
          <w:b w:val="0"/>
          <w:i w:val="0"/>
          <w:color w:val="000000"/>
          <w:sz w:val="22"/>
        </w:rPr>
        <w:t>"Write a PySpark function that ingests JSON API responses from OpenAlex, normalizes nested fields into a flat schema, and writes output as Parquet files. Include error handling for API timeouts and rate limiting."</w:t>
      </w:r>
    </w:p>
    <w:p>
      <w:pPr>
        <w:spacing w:after="120"/>
      </w:pPr>
      <w:r>
        <w:rPr>
          <w:rFonts w:ascii="Times New Roman" w:hAnsi="Times New Roman"/>
          <w:b/>
          <w:i w:val="0"/>
          <w:color w:val="000000"/>
          <w:sz w:val="22"/>
        </w:rPr>
        <w:t xml:space="preserve">Testing Strategy: </w:t>
      </w:r>
      <w:r>
        <w:rPr>
          <w:rFonts w:ascii="Times New Roman" w:hAnsi="Times New Roman"/>
          <w:b w:val="0"/>
          <w:i w:val="0"/>
          <w:color w:val="000000"/>
          <w:sz w:val="22"/>
        </w:rPr>
        <w:t>"Design an automated test suite for a Medallion data pipeline that validates schema conformance, null assertions, row counts, and model artifact exports. Use Python unittest framework."</w:t>
      </w:r>
    </w:p>
    <w:p>
      <w:pPr>
        <w:spacing w:after="120"/>
      </w:pPr>
      <w:r>
        <w:rPr>
          <w:rFonts w:ascii="Times New Roman" w:hAnsi="Times New Roman"/>
          <w:b/>
          <w:i w:val="0"/>
          <w:color w:val="000000"/>
          <w:sz w:val="22"/>
        </w:rPr>
        <w:t xml:space="preserve">Documentation: </w:t>
      </w:r>
      <w:r>
        <w:rPr>
          <w:rFonts w:ascii="Times New Roman" w:hAnsi="Times New Roman"/>
          <w:b w:val="0"/>
          <w:i w:val="0"/>
          <w:color w:val="000000"/>
          <w:sz w:val="22"/>
        </w:rPr>
        <w:t>"Write a literature review section comparing Data Lakehouse architecture (Armbrust et al., 2021) with traditional Data Warehouse approaches (Inmon, 2005; Kimball &amp; Ross, 2013) for an academic thesis report."</w:t>
      </w:r>
    </w:p>
    <w:p>
      <w:r>
        <w:br w:type="page"/>
      </w:r>
    </w:p>
    <w:sectPr w:rsidR="00FC693F" w:rsidRPr="0006063C" w:rsidSect="00034616">
      <w:pgSz w:w="12240" w:h="15840"/>
      <w:pgMar w:top="1613" w:right="1613" w:bottom="1613" w:left="161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