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556"/>
        <w:gridCol w:w="2783"/>
      </w:tblGrid>
      <w:tr>
        <w:trPr/>
        <w:tc>
          <w:tcPr>
            <w:tcW w:w="8556" w:type="dxa"/>
            <w:tcBorders/>
            <w:vAlign w:val="center"/>
          </w:tcPr>
          <w:p>
            <w:pPr>
              <w:pStyle w:val="TableContents"/>
              <w:bidi w:val="0"/>
              <w:spacing w:lineRule="auto" w:line="264" w:before="0" w:after="0"/>
              <w:ind w:hanging="0" w:left="0" w:right="0"/>
              <w:rPr>
                <w:b/>
                <w:caps/>
                <w:color w:val="13322B"/>
                <w:spacing w:val="0"/>
                <w:sz w:val="40"/>
              </w:rPr>
            </w:pPr>
            <w:r>
              <w:rPr>
                <w:b/>
                <w:caps/>
                <w:color w:val="13322B"/>
                <w:spacing w:val="0"/>
                <w:sz w:val="40"/>
              </w:rPr>
              <w:t>Manual Metodológico de Implementación</w:t>
            </w:r>
          </w:p>
          <w:p>
            <w:pPr>
              <w:pStyle w:val="TableContents"/>
              <w:bidi w:val="0"/>
              <w:spacing w:before="75" w:after="120"/>
              <w:ind w:hanging="0" w:left="0" w:right="0"/>
              <w:rPr>
                <w:b/>
                <w:caps/>
                <w:color w:val="C4A462"/>
                <w:spacing w:val="15"/>
                <w:sz w:val="24"/>
              </w:rPr>
            </w:pPr>
            <w:r>
              <w:rPr>
                <w:b/>
                <w:caps/>
                <w:color w:val="C4A462"/>
                <w:spacing w:val="15"/>
                <w:sz w:val="24"/>
              </w:rPr>
              <w:t>Sistema Integral de Gestión de Archivo</w:t>
            </w:r>
          </w:p>
        </w:tc>
        <w:tc>
          <w:tcPr>
            <w:tcW w:w="2783" w:type="dxa"/>
            <w:tcBorders/>
            <w:vAlign w:val="center"/>
          </w:tcPr>
          <w:p>
            <w:pPr>
              <w:pStyle w:val="TableContents"/>
              <w:bidi w:val="0"/>
              <w:spacing w:lineRule="auto" w:line="336" w:before="0" w:after="120"/>
              <w:jc w:val="right"/>
              <w:rPr/>
            </w:pPr>
            <w:r>
              <w:rPr>
                <w:rStyle w:val="Strong"/>
                <w:color w:val="718096"/>
                <w:sz w:val="18"/>
              </w:rPr>
              <w:t>ISSSTE BAJA CALIFORNIA</w:t>
            </w:r>
            <w:r>
              <w:rPr>
                <w:color w:val="718096"/>
                <w:sz w:val="18"/>
              </w:rPr>
              <w:br/>
              <w:t>Subdelegación de Administración</w:t>
              <w:br/>
              <w:t>Departamento de Recursos Humanos</w:t>
              <w:br/>
              <w:t xml:space="preserve">Versión 1.0 (2026) </w:t>
            </w:r>
          </w:p>
        </w:tc>
      </w:tr>
    </w:tbl>
    <w:p>
      <w:pPr>
        <w:pStyle w:val="Heading1"/>
        <w:bidi w:val="0"/>
        <w:jc w:val="left"/>
        <w:rPr/>
      </w:pPr>
      <w:r>
        <w:rPr/>
        <w:t>1. Introducción y Enfoque Estratégico</w:t>
      </w:r>
    </w:p>
    <w:p>
      <w:pPr>
        <w:pStyle w:val="Heading3"/>
        <w:bidi w:val="0"/>
        <w:jc w:val="left"/>
        <w:rPr/>
      </w:pPr>
      <w:r>
        <w:rPr/>
        <w:t>1.1 El Dilema Clave: ¿Ajustar el Archivo al Sistema o el Sistema al Archivo?</w:t>
      </w:r>
    </w:p>
    <w:p>
      <w:pPr>
        <w:pStyle w:val="BodyText"/>
        <w:bidi w:val="0"/>
        <w:rPr/>
      </w:pPr>
      <w:r>
        <w:rPr/>
        <w:t xml:space="preserve">Uno de los errores más comunes en la digitalización de archivos físicos es intentar ordenar y reclasificar todas las carpetas en papel antes de registrarlas en el sistema. En la práctica institucional, ese enfoque colapsa la operación diaria, genera extravíos temporales y agota el esfuerzo del personal sin mostrar avances tangibles a corto plazo. </w:t>
      </w:r>
    </w:p>
    <w:p>
      <w:pPr>
        <w:pStyle w:val="BodyText"/>
        <w:bidi w:val="0"/>
        <w:spacing w:before="0" w:after="60"/>
        <w:ind w:hanging="0" w:left="225" w:right="225"/>
        <w:rPr>
          <w:b/>
          <w:caps/>
          <w:color w:val="13322B"/>
          <w:spacing w:val="0"/>
          <w:sz w:val="20"/>
          <w:bdr w:val="single" w:sz="24" w:space="12" w:color="C4A462"/>
          <w:shd w:fill="FEFCF6" w:val="clear"/>
        </w:rPr>
      </w:pPr>
      <w:r>
        <w:rPr>
          <w:b/>
          <w:caps/>
          <w:color w:val="13322B"/>
          <w:spacing w:val="0"/>
          <w:sz w:val="20"/>
          <w:bdr w:val="single" w:sz="24" w:space="12" w:color="C4A462"/>
          <w:shd w:fill="FEFCF6" w:val="clear"/>
        </w:rPr>
        <w:t>Principio Rector Institucional</w:t>
      </w:r>
    </w:p>
    <w:p>
      <w:pPr>
        <w:pStyle w:val="BodyText"/>
        <w:bidi w:val="0"/>
        <w:spacing w:before="225" w:after="225"/>
        <w:ind w:left="225" w:right="225"/>
        <w:rPr/>
      </w:pPr>
      <w:r>
        <w:rPr>
          <w:rStyle w:val="Emphasis"/>
          <w:bdr w:val="single" w:sz="24" w:space="12" w:color="C4A462"/>
          <w:shd w:fill="FEFCF6" w:val="clear"/>
        </w:rPr>
        <w:t>"No muevas el archivo para encajarlo en el software; modela el software para que refleje la realidad física de tus gavetas, y utiliza el software para gobernar el orden."</w:t>
      </w:r>
      <w:r>
        <w:rPr>
          <w:bdr w:val="single" w:sz="24" w:space="12" w:color="C4A462"/>
          <w:shd w:fill="FEFCF6" w:val="clear"/>
        </w:rPr>
        <w:t xml:space="preserve"> 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98"/>
        <w:gridCol w:w="7313"/>
        <w:gridCol w:w="1728"/>
      </w:tblGrid>
      <w:tr>
        <w:trPr>
          <w:tblHeader w:val="true"/>
        </w:trPr>
        <w:tc>
          <w:tcPr>
            <w:tcW w:w="2298" w:type="dxa"/>
            <w:tcBorders/>
            <w:vAlign w:val="center"/>
          </w:tcPr>
          <w:p>
            <w:pPr>
              <w:pStyle w:val="TableHeading"/>
              <w:bidi w:val="0"/>
              <w:spacing w:before="0" w:after="120"/>
              <w:ind w:hanging="0" w:left="0" w:right="0"/>
              <w:rPr/>
            </w:pPr>
            <w:r>
              <w:rPr/>
              <w:t>Enfoque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TableHeading"/>
              <w:bidi w:val="0"/>
              <w:spacing w:before="0" w:after="120"/>
              <w:ind w:hanging="0" w:left="0" w:right="0"/>
              <w:rPr/>
            </w:pPr>
            <w:r>
              <w:rPr/>
              <w:t>Impacto y Consecuencias Reales</w:t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TableHeading"/>
              <w:bidi w:val="0"/>
              <w:spacing w:before="0" w:after="120"/>
              <w:jc w:val="center"/>
              <w:rPr/>
            </w:pPr>
            <w:r>
              <w:rPr/>
              <w:t>Veredicto</w:t>
            </w:r>
          </w:p>
        </w:tc>
      </w:tr>
      <w:tr>
        <w:trPr/>
        <w:tc>
          <w:tcPr>
            <w:tcW w:w="229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rPr/>
            </w:pPr>
            <w:r>
              <w:rPr>
                <w:rStyle w:val="Strong"/>
              </w:rPr>
              <w:t>Ajustar el Archivo al Sistema</w:t>
            </w:r>
            <w:r>
              <w:rPr/>
              <w:br/>
            </w:r>
            <w:r>
              <w:rPr>
                <w:color w:val="718096"/>
                <w:sz w:val="20"/>
              </w:rPr>
              <w:t>Mover y reclasificar todo en papel antes de capturar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rPr/>
            </w:pPr>
            <w:r>
              <w:rPr/>
              <w:t>Riesgo crítico. Provoca pérdida temporal de carpetas activas, estrés severo en el personal y meses de trabajo a ciegas sin resultados visibles para las autoridades.</w:t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center"/>
              <w:rPr/>
            </w:pPr>
            <w:r>
              <w:rPr/>
              <w:t>No Recomendado</w:t>
            </w:r>
          </w:p>
        </w:tc>
      </w:tr>
      <w:tr>
        <w:trPr/>
        <w:tc>
          <w:tcPr>
            <w:tcW w:w="229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rPr/>
            </w:pPr>
            <w:r>
              <w:rPr>
                <w:rStyle w:val="Strong"/>
              </w:rPr>
              <w:t>Ajustar el Sistema al Archivo</w:t>
            </w:r>
            <w:r>
              <w:rPr/>
              <w:br/>
            </w:r>
            <w:r>
              <w:rPr>
                <w:color w:val="718096"/>
                <w:sz w:val="20"/>
              </w:rPr>
              <w:t>Metodología Bottom-Up por cajón cerrado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rPr/>
            </w:pPr>
            <w:r>
              <w:rPr/>
              <w:t>Riesgo mínimo. El sistema asimila la distribución actual de los archiveros (rangos alfabéticos y directivos), asignando códigos de barras inmediatos y blindando la custodia desde el día uno.</w:t>
            </w:r>
          </w:p>
        </w:tc>
        <w:tc>
          <w:tcPr>
            <w:tcW w:w="172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center"/>
              <w:rPr/>
            </w:pPr>
            <w:r>
              <w:rPr/>
              <w:t>Recomendado</w:t>
            </w:r>
          </w:p>
        </w:tc>
      </w:tr>
    </w:tbl>
    <w:p>
      <w:pPr>
        <w:pStyle w:val="Heading1"/>
        <w:bidi w:val="0"/>
        <w:jc w:val="left"/>
        <w:rPr/>
      </w:pPr>
      <w:r>
        <w:rPr/>
        <w:t>2. Preparativos Previos (Checklist Operativo)</w:t>
      </w:r>
    </w:p>
    <w:p>
      <w:pPr>
        <w:pStyle w:val="BodyText"/>
        <w:bidi w:val="0"/>
        <w:rPr/>
      </w:pPr>
      <w:r>
        <w:rPr/>
        <w:t>Antes de iniciar formalmente las jornadas de captura en la sala de archivo, el área debe verificar los siguientes cuatro elementos: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Estación de Trabajo:</w:t>
      </w:r>
      <w:r>
        <w:rPr/>
        <w:t xml:space="preserve"> Computadora de escritorio o laptop conectada a la red local institucional con navegador moderno (Google Chrome o Microsoft Edge).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Impresora Térmica de Etiquetas:</w:t>
      </w:r>
      <w:r>
        <w:rPr/>
        <w:t xml:space="preserve"> Calibrada con rollos de etiquetas autoadhesivas estándar de archivo, verificando que la impresión de códigos de barras sea nítida y legible.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Lectores Ópticos:</w:t>
      </w:r>
      <w:r>
        <w:rPr/>
        <w:t xml:space="preserve"> Lector USB tipo pistola para la mesa de trabajo o teléfono móvil inteligente con la cámara habilitada (el sistema integra escáner autónomo sin internet).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Catálogo Inicial de Archiveros:</w:t>
      </w:r>
      <w:r>
        <w:rPr/>
        <w:t xml:space="preserve"> Registrar en el menú Sistema → Archiveros las gavetas y cajones exactamente como se encuentran rotulados hoy en día (ejemplo: Gaveta </w:t>
      </w:r>
      <w:r>
        <w:rPr>
          <w:rStyle w:val="SourceText"/>
        </w:rPr>
        <w:t>G-01</w:t>
      </w:r>
      <w:r>
        <w:rPr/>
        <w:t xml:space="preserve">, Cajones </w:t>
      </w:r>
      <w:r>
        <w:rPr>
          <w:rStyle w:val="SourceText"/>
        </w:rPr>
        <w:t>1</w:t>
      </w:r>
      <w:r>
        <w:rPr/>
        <w:t xml:space="preserve"> a </w:t>
      </w:r>
      <w:r>
        <w:rPr>
          <w:rStyle w:val="SourceText"/>
        </w:rPr>
        <w:t>4</w:t>
      </w:r>
      <w:r>
        <w:rPr/>
        <w:t xml:space="preserve"> con sus rangos </w:t>
      </w:r>
      <w:r>
        <w:rPr>
          <w:rStyle w:val="SourceText"/>
        </w:rPr>
        <w:t>A - C</w:t>
      </w:r>
      <w:r>
        <w:rPr/>
        <w:t xml:space="preserve">, </w:t>
      </w:r>
      <w:r>
        <w:rPr>
          <w:rStyle w:val="SourceText"/>
        </w:rPr>
        <w:t>D - G</w:t>
      </w:r>
      <w:r>
        <w:rPr/>
        <w:t xml:space="preserve">, etc.). </w:t>
      </w:r>
    </w:p>
    <w:p>
      <w:pPr>
        <w:pStyle w:val="Heading1"/>
        <w:bidi w:val="0"/>
        <w:jc w:val="left"/>
        <w:rPr/>
      </w:pPr>
      <w:r>
        <w:rPr/>
        <w:t>3. Metodología en Tres Fases de Adopción</w:t>
      </w:r>
    </w:p>
    <w:p>
      <w:pPr>
        <w:pStyle w:val="BodyText"/>
        <w:bidi w:val="0"/>
        <w:spacing w:before="0" w:after="150"/>
        <w:ind w:hanging="0" w:left="225" w:right="225"/>
        <w:rPr>
          <w:b/>
          <w:color w:val="C4A462"/>
          <w:sz w:val="28"/>
          <w:bdr w:val="single" w:sz="2" w:space="11" w:color="E2E8F0"/>
          <w:shd w:fill="F8FAFC" w:val="clear"/>
        </w:rPr>
      </w:pPr>
      <w:r>
        <w:rPr>
          <w:b/>
          <w:color w:val="C4A462"/>
          <w:sz w:val="28"/>
          <w:bdr w:val="single" w:sz="2" w:space="11" w:color="E2E8F0"/>
          <w:shd w:fill="F8FAFC" w:val="clear"/>
        </w:rPr>
        <w:t>1</w:t>
      </w:r>
    </w:p>
    <w:p>
      <w:pPr>
        <w:pStyle w:val="BodyText"/>
        <w:bidi w:val="0"/>
        <w:spacing w:before="0" w:after="150"/>
        <w:ind w:hanging="0" w:left="225" w:right="225"/>
        <w:rPr/>
      </w:pPr>
      <w:r>
        <w:rPr>
          <w:rStyle w:val="Strong"/>
          <w:bdr w:val="single" w:sz="2" w:space="11" w:color="E2E8F0"/>
          <w:shd w:fill="F8FAFC" w:val="clear"/>
        </w:rPr>
        <w:t>Fase 1: Censo y Etiquetado Masivo ("Cajón por Cajón")</w:t>
      </w:r>
      <w:r>
        <w:rPr>
          <w:bdr w:val="single" w:sz="2" w:space="11" w:color="E2E8F0"/>
          <w:shd w:fill="F8FAFC" w:val="clear"/>
        </w:rPr>
        <w:br/>
        <w:t xml:space="preserve">Digitalización estricta gaveta por gaveta con el módulo de </w:t>
      </w:r>
      <w:r>
        <w:rPr>
          <w:rStyle w:val="Emphasis"/>
          <w:bdr w:val="single" w:sz="2" w:space="11" w:color="E2E8F0"/>
          <w:shd w:fill="F8FAFC" w:val="clear"/>
        </w:rPr>
        <w:t>Alta Continua</w:t>
      </w:r>
      <w:r>
        <w:rPr>
          <w:bdr w:val="single" w:sz="2" w:space="11" w:color="E2E8F0"/>
          <w:shd w:fill="F8FAFC" w:val="clear"/>
        </w:rPr>
        <w:t xml:space="preserve">. Cada cajón concluido queda 100% blindado sin alterar su orden tradicional. </w:t>
      </w:r>
    </w:p>
    <w:p>
      <w:pPr>
        <w:pStyle w:val="BodyText"/>
        <w:bidi w:val="0"/>
        <w:spacing w:before="0" w:after="150"/>
        <w:ind w:hanging="0" w:left="225" w:right="225"/>
        <w:rPr>
          <w:b/>
          <w:color w:val="C4A462"/>
          <w:sz w:val="28"/>
          <w:bdr w:val="single" w:sz="2" w:space="11" w:color="E2E8F0"/>
          <w:shd w:fill="F8FAFC" w:val="clear"/>
        </w:rPr>
      </w:pPr>
      <w:r>
        <w:rPr>
          <w:b/>
          <w:color w:val="C4A462"/>
          <w:sz w:val="28"/>
          <w:bdr w:val="single" w:sz="2" w:space="11" w:color="E2E8F0"/>
          <w:shd w:fill="F8FAFC" w:val="clear"/>
        </w:rPr>
        <w:t>2</w:t>
      </w:r>
    </w:p>
    <w:p>
      <w:pPr>
        <w:pStyle w:val="BodyText"/>
        <w:bidi w:val="0"/>
        <w:spacing w:before="0" w:after="150"/>
        <w:ind w:hanging="0" w:left="225" w:right="225"/>
        <w:rPr/>
      </w:pPr>
      <w:r>
        <w:rPr>
          <w:rStyle w:val="Strong"/>
          <w:bdr w:val="single" w:sz="2" w:space="11" w:color="E2E8F0"/>
          <w:shd w:fill="F8FAFC" w:val="clear"/>
        </w:rPr>
        <w:t>Fase 2: Circuito Estricto de Préstamos (Tolerancia Cero)</w:t>
      </w:r>
      <w:r>
        <w:rPr>
          <w:bdr w:val="single" w:sz="2" w:space="11" w:color="E2E8F0"/>
          <w:shd w:fill="F8FAFC" w:val="clear"/>
        </w:rPr>
        <w:br/>
        <w:t xml:space="preserve">A partir del inicio del proyecto, ningún expediente sale de Recursos Humanos sin registro digital previo, aprovechando los préstamos para etiquetar carpetas rezagadas. </w:t>
      </w:r>
    </w:p>
    <w:p>
      <w:pPr>
        <w:pStyle w:val="BodyText"/>
        <w:bidi w:val="0"/>
        <w:spacing w:before="0" w:after="150"/>
        <w:ind w:hanging="0" w:left="225" w:right="225"/>
        <w:rPr>
          <w:b/>
          <w:color w:val="C4A462"/>
          <w:sz w:val="28"/>
          <w:bdr w:val="single" w:sz="2" w:space="11" w:color="E2E8F0"/>
          <w:shd w:fill="F8FAFC" w:val="clear"/>
        </w:rPr>
      </w:pPr>
      <w:r>
        <w:rPr>
          <w:b/>
          <w:color w:val="C4A462"/>
          <w:sz w:val="28"/>
          <w:bdr w:val="single" w:sz="2" w:space="11" w:color="E2E8F0"/>
          <w:shd w:fill="F8FAFC" w:val="clear"/>
        </w:rPr>
        <w:t>3</w:t>
      </w:r>
    </w:p>
    <w:p>
      <w:pPr>
        <w:pStyle w:val="BodyText"/>
        <w:bidi w:val="0"/>
        <w:spacing w:before="0" w:after="150"/>
        <w:ind w:hanging="0" w:left="225" w:right="225"/>
        <w:rPr/>
      </w:pPr>
      <w:r>
        <w:rPr>
          <w:rStyle w:val="Strong"/>
          <w:bdr w:val="single" w:sz="2" w:space="11" w:color="E2E8F0"/>
          <w:shd w:fill="F8FAFC" w:val="clear"/>
        </w:rPr>
        <w:t>Fase 3: Auditorías de Control y Reubicación Dinámica</w:t>
      </w:r>
      <w:r>
        <w:rPr>
          <w:bdr w:val="single" w:sz="2" w:space="11" w:color="E2E8F0"/>
          <w:shd w:fill="F8FAFC" w:val="clear"/>
        </w:rPr>
        <w:br/>
        <w:t xml:space="preserve">Mantenimiento preventivo periódico con escáner inteligente para verificar que el contenido físico de los cajones coincida con la base de datos. </w:t>
      </w:r>
    </w:p>
    <w:p>
      <w:pPr>
        <w:pStyle w:val="Heading1"/>
        <w:bidi w:val="0"/>
        <w:jc w:val="left"/>
        <w:rPr/>
      </w:pPr>
      <w:r>
        <w:rPr/>
        <w:t>4. Fase 1: Procedimiento de Alta Continua</w:t>
      </w:r>
    </w:p>
    <w:p>
      <w:pPr>
        <w:pStyle w:val="BodyText"/>
        <w:bidi w:val="0"/>
        <w:rPr/>
      </w:pPr>
      <w:r>
        <w:rPr/>
        <w:t>Este módulo fue creado para capturar a gran velocidad sin necesidad de navegar entre pantallas: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Selección de Sesión:</w:t>
      </w:r>
      <w:r>
        <w:rPr/>
        <w:t xml:space="preserve"> En el menú lateral, ingresar a Expedientes → Alta Continua (WIP). Seleccionar el archivero (ej. </w:t>
      </w:r>
      <w:r>
        <w:rPr>
          <w:rStyle w:val="SourceText"/>
        </w:rPr>
        <w:t>G-01</w:t>
      </w:r>
      <w:r>
        <w:rPr/>
        <w:t xml:space="preserve">) y el cajón correspondiente (ej. </w:t>
      </w:r>
      <w:r>
        <w:rPr>
          <w:rStyle w:val="SourceText"/>
        </w:rPr>
        <w:t>Cajón 1 — [ Rango: A - C ]</w:t>
      </w:r>
      <w:r>
        <w:rPr/>
        <w:t xml:space="preserve">). El sistema mostrará la cantidad de empleados pendientes y censados.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Extracción Física:</w:t>
      </w:r>
      <w:r>
        <w:rPr/>
        <w:t xml:space="preserve"> El operador toma la primera carpeta física del cajón. En pantalla aparecerá automáticamente el primer empleado pendiente en orden alfabético.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Cotejo y Creación:</w:t>
      </w:r>
      <w:r>
        <w:rPr/>
        <w:t xml:space="preserve"> Se confirma que los datos en pantalla (RFC, número de empleado, puesto) coincidan con la carpeta en mano y se presiona </w:t>
      </w:r>
      <w:r>
        <w:rPr>
          <w:rStyle w:val="Strong"/>
        </w:rPr>
        <w:t>"Crear Expediente y Etiqueta"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Impresión y Pegado:</w:t>
      </w:r>
      <w:r>
        <w:rPr/>
        <w:t xml:space="preserve"> Se presiona el botón </w:t>
      </w:r>
      <w:r>
        <w:rPr>
          <w:rStyle w:val="Strong"/>
        </w:rPr>
        <w:t>"Imprimir Etiqueta"</w:t>
      </w:r>
      <w:r>
        <w:rPr/>
        <w:t xml:space="preserve">. La impresora emite la etiqueta con código de barras institucional. Se adhiere al lomo de la carpeta y se regresa al cajón.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Avance Inmediato:</w:t>
      </w:r>
      <w:r>
        <w:rPr/>
        <w:t xml:space="preserve"> Se presiona </w:t>
      </w:r>
      <w:r>
        <w:rPr>
          <w:rStyle w:val="Strong"/>
        </w:rPr>
        <w:t>"Confirmar y Siguiente"</w:t>
      </w:r>
      <w:r>
        <w:rPr/>
        <w:t xml:space="preserve"> y el sistema presenta automáticamente el siguiente expediente. </w:t>
      </w:r>
    </w:p>
    <w:p>
      <w:pPr>
        <w:pStyle w:val="BodyText"/>
        <w:bidi w:val="0"/>
        <w:spacing w:before="0" w:after="60"/>
        <w:ind w:hanging="0" w:left="225" w:right="225"/>
        <w:rPr>
          <w:b/>
          <w:caps/>
          <w:color w:val="13322B"/>
          <w:spacing w:val="0"/>
          <w:sz w:val="20"/>
          <w:bdr w:val="single" w:sz="24" w:space="12" w:color="13322B"/>
          <w:shd w:fill="F7FAFC" w:val="clear"/>
        </w:rPr>
      </w:pPr>
      <w:r>
        <w:rPr>
          <w:b/>
          <w:caps/>
          <w:color w:val="13322B"/>
          <w:spacing w:val="0"/>
          <w:sz w:val="20"/>
          <w:bdr w:val="single" w:sz="24" w:space="12" w:color="13322B"/>
          <w:shd w:fill="F7FAFC" w:val="clear"/>
        </w:rPr>
        <w:t>Protocolo para Excepciones Durante el Censo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934" w:leader="none"/>
        </w:tabs>
        <w:bidi w:val="0"/>
        <w:spacing w:before="225" w:after="225"/>
        <w:ind w:hanging="283" w:left="934" w:right="225"/>
        <w:rPr/>
      </w:pPr>
      <w:r>
        <w:rPr>
          <w:rStyle w:val="Strong"/>
          <w:bdr w:val="single" w:sz="24" w:space="12" w:color="13322B"/>
          <w:shd w:fill="F7FAFC" w:val="clear"/>
        </w:rPr>
        <w:t>Si el empleado en pantalla no tiene carpeta en ese cajón:</w:t>
      </w:r>
      <w:r>
        <w:rPr>
          <w:bdr w:val="single" w:sz="24" w:space="12" w:color="13322B"/>
          <w:shd w:fill="F7FAFC" w:val="clear"/>
        </w:rPr>
        <w:t xml:space="preserve"> Presionar el botón </w:t>
      </w:r>
      <w:r>
        <w:rPr>
          <w:rStyle w:val="Strong"/>
          <w:bdr w:val="single" w:sz="24" w:space="12" w:color="13322B"/>
          <w:shd w:fill="F7FAFC" w:val="clear"/>
        </w:rPr>
        <w:t>"Aplazar (carpeta no está en este lote)"</w:t>
      </w:r>
      <w:r>
        <w:rPr>
          <w:bdr w:val="single" w:sz="24" w:space="12" w:color="13322B"/>
          <w:shd w:fill="F7FAFC" w:val="clear"/>
        </w:rPr>
        <w:t xml:space="preserve">. El empleado pasa a la bandeja inferior de espera y el flujo continúa sin trabarse.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934" w:leader="none"/>
        </w:tabs>
        <w:bidi w:val="0"/>
        <w:spacing w:before="225" w:after="225"/>
        <w:ind w:hanging="283" w:left="934" w:right="225"/>
        <w:rPr/>
      </w:pPr>
      <w:r>
        <w:rPr>
          <w:rStyle w:val="Strong"/>
          <w:bdr w:val="single" w:sz="24" w:space="12" w:color="13322B"/>
          <w:shd w:fill="F7FAFC" w:val="clear"/>
        </w:rPr>
        <w:t>Si aparece una carpeta que pertenece a otra letra:</w:t>
      </w:r>
      <w:r>
        <w:rPr>
          <w:bdr w:val="single" w:sz="24" w:space="12" w:color="13322B"/>
          <w:shd w:fill="F7FAFC" w:val="clear"/>
        </w:rPr>
        <w:t xml:space="preserve"> Se aparta físicamente en una bandeja de "Pendientes de Reubicación" para ingresarla cuando se trabaje su cajón correspondiente.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934" w:leader="none"/>
        </w:tabs>
        <w:bidi w:val="0"/>
        <w:spacing w:before="225" w:after="225"/>
        <w:ind w:hanging="283" w:left="934" w:right="225"/>
        <w:rPr/>
      </w:pPr>
      <w:r>
        <w:rPr>
          <w:rStyle w:val="Strong"/>
          <w:bdr w:val="single" w:sz="24" w:space="12" w:color="13322B"/>
          <w:shd w:fill="F7FAFC" w:val="clear"/>
        </w:rPr>
        <w:t>Doble verificación de seguridad:</w:t>
      </w:r>
      <w:r>
        <w:rPr>
          <w:bdr w:val="single" w:sz="24" w:space="12" w:color="13322B"/>
          <w:shd w:fill="F7FAFC" w:val="clear"/>
        </w:rPr>
        <w:t xml:space="preserve"> Si un empleado ya tenía expediente previo, el sistema bloquea automáticamente la creación para evitar duplicidades. </w:t>
      </w:r>
    </w:p>
    <w:p>
      <w:pPr>
        <w:pStyle w:val="Heading1"/>
        <w:bidi w:val="0"/>
        <w:ind w:hanging="0"/>
        <w:jc w:val="left"/>
        <w:rPr/>
      </w:pPr>
      <w:r>
        <w:rPr/>
        <w:t>5. Fase 2: Circuito de Préstamos y Custodia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83"/>
        <w:gridCol w:w="2113"/>
        <w:gridCol w:w="7743"/>
      </w:tblGrid>
      <w:tr>
        <w:trPr>
          <w:tblHeader w:val="true"/>
        </w:trPr>
        <w:tc>
          <w:tcPr>
            <w:tcW w:w="1483" w:type="dxa"/>
            <w:tcBorders/>
            <w:vAlign w:val="center"/>
          </w:tcPr>
          <w:p>
            <w:pPr>
              <w:pStyle w:val="TableHeading"/>
              <w:bidi w:val="0"/>
              <w:spacing w:before="0" w:after="120"/>
              <w:ind w:hanging="0" w:left="0" w:right="0"/>
              <w:rPr/>
            </w:pPr>
            <w:r>
              <w:rPr/>
              <w:t>Etapa</w:t>
            </w:r>
          </w:p>
        </w:tc>
        <w:tc>
          <w:tcPr>
            <w:tcW w:w="2113" w:type="dxa"/>
            <w:tcBorders/>
            <w:vAlign w:val="center"/>
          </w:tcPr>
          <w:p>
            <w:pPr>
              <w:pStyle w:val="TableHeading"/>
              <w:bidi w:val="0"/>
              <w:spacing w:before="0" w:after="120"/>
              <w:ind w:hanging="0" w:left="0" w:right="0"/>
              <w:rPr/>
            </w:pPr>
            <w:r>
              <w:rPr/>
              <w:t>Responsable</w:t>
            </w:r>
          </w:p>
        </w:tc>
        <w:tc>
          <w:tcPr>
            <w:tcW w:w="774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20"/>
              <w:jc w:val="center"/>
              <w:rPr/>
            </w:pPr>
            <w:r>
              <w:rPr/>
              <w:t>Acción Operativa</w:t>
            </w:r>
          </w:p>
        </w:tc>
      </w:tr>
      <w:tr>
        <w:trPr/>
        <w:tc>
          <w:tcPr>
            <w:tcW w:w="148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>
                <w:rStyle w:val="Strong"/>
              </w:rPr>
              <w:t>1. Solicitud</w:t>
            </w:r>
          </w:p>
        </w:tc>
        <w:tc>
          <w:tcPr>
            <w:tcW w:w="211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/>
              <w:t>Usuario Solicitante / RH</w:t>
            </w:r>
          </w:p>
        </w:tc>
        <w:tc>
          <w:tcPr>
            <w:tcW w:w="774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/>
              <w:t>Se registra la petición en el sistema especificando el motivo oficial del préstamo.</w:t>
            </w:r>
          </w:p>
        </w:tc>
      </w:tr>
      <w:tr>
        <w:trPr/>
        <w:tc>
          <w:tcPr>
            <w:tcW w:w="148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>
                <w:rStyle w:val="Strong"/>
              </w:rPr>
              <w:t>2. Aprobación</w:t>
            </w:r>
          </w:p>
        </w:tc>
        <w:tc>
          <w:tcPr>
            <w:tcW w:w="211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/>
              <w:t>Encargado de Archivo (RH)</w:t>
            </w:r>
          </w:p>
        </w:tc>
        <w:tc>
          <w:tcPr>
            <w:tcW w:w="774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/>
              <w:t>Valida la solicitud en la Mesa de Control. Al autorizar, se genera la orden de extracción para el operador.</w:t>
            </w:r>
          </w:p>
        </w:tc>
      </w:tr>
      <w:tr>
        <w:trPr/>
        <w:tc>
          <w:tcPr>
            <w:tcW w:w="148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>
                <w:rStyle w:val="Strong"/>
              </w:rPr>
              <w:t>3. Extracción</w:t>
            </w:r>
          </w:p>
        </w:tc>
        <w:tc>
          <w:tcPr>
            <w:tcW w:w="211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/>
              <w:t>Operador (Planta Baja)</w:t>
            </w:r>
          </w:p>
        </w:tc>
        <w:tc>
          <w:tcPr>
            <w:tcW w:w="774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/>
              <w:t>Localiza la carpeta en la gaveta y escanea el código de barras en la pantalla de Despacho. El estado cambia en tiempo real a "Extraído".</w:t>
            </w:r>
          </w:p>
        </w:tc>
      </w:tr>
      <w:tr>
        <w:trPr/>
        <w:tc>
          <w:tcPr>
            <w:tcW w:w="148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>
                <w:rStyle w:val="Strong"/>
              </w:rPr>
              <w:t>4. Entrega</w:t>
            </w:r>
          </w:p>
        </w:tc>
        <w:tc>
          <w:tcPr>
            <w:tcW w:w="211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/>
              <w:t>Encargado de Archivo</w:t>
            </w:r>
          </w:p>
        </w:tc>
        <w:tc>
          <w:tcPr>
            <w:tcW w:w="774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/>
              <w:t>Registra la nota de inspección física (número de fojas y estado de carátula) y entrega la carpeta física al solicitante.</w:t>
            </w:r>
          </w:p>
        </w:tc>
      </w:tr>
      <w:tr>
        <w:trPr/>
        <w:tc>
          <w:tcPr>
            <w:tcW w:w="148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>
                <w:rStyle w:val="Strong"/>
              </w:rPr>
              <w:t>5. Devolución</w:t>
            </w:r>
          </w:p>
        </w:tc>
        <w:tc>
          <w:tcPr>
            <w:tcW w:w="211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/>
              <w:t>Operador / Encargado</w:t>
            </w:r>
          </w:p>
        </w:tc>
        <w:tc>
          <w:tcPr>
            <w:tcW w:w="774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/>
              <w:t>Al recibir la carpeta devuelta, se escanea su código y se registra el estado físico en que se recibe. Se coloca en su gaveta y se confirma el re-archivado.</w:t>
            </w:r>
          </w:p>
        </w:tc>
      </w:tr>
    </w:tbl>
    <w:p>
      <w:pPr>
        <w:pStyle w:val="Heading1"/>
        <w:bidi w:val="0"/>
        <w:jc w:val="left"/>
        <w:rPr/>
      </w:pPr>
      <w:r>
        <w:rPr/>
        <w:t>6. Fase 3: Auditorías y Reubicación Dinámica</w:t>
      </w:r>
    </w:p>
    <w:p>
      <w:pPr>
        <w:pStyle w:val="BodyText"/>
        <w:bidi w:val="0"/>
        <w:rPr/>
      </w:pPr>
      <w:r>
        <w:rPr/>
        <w:t>Conforme los expedientes circulan por trámites administrativos, no es necesario volver a reorganizar el archivo a mano: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Reubicación Dinámica:</w:t>
      </w:r>
      <w:r>
        <w:rPr/>
        <w:t xml:space="preserve"> Si un expediente devuelto ya no cabe en su cajón original, el operador accede a Expedientes → Escáner Inteligente, escanea el código y le asigna una nueva gaveta. La base de datos y la bitácora histórica quedan actualizadas de inmediato.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Auditoría Preventiva:</w:t>
      </w:r>
      <w:r>
        <w:rPr/>
        <w:t xml:space="preserve"> En Expedientes → Auditoría, el supervisor puede seleccionar un cajón y pistolear consecutivamente todos los expedientes presentes. El sistema marcará en verde los correctos, alertará si falta alguno prestado y detectará carpetas mal ubicadas. </w:t>
      </w:r>
    </w:p>
    <w:p>
      <w:pPr>
        <w:pStyle w:val="Heading1"/>
        <w:bidi w:val="0"/>
        <w:jc w:val="left"/>
        <w:rPr/>
      </w:pPr>
      <w:r>
        <w:rPr/>
        <w:t>7. Plan de Trabajo Recomendado (Primeras Dos Semanas)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82"/>
        <w:gridCol w:w="5038"/>
        <w:gridCol w:w="4619"/>
      </w:tblGrid>
      <w:tr>
        <w:trPr>
          <w:tblHeader w:val="true"/>
        </w:trPr>
        <w:tc>
          <w:tcPr>
            <w:tcW w:w="1682" w:type="dxa"/>
            <w:tcBorders/>
            <w:vAlign w:val="center"/>
          </w:tcPr>
          <w:p>
            <w:pPr>
              <w:pStyle w:val="TableHeading"/>
              <w:bidi w:val="0"/>
              <w:spacing w:before="0" w:after="120"/>
              <w:ind w:hanging="0" w:left="0" w:right="0"/>
              <w:rPr/>
            </w:pPr>
            <w:r>
              <w:rPr/>
              <w:t>Período</w:t>
            </w:r>
          </w:p>
        </w:tc>
        <w:tc>
          <w:tcPr>
            <w:tcW w:w="5038" w:type="dxa"/>
            <w:tcBorders/>
            <w:vAlign w:val="center"/>
          </w:tcPr>
          <w:p>
            <w:pPr>
              <w:pStyle w:val="TableHeading"/>
              <w:bidi w:val="0"/>
              <w:spacing w:before="0" w:after="120"/>
              <w:ind w:hanging="0" w:left="0" w:right="0"/>
              <w:rPr/>
            </w:pPr>
            <w:r>
              <w:rPr/>
              <w:t>Objetivo Principal</w:t>
            </w:r>
          </w:p>
        </w:tc>
        <w:tc>
          <w:tcPr>
            <w:tcW w:w="461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20"/>
              <w:jc w:val="center"/>
              <w:rPr/>
            </w:pPr>
            <w:r>
              <w:rPr/>
              <w:t>Meta Tangible</w:t>
            </w:r>
          </w:p>
        </w:tc>
      </w:tr>
      <w:tr>
        <w:trPr/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>
                <w:rStyle w:val="Strong"/>
              </w:rPr>
              <w:t>Semana 1 (Días 1-2)</w:t>
            </w:r>
          </w:p>
        </w:tc>
        <w:tc>
          <w:tcPr>
            <w:tcW w:w="503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/>
              <w:t>Configuración del catálogo de ubicaciones físicas y calibración de impresoras térmicas.</w:t>
            </w:r>
          </w:p>
        </w:tc>
        <w:tc>
          <w:tcPr>
            <w:tcW w:w="461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/>
              <w:t>Catálogo completo de archiveros cargado en el sistema.</w:t>
            </w:r>
          </w:p>
        </w:tc>
      </w:tr>
      <w:tr>
        <w:trPr/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>
                <w:rStyle w:val="Strong"/>
              </w:rPr>
              <w:t>Semana 1 (Días 3-5)</w:t>
            </w:r>
          </w:p>
        </w:tc>
        <w:tc>
          <w:tcPr>
            <w:tcW w:w="503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/>
              <w:t>Prueba piloto de Alta Continua con la Gaveta G-01 y capacitación del personal de ventanilla.</w:t>
            </w:r>
          </w:p>
        </w:tc>
        <w:tc>
          <w:tcPr>
            <w:tcW w:w="461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/>
              <w:t>Primer cajón 100% etiquetado y personal familiarizado con el escáner.</w:t>
            </w:r>
          </w:p>
        </w:tc>
      </w:tr>
      <w:tr>
        <w:trPr/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>
                <w:rStyle w:val="Strong"/>
              </w:rPr>
              <w:t>Semana 2 en adelante</w:t>
            </w:r>
          </w:p>
        </w:tc>
        <w:tc>
          <w:tcPr>
            <w:tcW w:w="503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/>
              <w:t>Cierre de préstamos manuales e inicio del censo progresivo diario.</w:t>
            </w:r>
          </w:p>
        </w:tc>
        <w:tc>
          <w:tcPr>
            <w:tcW w:w="461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rPr/>
            </w:pPr>
            <w:r>
              <w:rPr/>
              <w:t>Cero salidas informales sin folio digital y avance de 1 a 2 cajones censados por día.</w:t>
            </w:r>
          </w:p>
        </w:tc>
      </w:tr>
    </w:tbl>
    <w:p>
      <w:pPr>
        <w:pStyle w:val="BodyText"/>
        <w:bidi w:val="0"/>
        <w:spacing w:before="600" w:after="120"/>
        <w:ind w:hanging="0" w:left="0" w:right="0"/>
        <w:jc w:val="center"/>
        <w:rPr>
          <w:color w:val="A0AEC0"/>
          <w:sz w:val="17"/>
          <w:bdr w:val="single" w:sz="2" w:space="8" w:color="E2E8F0"/>
        </w:rPr>
      </w:pPr>
      <w:r>
        <w:rPr>
          <w:color w:val="A0AEC0"/>
          <w:sz w:val="17"/>
          <w:bdr w:val="single" w:sz="2" w:space="8" w:color="E2E8F0"/>
        </w:rPr>
        <w:t xml:space="preserve">ISSSTE Baja California — Plataforma Integral de Gestión y Control Documental de Archivo (2026) </w:t>
      </w:r>
    </w:p>
    <w:sectPr>
      <w:type w:val="nextPage"/>
      <w:pgSz w:w="11906" w:h="16838"/>
      <w:pgMar w:left="1134" w:right="1134" w:gutter="0" w:header="0" w:top="1417" w:footer="0" w:bottom="141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Segoe UI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Calibri;Segoe UI;Arial;sans-serif" w:hAnsi="Calibri;Segoe UI;Arial;sans-serif" w:eastAsia="Calibri;Segoe UI;Arial;sans-serif" w:cs="Calibri;Segoe UI;Arial;sans-serif"/>
      <w:color w:val="2D3748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6" w:space="4" w:color="E2E8F0"/>
      </w:pBdr>
      <w:spacing w:before="375" w:after="180"/>
    </w:pPr>
    <w:rPr>
      <w:b/>
      <w:bCs/>
      <w:caps/>
      <w:color w:val="13322B"/>
      <w:sz w:val="30"/>
      <w:szCs w:val="30"/>
    </w:rPr>
  </w:style>
  <w:style w:type="paragraph" w:styleId="Heading2">
    <w:name w:val="heading 2"/>
    <w:basedOn w:val="Heading"/>
    <w:next w:val="BodyText"/>
    <w:qFormat/>
    <w:pPr>
      <w:spacing w:before="270" w:after="120"/>
      <w:outlineLvl w:val="1"/>
    </w:pPr>
    <w:rPr>
      <w:rFonts w:ascii="Liberation Serif" w:hAnsi="Liberation Serif" w:eastAsia="Noto Serif CJK SC" w:cs="Liberation Sans"/>
      <w:b/>
      <w:bCs/>
      <w:color w:val="234E43"/>
      <w:sz w:val="25"/>
      <w:szCs w:val="25"/>
    </w:rPr>
  </w:style>
  <w:style w:type="paragraph" w:styleId="Heading3">
    <w:name w:val="heading 3"/>
    <w:basedOn w:val="Heading"/>
    <w:next w:val="BodyText"/>
    <w:qFormat/>
    <w:pPr>
      <w:spacing w:before="210" w:after="90"/>
      <w:outlineLvl w:val="2"/>
    </w:pPr>
    <w:rPr>
      <w:rFonts w:ascii="Liberation Serif" w:hAnsi="Liberation Serif" w:eastAsia="Noto Serif CJK SC" w:cs="Liberation Sans"/>
      <w:b/>
      <w:bCs/>
      <w:color w:val="4A5568"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List">
    <w:name w:val="List"/>
    <w:basedOn w:val="BodyText"/>
    <w:pPr/>
    <w:rPr>
      <w:rFonts w:cs="Liberation Sans"/>
    </w:rPr>
  </w:style>
  <w:style w:type="paragraph" w:styleId="BodyText">
    <w:name w:val="Body Text"/>
    <w:basedOn w:val="Normal"/>
    <w:pPr>
      <w:spacing w:before="0" w:after="120"/>
      <w:jc w:val="both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Manual Metodológico de Implementación y Operación - Archivo ISSSTE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