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56"/>
        <w:gridCol w:w="2783"/>
      </w:tblGrid>
      <w:tr>
        <w:trPr/>
        <w:tc>
          <w:tcPr>
            <w:tcW w:w="8556" w:type="dxa"/>
            <w:tcBorders/>
            <w:vAlign w:val="center"/>
          </w:tcPr>
          <w:p>
            <w:pPr>
              <w:pStyle w:val="TableContents"/>
              <w:bidi w:val="0"/>
              <w:spacing w:lineRule="auto" w:line="264" w:before="0" w:after="0"/>
              <w:ind w:hanging="0" w:left="0" w:right="0"/>
              <w:rPr>
                <w:b/>
                <w:caps/>
                <w:color w:val="13322B"/>
                <w:spacing w:val="0"/>
                <w:sz w:val="40"/>
              </w:rPr>
            </w:pPr>
            <w:r>
              <w:rPr>
                <w:b/>
                <w:caps/>
                <w:color w:val="13322B"/>
                <w:spacing w:val="0"/>
                <w:sz w:val="40"/>
              </w:rPr>
              <w:t>Manual Metodológico de Implementación</w:t>
            </w:r>
          </w:p>
          <w:p>
            <w:pPr>
              <w:pStyle w:val="TableContents"/>
              <w:bidi w:val="0"/>
              <w:spacing w:before="75" w:after="120"/>
              <w:ind w:hanging="0" w:left="0" w:right="0"/>
              <w:rPr>
                <w:b/>
                <w:caps/>
                <w:color w:val="C4A462"/>
                <w:spacing w:val="15"/>
                <w:sz w:val="24"/>
              </w:rPr>
            </w:pPr>
            <w:r>
              <w:rPr>
                <w:b/>
                <w:caps/>
                <w:color w:val="C4A462"/>
                <w:spacing w:val="15"/>
                <w:sz w:val="24"/>
              </w:rPr>
              <w:t>Sistema Integral de Gestión de Archivo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lineRule="auto" w:line="336" w:before="0" w:after="120"/>
              <w:jc w:val="right"/>
              <w:rPr/>
            </w:pPr>
            <w:r>
              <w:rPr>
                <w:rStyle w:val="Strong"/>
                <w:color w:val="718096"/>
                <w:sz w:val="18"/>
              </w:rPr>
              <w:t>ISSSTE BAJA CALIFORNIA</w:t>
            </w:r>
            <w:r>
              <w:rPr>
                <w:color w:val="718096"/>
                <w:sz w:val="18"/>
              </w:rPr>
              <w:br/>
              <w:t>Subdelegación de Administración</w:t>
              <w:br/>
              <w:t>Departamento de Recursos Humanos</w:t>
              <w:br/>
              <w:t xml:space="preserve">Versión 1.0 (2026) </w:t>
            </w:r>
          </w:p>
        </w:tc>
      </w:tr>
    </w:tbl>
    <w:p>
      <w:pPr>
        <w:pStyle w:val="Heading1"/>
        <w:bidi w:val="0"/>
        <w:jc w:val="left"/>
        <w:rPr/>
      </w:pPr>
      <w:r>
        <w:rPr/>
        <w:t>1. Introducción y Enfoque Estratégico</w:t>
      </w:r>
    </w:p>
    <w:p>
      <w:pPr>
        <w:pStyle w:val="Heading3"/>
        <w:bidi w:val="0"/>
        <w:jc w:val="left"/>
        <w:rPr/>
      </w:pPr>
      <w:r>
        <w:rPr/>
        <w:t>1.1 El Dilema Clave: ¿Ajustar el Archivo al Sistema o el Sistema al Archivo?</w:t>
      </w:r>
    </w:p>
    <w:p>
      <w:pPr>
        <w:pStyle w:val="BodyText"/>
        <w:bidi w:val="0"/>
        <w:rPr/>
      </w:pPr>
      <w:r>
        <w:rPr/>
        <w:t xml:space="preserve">Uno de los errores más comunes en la digitalización de archivos físicos es intentar ordenar y reclasificar todas las carpetas en papel antes de registrarlas en el sistema. En la práctica institucional, ese enfoque colapsa la operación diaria, genera extravíos temporales y agota el esfuerzo del personal sin mostrar avances tangibles a corto plazo. </w:t>
      </w:r>
    </w:p>
    <w:p>
      <w:pPr>
        <w:pStyle w:val="BodyText"/>
        <w:bidi w:val="0"/>
        <w:spacing w:before="0" w:after="60"/>
        <w:ind w:hanging="0" w:left="225" w:right="225"/>
        <w:rPr>
          <w:b/>
          <w:caps/>
          <w:color w:val="13322B"/>
          <w:spacing w:val="0"/>
          <w:sz w:val="20"/>
          <w:bdr w:val="single" w:sz="24" w:space="12" w:color="C4A462"/>
          <w:shd w:fill="FEFCF6" w:val="clear"/>
        </w:rPr>
      </w:pPr>
      <w:r>
        <w:rPr>
          <w:b/>
          <w:caps/>
          <w:color w:val="13322B"/>
          <w:spacing w:val="0"/>
          <w:sz w:val="20"/>
          <w:bdr w:val="single" w:sz="24" w:space="12" w:color="C4A462"/>
          <w:shd w:fill="FEFCF6" w:val="clear"/>
        </w:rPr>
        <w:t>Principio Rector Institucional</w:t>
      </w:r>
    </w:p>
    <w:p>
      <w:pPr>
        <w:pStyle w:val="BodyText"/>
        <w:bidi w:val="0"/>
        <w:spacing w:before="225" w:after="225"/>
        <w:ind w:left="225" w:right="225"/>
        <w:rPr/>
      </w:pPr>
      <w:r>
        <w:rPr>
          <w:rStyle w:val="Emphasis"/>
          <w:bdr w:val="single" w:sz="24" w:space="12" w:color="C4A462"/>
          <w:shd w:fill="FEFCF6" w:val="clear"/>
        </w:rPr>
        <w:t>"No muevas el archivo para encajarlo en el software; modela el software para que refleje la realidad física de tus gavetas, y utiliza el software para gobernar el orden."</w:t>
      </w:r>
      <w:r>
        <w:rPr>
          <w:bdr w:val="single" w:sz="24" w:space="12" w:color="C4A462"/>
          <w:shd w:fill="FEFCF6" w:val="clear"/>
        </w:rPr>
        <w:t xml:space="preserve"> 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8"/>
        <w:gridCol w:w="7313"/>
        <w:gridCol w:w="1728"/>
      </w:tblGrid>
      <w:tr>
        <w:trPr>
          <w:tblHeader w:val="true"/>
        </w:trPr>
        <w:tc>
          <w:tcPr>
            <w:tcW w:w="2298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Enfoque</w:t>
            </w:r>
          </w:p>
        </w:tc>
        <w:tc>
          <w:tcPr>
            <w:tcW w:w="7313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Impacto y Consecuencias Reales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jc w:val="center"/>
              <w:rPr/>
            </w:pPr>
            <w:r>
              <w:rPr/>
              <w:t>Veredicto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ind w:hanging="0" w:left="0" w:right="0"/>
              <w:rPr/>
            </w:pPr>
            <w:r>
              <w:rPr>
                <w:rStyle w:val="Strong"/>
              </w:rPr>
              <w:t>Ajustar el Archivo al Sistema</w:t>
            </w:r>
            <w:r>
              <w:rPr/>
              <w:br/>
            </w:r>
            <w:r>
              <w:rPr>
                <w:color w:val="718096"/>
                <w:sz w:val="20"/>
              </w:rPr>
              <w:t>Mover y reclasificar todo en papel antes de capturar</w:t>
            </w:r>
          </w:p>
        </w:tc>
        <w:tc>
          <w:tcPr>
            <w:tcW w:w="73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ind w:hanging="0" w:left="0" w:right="0"/>
              <w:rPr/>
            </w:pPr>
            <w:r>
              <w:rPr/>
              <w:t>Riesgo crítico. Provoca pérdida temporal de carpetas activas, estrés severo en el personal y meses de trabajo a ciegas sin resultados visibles para las autoridades.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center"/>
              <w:rPr/>
            </w:pPr>
            <w:r>
              <w:rPr/>
              <w:t>No Recomendado</w:t>
            </w:r>
          </w:p>
        </w:tc>
      </w:tr>
      <w:tr>
        <w:trPr/>
        <w:tc>
          <w:tcPr>
            <w:tcW w:w="229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ind w:hanging="0" w:left="0" w:right="0"/>
              <w:rPr/>
            </w:pPr>
            <w:r>
              <w:rPr>
                <w:rStyle w:val="Strong"/>
              </w:rPr>
              <w:t>Ajustar el Sistema al Archivo</w:t>
            </w:r>
            <w:r>
              <w:rPr/>
              <w:br/>
            </w:r>
            <w:r>
              <w:rPr>
                <w:color w:val="718096"/>
                <w:sz w:val="20"/>
              </w:rPr>
              <w:t>Metodología Bottom-Up por cajón cerrado</w:t>
            </w:r>
          </w:p>
        </w:tc>
        <w:tc>
          <w:tcPr>
            <w:tcW w:w="73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ind w:hanging="0" w:left="0" w:right="0"/>
              <w:rPr/>
            </w:pPr>
            <w:r>
              <w:rPr/>
              <w:t>Riesgo mínimo. El sistema asimila la distribución actual de los archiveros (rangos alfabéticos y directivos), asignando códigos de barras inmediatos y blindando la custodia desde el día uno.</w:t>
            </w:r>
          </w:p>
        </w:tc>
        <w:tc>
          <w:tcPr>
            <w:tcW w:w="172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center"/>
              <w:rPr/>
            </w:pPr>
            <w:r>
              <w:rPr/>
              <w:t>Recomendado</w:t>
            </w:r>
          </w:p>
        </w:tc>
      </w:tr>
    </w:tbl>
    <w:p>
      <w:pPr>
        <w:pStyle w:val="BodyText"/>
        <w:bidi w:val="0"/>
        <w:spacing w:before="0" w:after="60"/>
        <w:ind w:hanging="0" w:left="270" w:right="270"/>
        <w:rPr>
          <w:b/>
          <w:caps/>
          <w:color w:val="13322B"/>
          <w:spacing w:val="0"/>
          <w:sz w:val="20"/>
          <w:bdr w:val="single" w:sz="24" w:space="14" w:color="2B6CB0"/>
          <w:shd w:fill="F0F7FF" w:val="clear"/>
        </w:rPr>
      </w:pPr>
      <w:r>
        <w:rPr>
          <w:b/>
          <w:caps/>
          <w:color w:val="13322B"/>
          <w:spacing w:val="0"/>
          <w:sz w:val="20"/>
          <w:bdr w:val="single" w:sz="24" w:space="14" w:color="2B6CB0"/>
          <w:shd w:fill="F0F7FF" w:val="clear"/>
        </w:rPr>
        <w:t>Nota Importante a Analizar para Exposición: ¿Clasificación Alfabética Estricta vs. Asignación Pura por Cajón?</w:t>
      </w:r>
    </w:p>
    <w:p>
      <w:pPr>
        <w:pStyle w:val="BodyText"/>
        <w:bidi w:val="0"/>
        <w:spacing w:before="0" w:after="120"/>
        <w:ind w:hanging="0" w:left="270" w:right="270"/>
        <w:rPr/>
      </w:pPr>
      <w:r>
        <w:rPr>
          <w:bdr w:val="single" w:sz="24" w:space="14" w:color="2B6CB0"/>
          <w:shd w:fill="F0F7FF" w:val="clear"/>
        </w:rPr>
        <w:t xml:space="preserve">Durante el diseño e implementación del sistema surge una decisión operativa crucial para el área: </w:t>
      </w:r>
      <w:r>
        <w:rPr>
          <w:rStyle w:val="Strong"/>
          <w:bdr w:val="single" w:sz="24" w:space="14" w:color="2B6CB0"/>
          <w:shd w:fill="F0F7FF" w:val="clear"/>
        </w:rPr>
        <w:t>¿Debemos obligar a que cada cajón mantenga un rango de letras estricto (ej. A-C, D-F) o es viable prescindir de las letras y asignar los expedientes únicamente por Gaveta y Cajón conforme haya espacio físico disponible?</w:t>
      </w:r>
      <w:r>
        <w:rPr>
          <w:bdr w:val="single" w:sz="24" w:space="14" w:color="2B6CB0"/>
          <w:shd w:fill="F0F7FF" w:val="clear"/>
        </w:rPr>
        <w:t xml:space="preserve"> </w:t>
      </w:r>
    </w:p>
    <w:p>
      <w:pPr>
        <w:pStyle w:val="BodyText"/>
        <w:bidi w:val="0"/>
        <w:spacing w:before="0" w:after="120"/>
        <w:ind w:hanging="0" w:left="270" w:right="270"/>
        <w:rPr/>
      </w:pPr>
      <w:r>
        <w:rPr>
          <w:bdr w:val="single" w:sz="24" w:space="14" w:color="2B6CB0"/>
          <w:shd w:fill="F0F7FF" w:val="clear"/>
        </w:rPr>
        <w:t xml:space="preserve">Esta segunda alternativa es conocida en la logística documental moderna como </w:t>
      </w:r>
      <w:r>
        <w:rPr>
          <w:rStyle w:val="Strong"/>
          <w:bdr w:val="single" w:sz="24" w:space="14" w:color="2B6CB0"/>
          <w:shd w:fill="F0F7FF" w:val="clear"/>
        </w:rPr>
        <w:t>"Almacenamiento Dinámico / Caos Organizado"</w:t>
      </w:r>
      <w:r>
        <w:rPr>
          <w:bdr w:val="single" w:sz="24" w:space="14" w:color="2B6CB0"/>
          <w:shd w:fill="F0F7FF" w:val="clear"/>
        </w:rPr>
        <w:t xml:space="preserve"> (modelo utilizado por centros de distribución de alta densidad y archivos generales). A continuación se expone la comparativa para el análisis institucional: </w:t>
      </w:r>
    </w:p>
    <w:tbl>
      <w:tblPr>
        <w:tblW w:w="10799" w:type="dxa"/>
        <w:jc w:val="left"/>
        <w:tblInd w:w="298" w:type="dxa"/>
        <w:shd w:fill="FFFFFF" w:val="clear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52"/>
        <w:gridCol w:w="4348"/>
        <w:gridCol w:w="4199"/>
      </w:tblGrid>
      <w:tr>
        <w:trPr>
          <w:tblHeader w:val="true"/>
        </w:trPr>
        <w:tc>
          <w:tcPr>
            <w:tcW w:w="2252" w:type="dxa"/>
            <w:tcBorders/>
            <w:shd w:fill="FFFFFF" w:val="clear"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Dimensión</w:t>
            </w:r>
          </w:p>
        </w:tc>
        <w:tc>
          <w:tcPr>
            <w:tcW w:w="4348" w:type="dxa"/>
            <w:tcBorders/>
            <w:shd w:fill="FFFFFF" w:val="clear"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Modelo Tradicional por Letras (A - Z)</w:t>
            </w:r>
          </w:p>
        </w:tc>
        <w:tc>
          <w:tcPr>
            <w:tcW w:w="4199" w:type="dxa"/>
            <w:tcBorders/>
            <w:shd w:fill="FFFFFF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center"/>
              <w:rPr/>
            </w:pPr>
            <w:r>
              <w:rPr/>
              <w:t>Modelo Dinámico por Cajón (Sin Letras)</w:t>
            </w:r>
          </w:p>
        </w:tc>
      </w:tr>
      <w:tr>
        <w:trPr/>
        <w:tc>
          <w:tcPr>
            <w:tcW w:w="2252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Aprovechamiento del Espacio</w:t>
            </w:r>
          </w:p>
        </w:tc>
        <w:tc>
          <w:tcPr>
            <w:tcW w:w="4348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Deficiente.</w:t>
            </w:r>
            <w:r>
              <w:rPr/>
              <w:t xml:space="preserve"> Los cajones de letras de alta frecuencia (G, M, R) se desbordan constantemente, mientras que cajones de letras poco comunes (K, U, W, X, Z) permanecen semivacíos.</w:t>
            </w:r>
          </w:p>
        </w:tc>
        <w:tc>
          <w:tcPr>
            <w:tcW w:w="4199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Óptimo (100%).</w:t>
            </w:r>
            <w:r>
              <w:rPr/>
              <w:t xml:space="preserve"> Cada cajón se llena al tope de su capacidad física sin importar el apellido. No existen huecos ociosos en los archiveros.</w:t>
            </w:r>
          </w:p>
        </w:tc>
      </w:tr>
      <w:tr>
        <w:trPr/>
        <w:tc>
          <w:tcPr>
            <w:tcW w:w="2252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Ingreso de Nuevos Expedientes</w:t>
            </w:r>
          </w:p>
        </w:tc>
        <w:tc>
          <w:tcPr>
            <w:tcW w:w="4348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Complejo y tardado.</w:t>
            </w:r>
            <w:r>
              <w:rPr/>
              <w:t xml:space="preserve"> Para insertar un expediente nuevo en un cajón lleno, el personal debe recorrer manualmente decenas de carpetas hacia cajones contiguos.</w:t>
            </w:r>
          </w:p>
        </w:tc>
        <w:tc>
          <w:tcPr>
            <w:tcW w:w="4199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Inmediato.</w:t>
            </w:r>
            <w:r>
              <w:rPr/>
              <w:t xml:space="preserve"> El nuevo expediente se guarda en el primer cajón con espacio disponible. El sistema asocia la ubicación al instante y la búsqueda lo localiza en segundos.</w:t>
            </w:r>
          </w:p>
        </w:tc>
      </w:tr>
      <w:tr>
        <w:trPr/>
        <w:tc>
          <w:tcPr>
            <w:tcW w:w="2252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Dependencia Tecnológica</w:t>
            </w:r>
          </w:p>
        </w:tc>
        <w:tc>
          <w:tcPr>
            <w:tcW w:w="4348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Baja.</w:t>
            </w:r>
            <w:r>
              <w:rPr/>
              <w:t xml:space="preserve"> Si la red o el equipo no están disponibles, el personal puede guiarse visualmente por el orden alfabético impreso en las carátulas.</w:t>
            </w:r>
          </w:p>
        </w:tc>
        <w:tc>
          <w:tcPr>
            <w:tcW w:w="4199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Total (100%).</w:t>
            </w:r>
            <w:r>
              <w:rPr/>
              <w:t xml:space="preserve"> El personal depende obligatoriamente del sistema para saber en qué gaveta y cajón está el expediente, ya que físicamente no guardan secuencia alfabética.</w:t>
            </w:r>
          </w:p>
        </w:tc>
      </w:tr>
      <w:tr>
        <w:trPr/>
        <w:tc>
          <w:tcPr>
            <w:tcW w:w="2252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Compatibilidad con el Sistema</w:t>
            </w:r>
          </w:p>
        </w:tc>
        <w:tc>
          <w:tcPr>
            <w:tcW w:w="4348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Soportada al 100%.</w:t>
            </w:r>
            <w:r>
              <w:rPr/>
              <w:t xml:space="preserve"> El sistema filtra automáticamente las colas por el rango alfabético del cajón (ej. </w:t>
            </w:r>
            <w:r>
              <w:rPr>
                <w:rStyle w:val="SourceText"/>
              </w:rPr>
              <w:t>A - C</w:t>
            </w:r>
            <w:r>
              <w:rPr/>
              <w:t>).</w:t>
            </w:r>
          </w:p>
        </w:tc>
        <w:tc>
          <w:tcPr>
            <w:tcW w:w="4199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Soportada al 100%.</w:t>
            </w:r>
            <w:r>
              <w:rPr/>
              <w:t xml:space="preserve"> El catálogo de archiveros permite dejar el campo de rango alfabético en blanco y trabajar únicamente con número de Gaveta y Cajón.</w:t>
            </w:r>
          </w:p>
        </w:tc>
      </w:tr>
    </w:tbl>
    <w:p>
      <w:pPr>
        <w:pStyle w:val="BodyText"/>
        <w:bidi w:val="0"/>
        <w:spacing w:before="150" w:after="120"/>
        <w:ind w:hanging="0" w:left="270" w:right="270"/>
        <w:rPr/>
      </w:pPr>
      <w:r>
        <w:rPr>
          <w:rStyle w:val="Strong"/>
          <w:caps/>
          <w:color w:val="13322B"/>
          <w:sz w:val="19"/>
          <w:bdr w:val="single" w:sz="2" w:space="8" w:color="CBD5E0"/>
          <w:shd w:fill="FFFFFF" w:val="clear"/>
        </w:rPr>
        <w:t>Propuesta Híbrida Recomendada para Exposición:</w:t>
      </w:r>
      <w:r>
        <w:rPr>
          <w:bdr w:val="single" w:sz="2" w:space="8" w:color="CBD5E0"/>
          <w:shd w:fill="FFFFFF" w:val="clear"/>
        </w:rPr>
        <w:t xml:space="preserve"> </w:t>
      </w:r>
    </w:p>
    <w:p>
      <w:pPr>
        <w:pStyle w:val="BodyText"/>
        <w:bidi w:val="0"/>
        <w:spacing w:before="60" w:after="60"/>
        <w:ind w:hanging="0" w:left="330" w:right="330"/>
        <w:rPr/>
      </w:pPr>
      <w:r>
        <w:rPr>
          <w:color w:val="4A5568"/>
          <w:sz w:val="19"/>
          <w:bdr w:val="single" w:sz="2" w:space="8" w:color="CBD5E0"/>
          <w:shd w:fill="FFFFFF" w:val="clear"/>
        </w:rPr>
        <w:t xml:space="preserve">Para combinar la alta eficiencia de espacio con la tranquilidad operativa del personal, se recomienda la </w:t>
      </w:r>
      <w:r>
        <w:rPr>
          <w:rStyle w:val="Strong"/>
          <w:color w:val="4A5568"/>
          <w:sz w:val="19"/>
          <w:bdr w:val="single" w:sz="2" w:space="8" w:color="CBD5E0"/>
          <w:shd w:fill="FFFFFF" w:val="clear"/>
        </w:rPr>
        <w:t>"Clasificación Alfabética Flexible por Gaveta"</w:t>
      </w:r>
      <w:r>
        <w:rPr>
          <w:color w:val="4A5568"/>
          <w:sz w:val="19"/>
          <w:bdr w:val="single" w:sz="2" w:space="8" w:color="CBD5E0"/>
          <w:shd w:fill="FFFFFF" w:val="clear"/>
        </w:rPr>
        <w:t xml:space="preserve">: cada Archivero/Gaveta completa ampara un bloque amplio de letras (ej. Gaveta 1: A–F, Gaveta 2: G–M, Gaveta 3: N–Z). Dentro de esa gaveta, el sistema asigna y guía con precisión milimétrica el cajón exacto (1, 2, 3 o 4) donde reside la carpeta, eliminando el reacomodo manual de expedientes. </w:t>
      </w:r>
    </w:p>
    <w:p>
      <w:pPr>
        <w:pStyle w:val="Heading1"/>
        <w:bidi w:val="0"/>
        <w:ind w:hanging="0"/>
        <w:jc w:val="left"/>
        <w:rPr/>
      </w:pPr>
      <w:r>
        <w:rPr/>
        <w:t>2. Preparativos Previos (Checklist Operativo)</w:t>
      </w:r>
    </w:p>
    <w:p>
      <w:pPr>
        <w:pStyle w:val="BodyText"/>
        <w:bidi w:val="0"/>
        <w:rPr/>
      </w:pPr>
      <w:r>
        <w:rPr/>
        <w:t>Antes de iniciar formalmente las jornadas de captura en la sala de archivo, el área debe verificar los siguientes cuatro elementos: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Estación de Trabajo:</w:t>
      </w:r>
      <w:r>
        <w:rPr/>
        <w:t xml:space="preserve"> Computadora de escritorio o laptop conectada a la red local institucional con navegador moderno (Google Chrome o Microsoft Edge).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Impresora Térmica de Etiquetas:</w:t>
      </w:r>
      <w:r>
        <w:rPr/>
        <w:t xml:space="preserve"> Calibrada con rollos de etiquetas autoadhesivas estándar de archivo, verificando que la impresión de códigos de barras sea nítida y legible.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Lectores Ópticos:</w:t>
      </w:r>
      <w:r>
        <w:rPr/>
        <w:t xml:space="preserve"> Lector USB tipo pistola para la mesa de trabajo o teléfono móvil inteligente con la cámara habilitada (el sistema integra escáner autónomo sin internet).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Catálogo Inicial de Archiveros:</w:t>
      </w:r>
      <w:r>
        <w:rPr/>
        <w:t xml:space="preserve"> Registrar en el menú Sistema → Archiveros las gavetas y cajones exactamente como se encuentran rotulados hoy en día (ejemplo: Gaveta </w:t>
      </w:r>
      <w:r>
        <w:rPr>
          <w:rStyle w:val="SourceText"/>
        </w:rPr>
        <w:t>G-01</w:t>
      </w:r>
      <w:r>
        <w:rPr/>
        <w:t xml:space="preserve">, Cajones </w:t>
      </w:r>
      <w:r>
        <w:rPr>
          <w:rStyle w:val="SourceText"/>
        </w:rPr>
        <w:t>1</w:t>
      </w:r>
      <w:r>
        <w:rPr/>
        <w:t xml:space="preserve"> a </w:t>
      </w:r>
      <w:r>
        <w:rPr>
          <w:rStyle w:val="SourceText"/>
        </w:rPr>
        <w:t>4</w:t>
      </w:r>
      <w:r>
        <w:rPr/>
        <w:t xml:space="preserve"> con sus rangos </w:t>
      </w:r>
      <w:r>
        <w:rPr>
          <w:rStyle w:val="SourceText"/>
        </w:rPr>
        <w:t>A - C</w:t>
      </w:r>
      <w:r>
        <w:rPr/>
        <w:t xml:space="preserve">, </w:t>
      </w:r>
      <w:r>
        <w:rPr>
          <w:rStyle w:val="SourceText"/>
        </w:rPr>
        <w:t>D - G</w:t>
      </w:r>
      <w:r>
        <w:rPr/>
        <w:t xml:space="preserve">, etc.). </w:t>
      </w:r>
    </w:p>
    <w:p>
      <w:pPr>
        <w:pStyle w:val="Heading1"/>
        <w:bidi w:val="0"/>
        <w:jc w:val="left"/>
        <w:rPr/>
      </w:pPr>
      <w:r>
        <w:rPr/>
        <w:t>3. Metodología en Tres Fases de Adopción</w:t>
      </w:r>
    </w:p>
    <w:p>
      <w:pPr>
        <w:pStyle w:val="BodyText"/>
        <w:bidi w:val="0"/>
        <w:spacing w:before="0" w:after="150"/>
        <w:ind w:hanging="0" w:left="225" w:right="225"/>
        <w:rPr>
          <w:b/>
          <w:color w:val="C4A462"/>
          <w:sz w:val="28"/>
          <w:bdr w:val="single" w:sz="2" w:space="11" w:color="E2E8F0"/>
          <w:shd w:fill="F8FAFC" w:val="clear"/>
        </w:rPr>
      </w:pPr>
      <w:r>
        <w:rPr>
          <w:b/>
          <w:color w:val="C4A462"/>
          <w:sz w:val="28"/>
          <w:bdr w:val="single" w:sz="2" w:space="11" w:color="E2E8F0"/>
          <w:shd w:fill="F8FAFC" w:val="clear"/>
        </w:rPr>
        <w:t>1</w:t>
      </w:r>
    </w:p>
    <w:p>
      <w:pPr>
        <w:pStyle w:val="BodyText"/>
        <w:bidi w:val="0"/>
        <w:spacing w:before="0" w:after="150"/>
        <w:ind w:hanging="0" w:left="225" w:right="225"/>
        <w:rPr/>
      </w:pPr>
      <w:r>
        <w:rPr>
          <w:rStyle w:val="Strong"/>
          <w:bdr w:val="single" w:sz="2" w:space="11" w:color="E2E8F0"/>
          <w:shd w:fill="F8FAFC" w:val="clear"/>
        </w:rPr>
        <w:t>Fase 1: Censo y Etiquetado Masivo ("Cajón por Cajón")</w:t>
      </w:r>
      <w:r>
        <w:rPr>
          <w:bdr w:val="single" w:sz="2" w:space="11" w:color="E2E8F0"/>
          <w:shd w:fill="F8FAFC" w:val="clear"/>
        </w:rPr>
        <w:br/>
        <w:t xml:space="preserve">Digitalización estricta gaveta por gaveta con el módulo de </w:t>
      </w:r>
      <w:r>
        <w:rPr>
          <w:rStyle w:val="Emphasis"/>
          <w:bdr w:val="single" w:sz="2" w:space="11" w:color="E2E8F0"/>
          <w:shd w:fill="F8FAFC" w:val="clear"/>
        </w:rPr>
        <w:t>Alta Continua</w:t>
      </w:r>
      <w:r>
        <w:rPr>
          <w:bdr w:val="single" w:sz="2" w:space="11" w:color="E2E8F0"/>
          <w:shd w:fill="F8FAFC" w:val="clear"/>
        </w:rPr>
        <w:t xml:space="preserve">. Cada cajón concluido queda 100% blindado sin alterar su orden tradicional. </w:t>
      </w:r>
    </w:p>
    <w:p>
      <w:pPr>
        <w:pStyle w:val="BodyText"/>
        <w:bidi w:val="0"/>
        <w:spacing w:before="0" w:after="150"/>
        <w:ind w:hanging="0" w:left="225" w:right="225"/>
        <w:rPr>
          <w:b/>
          <w:color w:val="C4A462"/>
          <w:sz w:val="28"/>
          <w:bdr w:val="single" w:sz="2" w:space="11" w:color="E2E8F0"/>
          <w:shd w:fill="F8FAFC" w:val="clear"/>
        </w:rPr>
      </w:pPr>
      <w:r>
        <w:rPr>
          <w:b/>
          <w:color w:val="C4A462"/>
          <w:sz w:val="28"/>
          <w:bdr w:val="single" w:sz="2" w:space="11" w:color="E2E8F0"/>
          <w:shd w:fill="F8FAFC" w:val="clear"/>
        </w:rPr>
        <w:t>2</w:t>
      </w:r>
    </w:p>
    <w:p>
      <w:pPr>
        <w:pStyle w:val="BodyText"/>
        <w:bidi w:val="0"/>
        <w:spacing w:before="0" w:after="150"/>
        <w:ind w:hanging="0" w:left="225" w:right="225"/>
        <w:rPr/>
      </w:pPr>
      <w:r>
        <w:rPr>
          <w:rStyle w:val="Strong"/>
          <w:bdr w:val="single" w:sz="2" w:space="11" w:color="E2E8F0"/>
          <w:shd w:fill="F8FAFC" w:val="clear"/>
        </w:rPr>
        <w:t>Fase 2: Circuito Estricto de Préstamos (Tolerancia Cero)</w:t>
      </w:r>
      <w:r>
        <w:rPr>
          <w:bdr w:val="single" w:sz="2" w:space="11" w:color="E2E8F0"/>
          <w:shd w:fill="F8FAFC" w:val="clear"/>
        </w:rPr>
        <w:br/>
        <w:t xml:space="preserve">A partir del inicio del proyecto, ningún expediente sale de Recursos Humanos sin registro digital previo, aprovechando los préstamos para etiquetar carpetas rezagadas. </w:t>
      </w:r>
    </w:p>
    <w:p>
      <w:pPr>
        <w:pStyle w:val="BodyText"/>
        <w:bidi w:val="0"/>
        <w:spacing w:before="0" w:after="150"/>
        <w:ind w:hanging="0" w:left="225" w:right="225"/>
        <w:rPr>
          <w:b/>
          <w:color w:val="C4A462"/>
          <w:sz w:val="28"/>
          <w:bdr w:val="single" w:sz="2" w:space="11" w:color="E2E8F0"/>
          <w:shd w:fill="F8FAFC" w:val="clear"/>
        </w:rPr>
      </w:pPr>
      <w:r>
        <w:rPr>
          <w:b/>
          <w:color w:val="C4A462"/>
          <w:sz w:val="28"/>
          <w:bdr w:val="single" w:sz="2" w:space="11" w:color="E2E8F0"/>
          <w:shd w:fill="F8FAFC" w:val="clear"/>
        </w:rPr>
        <w:t>3</w:t>
      </w:r>
    </w:p>
    <w:p>
      <w:pPr>
        <w:pStyle w:val="BodyText"/>
        <w:bidi w:val="0"/>
        <w:spacing w:before="0" w:after="150"/>
        <w:ind w:hanging="0" w:left="225" w:right="225"/>
        <w:rPr/>
      </w:pPr>
      <w:r>
        <w:rPr>
          <w:rStyle w:val="Strong"/>
          <w:bdr w:val="single" w:sz="2" w:space="11" w:color="E2E8F0"/>
          <w:shd w:fill="F8FAFC" w:val="clear"/>
        </w:rPr>
        <w:t>Fase 3: Auditorías de Control y Reubicación Dinámica</w:t>
      </w:r>
      <w:r>
        <w:rPr>
          <w:bdr w:val="single" w:sz="2" w:space="11" w:color="E2E8F0"/>
          <w:shd w:fill="F8FAFC" w:val="clear"/>
        </w:rPr>
        <w:br/>
        <w:t xml:space="preserve">Mantenimiento preventivo periódico con escáner inteligente para verificar que el contenido físico de los cajones coincida con la base de datos. </w:t>
      </w:r>
    </w:p>
    <w:p>
      <w:pPr>
        <w:pStyle w:val="Heading1"/>
        <w:bidi w:val="0"/>
        <w:jc w:val="left"/>
        <w:rPr/>
      </w:pPr>
      <w:r>
        <w:rPr/>
        <w:t>4. Fase 1: Procedimiento de Alta Continua</w:t>
      </w:r>
    </w:p>
    <w:p>
      <w:pPr>
        <w:pStyle w:val="BodyText"/>
        <w:bidi w:val="0"/>
        <w:rPr/>
      </w:pPr>
      <w:r>
        <w:rPr/>
        <w:t>Este módulo fue creado para capturar a gran velocidad sin necesidad de navegar entre pantallas: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Selección de Sesión:</w:t>
      </w:r>
      <w:r>
        <w:rPr/>
        <w:t xml:space="preserve"> En el menú lateral, ingresar a Expedientes → Alta Continua (WIP). Seleccionar el archivero (ej. </w:t>
      </w:r>
      <w:r>
        <w:rPr>
          <w:rStyle w:val="SourceText"/>
        </w:rPr>
        <w:t>G-01</w:t>
      </w:r>
      <w:r>
        <w:rPr/>
        <w:t xml:space="preserve">) y el cajón correspondiente (ej. </w:t>
      </w:r>
      <w:r>
        <w:rPr>
          <w:rStyle w:val="SourceText"/>
        </w:rPr>
        <w:t>Cajón 1 — [ Rango: A - C ]</w:t>
      </w:r>
      <w:r>
        <w:rPr/>
        <w:t xml:space="preserve">). El sistema mostrará la cantidad de empleados pendientes y censados.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Extracción Física:</w:t>
      </w:r>
      <w:r>
        <w:rPr/>
        <w:t xml:space="preserve"> El operador toma la primera carpeta física del cajón. En pantalla aparecerá automáticamente el primer empleado pendiente en orden alfabético.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Cotejo y Creación:</w:t>
      </w:r>
      <w:r>
        <w:rPr/>
        <w:t xml:space="preserve"> Se confirma que los datos en pantalla (RFC, número de empleado, puesto) coincidan con la carpeta en mano y se presiona </w:t>
      </w:r>
      <w:r>
        <w:rPr>
          <w:rStyle w:val="Strong"/>
        </w:rPr>
        <w:t>"Crear Expediente y Etiqueta"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Impresión y Pegado:</w:t>
      </w:r>
      <w:r>
        <w:rPr/>
        <w:t xml:space="preserve"> Se presiona el botón </w:t>
      </w:r>
      <w:r>
        <w:rPr>
          <w:rStyle w:val="Strong"/>
        </w:rPr>
        <w:t>"Imprimir Etiqueta"</w:t>
      </w:r>
      <w:r>
        <w:rPr/>
        <w:t xml:space="preserve">. La impresora emite la etiqueta con código de barras institucional. Se adhiere al lomo de la carpeta y se regresa al cajón.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Avance Inmediato:</w:t>
      </w:r>
      <w:r>
        <w:rPr/>
        <w:t xml:space="preserve"> Se presiona </w:t>
      </w:r>
      <w:r>
        <w:rPr>
          <w:rStyle w:val="Strong"/>
        </w:rPr>
        <w:t>"Confirmar y Siguiente"</w:t>
      </w:r>
      <w:r>
        <w:rPr/>
        <w:t xml:space="preserve"> y el sistema presenta automáticamente el siguiente expediente. </w:t>
      </w:r>
    </w:p>
    <w:p>
      <w:pPr>
        <w:pStyle w:val="BodyText"/>
        <w:bidi w:val="0"/>
        <w:spacing w:before="0" w:after="60"/>
        <w:ind w:hanging="0" w:left="225" w:right="225"/>
        <w:rPr>
          <w:b/>
          <w:caps/>
          <w:color w:val="13322B"/>
          <w:spacing w:val="0"/>
          <w:sz w:val="20"/>
          <w:bdr w:val="single" w:sz="24" w:space="12" w:color="13322B"/>
          <w:shd w:fill="F7FAFC" w:val="clear"/>
        </w:rPr>
      </w:pPr>
      <w:r>
        <w:rPr>
          <w:b/>
          <w:caps/>
          <w:color w:val="13322B"/>
          <w:spacing w:val="0"/>
          <w:sz w:val="20"/>
          <w:bdr w:val="single" w:sz="24" w:space="12" w:color="13322B"/>
          <w:shd w:fill="F7FAFC" w:val="clear"/>
        </w:rPr>
        <w:t>Protocolo para Excepciones Durante el Censo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934" w:leader="none"/>
        </w:tabs>
        <w:bidi w:val="0"/>
        <w:spacing w:before="225" w:after="225"/>
        <w:ind w:hanging="283" w:left="934" w:right="225"/>
        <w:rPr/>
      </w:pPr>
      <w:r>
        <w:rPr>
          <w:rStyle w:val="Strong"/>
          <w:bdr w:val="single" w:sz="24" w:space="12" w:color="13322B"/>
          <w:shd w:fill="F7FAFC" w:val="clear"/>
        </w:rPr>
        <w:t>Si el empleado en pantalla no tiene carpeta en ese cajón:</w:t>
      </w:r>
      <w:r>
        <w:rPr>
          <w:bdr w:val="single" w:sz="24" w:space="12" w:color="13322B"/>
          <w:shd w:fill="F7FAFC" w:val="clear"/>
        </w:rPr>
        <w:t xml:space="preserve"> Presionar el botón </w:t>
      </w:r>
      <w:r>
        <w:rPr>
          <w:rStyle w:val="Strong"/>
          <w:bdr w:val="single" w:sz="24" w:space="12" w:color="13322B"/>
          <w:shd w:fill="F7FAFC" w:val="clear"/>
        </w:rPr>
        <w:t>"Aplazar (carpeta no está en este lote)"</w:t>
      </w:r>
      <w:r>
        <w:rPr>
          <w:bdr w:val="single" w:sz="24" w:space="12" w:color="13322B"/>
          <w:shd w:fill="F7FAFC" w:val="clear"/>
        </w:rPr>
        <w:t xml:space="preserve">. El empleado pasa a la bandeja inferior de espera y el flujo continúa sin trabarse.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934" w:leader="none"/>
        </w:tabs>
        <w:bidi w:val="0"/>
        <w:spacing w:before="225" w:after="225"/>
        <w:ind w:hanging="283" w:left="934" w:right="225"/>
        <w:rPr/>
      </w:pPr>
      <w:r>
        <w:rPr>
          <w:rStyle w:val="Strong"/>
          <w:bdr w:val="single" w:sz="24" w:space="12" w:color="13322B"/>
          <w:shd w:fill="F7FAFC" w:val="clear"/>
        </w:rPr>
        <w:t>Si aparece una carpeta que pertenece a otra letra:</w:t>
      </w:r>
      <w:r>
        <w:rPr>
          <w:bdr w:val="single" w:sz="24" w:space="12" w:color="13322B"/>
          <w:shd w:fill="F7FAFC" w:val="clear"/>
        </w:rPr>
        <w:t xml:space="preserve"> Se aparta físicamente en una bandeja de "Pendientes de Reubicación" para ingresarla cuando se trabaje su cajón correspondiente.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934" w:leader="none"/>
        </w:tabs>
        <w:bidi w:val="0"/>
        <w:spacing w:before="225" w:after="225"/>
        <w:ind w:hanging="283" w:left="934" w:right="225"/>
        <w:rPr/>
      </w:pPr>
      <w:r>
        <w:rPr>
          <w:rStyle w:val="Strong"/>
          <w:bdr w:val="single" w:sz="24" w:space="12" w:color="13322B"/>
          <w:shd w:fill="F7FAFC" w:val="clear"/>
        </w:rPr>
        <w:t>Doble verificación de seguridad:</w:t>
      </w:r>
      <w:r>
        <w:rPr>
          <w:bdr w:val="single" w:sz="24" w:space="12" w:color="13322B"/>
          <w:shd w:fill="F7FAFC" w:val="clear"/>
        </w:rPr>
        <w:t xml:space="preserve"> Si un empleado ya tenía expediente previo, el sistema bloquea automáticamente la creación para evitar duplicidades. </w:t>
      </w:r>
    </w:p>
    <w:p>
      <w:pPr>
        <w:pStyle w:val="Heading1"/>
        <w:bidi w:val="0"/>
        <w:ind w:hanging="0"/>
        <w:jc w:val="left"/>
        <w:rPr/>
      </w:pPr>
      <w:r>
        <w:rPr/>
        <w:t>5. Fase 2: Circuito de Préstamos y Custodia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83"/>
        <w:gridCol w:w="2113"/>
        <w:gridCol w:w="7743"/>
      </w:tblGrid>
      <w:tr>
        <w:trPr>
          <w:tblHeader w:val="true"/>
        </w:trPr>
        <w:tc>
          <w:tcPr>
            <w:tcW w:w="1483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Etapa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Responsable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center"/>
              <w:rPr/>
            </w:pPr>
            <w:r>
              <w:rPr/>
              <w:t>Acción Operativa</w:t>
            </w:r>
          </w:p>
        </w:tc>
      </w:tr>
      <w:tr>
        <w:trPr/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1. Solicitud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Usuario Solicitante / RH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Se registra la petición en el sistema especificando el motivo oficial del préstamo.</w:t>
            </w:r>
          </w:p>
        </w:tc>
      </w:tr>
      <w:tr>
        <w:trPr/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2. Aprobación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Encargado de Archivo (RH)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Valida la solicitud en la Mesa de Control. Al autorizar, se genera la orden de extracción para el operador.</w:t>
            </w:r>
          </w:p>
        </w:tc>
      </w:tr>
      <w:tr>
        <w:trPr/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3. Extracción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Operador (Planta Baja)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Localiza la carpeta en la gaveta y escanea el código de barras en la pantalla de Despacho. El estado cambia en tiempo real a "Extraído".</w:t>
            </w:r>
          </w:p>
        </w:tc>
      </w:tr>
      <w:tr>
        <w:trPr/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4. Entrega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Encargado de Archivo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Registra la nota de inspección física (número de fojas y estado de carátula) y entrega la carpeta física al solicitante.</w:t>
            </w:r>
          </w:p>
        </w:tc>
      </w:tr>
      <w:tr>
        <w:trPr/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5. Devolución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Operador / Encargado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Al recibir la carpeta devuelta, se escanea su código y se registra el estado físico en que se recibe. Se coloca en su gaveta y se confirma el re-archivado.</w:t>
            </w:r>
          </w:p>
        </w:tc>
      </w:tr>
    </w:tbl>
    <w:p>
      <w:pPr>
        <w:pStyle w:val="Heading1"/>
        <w:bidi w:val="0"/>
        <w:jc w:val="left"/>
        <w:rPr/>
      </w:pPr>
      <w:r>
        <w:rPr/>
        <w:t>6. Fase 3: Auditorías y Reubicación Dinámica</w:t>
      </w:r>
    </w:p>
    <w:p>
      <w:pPr>
        <w:pStyle w:val="BodyText"/>
        <w:bidi w:val="0"/>
        <w:rPr/>
      </w:pPr>
      <w:r>
        <w:rPr/>
        <w:t>Conforme los expedientes circulan por trámites administrativos, no es necesario volver a reorganizar el archivo a mano: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Reubicación Dinámica:</w:t>
      </w:r>
      <w:r>
        <w:rPr/>
        <w:t xml:space="preserve"> Si un expediente devuelto ya no cabe en su cajón original, el operador accede a Expedientes → Escáner Inteligente, escanea el código y le asigna una nueva gaveta. La base de datos y la bitácora histórica quedan actualizadas de inmediato.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Auditoría Preventiva:</w:t>
      </w:r>
      <w:r>
        <w:rPr/>
        <w:t xml:space="preserve"> En Expedientes → Auditoría, el supervisor puede seleccionar un cajón y pistolear consecutivamente todos los expedientes presentes. El sistema marcará en verde los correctos, alertará si falta alguno prestado y detectará carpetas mal ubicadas. </w:t>
      </w:r>
    </w:p>
    <w:p>
      <w:pPr>
        <w:pStyle w:val="Heading1"/>
        <w:bidi w:val="0"/>
        <w:jc w:val="left"/>
        <w:rPr/>
      </w:pPr>
      <w:r>
        <w:rPr/>
        <w:t>7. Plan de Trabajo Recomendado (Primeras Dos Semanas)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2"/>
        <w:gridCol w:w="5038"/>
        <w:gridCol w:w="4619"/>
      </w:tblGrid>
      <w:tr>
        <w:trPr>
          <w:tblHeader w:val="true"/>
        </w:trPr>
        <w:tc>
          <w:tcPr>
            <w:tcW w:w="1682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Período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Heading"/>
              <w:bidi w:val="0"/>
              <w:spacing w:before="0" w:after="120"/>
              <w:ind w:hanging="0" w:left="0" w:right="0"/>
              <w:rPr/>
            </w:pPr>
            <w:r>
              <w:rPr/>
              <w:t>Objetivo Principal</w:t>
            </w:r>
          </w:p>
        </w:tc>
        <w:tc>
          <w:tcPr>
            <w:tcW w:w="46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120"/>
              <w:jc w:val="center"/>
              <w:rPr/>
            </w:pPr>
            <w:r>
              <w:rPr/>
              <w:t>Meta Tangible</w:t>
            </w:r>
          </w:p>
        </w:tc>
      </w:tr>
      <w:tr>
        <w:trPr/>
        <w:tc>
          <w:tcPr>
            <w:tcW w:w="168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Semana 1 (Días 1-2)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Configuración del catálogo de ubicaciones físicas y calibración de impresoras térmicas.</w:t>
            </w:r>
          </w:p>
        </w:tc>
        <w:tc>
          <w:tcPr>
            <w:tcW w:w="461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Catálogo completo de archiveros cargado en el sistema.</w:t>
            </w:r>
          </w:p>
        </w:tc>
      </w:tr>
      <w:tr>
        <w:trPr/>
        <w:tc>
          <w:tcPr>
            <w:tcW w:w="168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Semana 1 (Días 3-5)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Prueba piloto de Alta Continua con la Gaveta G-01 y capacitación del personal de ventanilla.</w:t>
            </w:r>
          </w:p>
        </w:tc>
        <w:tc>
          <w:tcPr>
            <w:tcW w:w="461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Primer cajón 100% etiquetado y personal familiarizado con el escáner.</w:t>
            </w:r>
          </w:p>
        </w:tc>
      </w:tr>
      <w:tr>
        <w:trPr/>
        <w:tc>
          <w:tcPr>
            <w:tcW w:w="168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>
                <w:rStyle w:val="Strong"/>
              </w:rPr>
              <w:t>Semana 2 en adelante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Cierre de préstamos manuales e inicio del censo progresivo diario.</w:t>
            </w:r>
          </w:p>
        </w:tc>
        <w:tc>
          <w:tcPr>
            <w:tcW w:w="461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rPr/>
            </w:pPr>
            <w:r>
              <w:rPr/>
              <w:t>Cero salidas informales sin folio digital y avance de 1 a 2 cajones censados por día.</w:t>
            </w:r>
          </w:p>
        </w:tc>
      </w:tr>
    </w:tbl>
    <w:p>
      <w:pPr>
        <w:pStyle w:val="BodyText"/>
        <w:bidi w:val="0"/>
        <w:spacing w:before="600" w:after="120"/>
        <w:ind w:hanging="0" w:left="0" w:right="0"/>
        <w:jc w:val="center"/>
        <w:rPr>
          <w:color w:val="A0AEC0"/>
          <w:sz w:val="17"/>
          <w:bdr w:val="single" w:sz="2" w:space="8" w:color="E2E8F0"/>
        </w:rPr>
      </w:pPr>
      <w:r>
        <w:rPr>
          <w:color w:val="A0AEC0"/>
          <w:sz w:val="17"/>
          <w:bdr w:val="single" w:sz="2" w:space="8" w:color="E2E8F0"/>
        </w:rPr>
        <w:t xml:space="preserve">ISSSTE Baja California — Plataforma Integral de Gestión y Control Documental de Archivo (2026) </w:t>
      </w:r>
    </w:p>
    <w:sectPr>
      <w:type w:val="nextPage"/>
      <w:pgSz w:w="11906" w:h="16838"/>
      <w:pgMar w:left="1134" w:right="1134" w:gutter="0" w:header="0" w:top="1417" w:footer="0" w:bottom="141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Segoe UI"/>
    <w:charset w:val="01"/>
    <w:family w:val="auto"/>
    <w:pitch w:val="default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Calibri;Segoe UI;Arial;sans-serif" w:hAnsi="Calibri;Segoe UI;Arial;sans-serif" w:eastAsia="Calibri;Segoe UI;Arial;sans-serif" w:cs="Calibri;Segoe UI;Arial;sans-serif"/>
      <w:color w:val="2D3748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4" w:color="E2E8F0"/>
      </w:pBdr>
      <w:spacing w:before="375" w:after="180"/>
    </w:pPr>
    <w:rPr>
      <w:b/>
      <w:bCs/>
      <w:caps/>
      <w:color w:val="13322B"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270" w:after="120"/>
      <w:outlineLvl w:val="1"/>
    </w:pPr>
    <w:rPr>
      <w:rFonts w:ascii="Liberation Serif" w:hAnsi="Liberation Serif" w:eastAsia="Noto Serif CJK SC" w:cs="Liberation Sans"/>
      <w:b/>
      <w:bCs/>
      <w:color w:val="234E43"/>
      <w:sz w:val="25"/>
      <w:szCs w:val="25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erif CJK SC" w:cs="Liberation Sans"/>
      <w:b/>
      <w:bCs/>
      <w:color w:val="4A5568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Manual Metodológico de Implementación y Operación - Archivo ISSSTE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