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im_is_real"/>
      <w:r>
        <w:rPr>
          <w:rFonts w:eastAsia="georgia" w:cs="georgia" w:ascii="georgia" w:hAnsi="georgia"/>
          <w:b/>
          <w:color w:val="000000"/>
          <w:sz w:val="39"/>
        </w:rPr>
        <w:t xml:space="preserve">SIM is REAL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ocumento_maestro_versione_impagi_125208"/>
      <w:r>
        <w:rPr>
          <w:rFonts w:eastAsia="georgia" w:cs="georgia" w:ascii="georgia" w:hAnsi="georgia"/>
          <w:b/>
          <w:color w:val="000000"/>
          <w:sz w:val="24"/>
        </w:rPr>
        <w:t xml:space="preserve">Documento Maestro — Versione impaginata per consegna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Stato del documento:</w:t>
      </w:r>
      <w:r>
        <w:rPr>
          <w:rFonts w:eastAsia="georgia" w:cs="georgia" w:ascii="georgia" w:hAnsi="georgia"/>
          <w:color w:val="000000"/>
        </w:rPr>
        <w:t xml:space="preserve"> bozza strutturata per consegna interna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Fonte di base:</w:t>
      </w:r>
      <w:r>
        <w:rPr>
          <w:rFonts w:eastAsia="georgia" w:cs="georgia" w:ascii="georgia" w:hAnsi="georgia"/>
          <w:color w:val="000000"/>
        </w:rPr>
        <w:t xml:space="preserve"> Documento Maestro integrale [cite:1292]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 di impaginazione:</w:t>
      </w:r>
      <w:r>
        <w:rPr>
          <w:rFonts w:eastAsia="georgia" w:cs="georgia" w:ascii="georgia" w:hAnsi="georgia"/>
          <w:color w:val="000000"/>
        </w:rPr>
        <w:t xml:space="preserve"> maggio 2026</w:t>
      </w:r>
    </w:p>
    <w:p>
      <w:pPr>
        <w:spacing w:line="360" w:before="315" w:after="105" w:lineRule="auto"/>
        <w:ind w:left="-30"/>
        <w:jc w:val="left"/>
      </w:pPr>
      <w:bookmarkStart w:id="2" w:name="premessa"/>
      <w:r>
        <w:rPr>
          <w:rFonts w:eastAsia="georgia" w:cs="georgia" w:ascii="georgia" w:hAnsi="georgia"/>
          <w:b/>
          <w:color w:val="000000"/>
          <w:sz w:val="24"/>
        </w:rPr>
        <w:t xml:space="preserve">Premessa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presente documento costituisce una versione riordinata e impaginata del testo strategico principale di SIM is REAL, con finalità di consegna, lettura direzionale e prima circolazione interna.[cite:1292]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L’impostazione originaria definisce SIM is REAL come una piattaforma che intende colmare il divario tra simulazione e professionismo certificato, trasformando il tempo di gara in valore reale attraverso ranking verificato, premi, identità certificata e progressione di carriera.[cite:1292]</w:t>
      </w:r>
    </w:p>
    <w:p>
      <w:pPr>
        <w:spacing w:line="360" w:before="315" w:after="105" w:lineRule="auto"/>
        <w:ind w:left="-30"/>
        <w:jc w:val="left"/>
      </w:pPr>
      <w:bookmarkStart w:id="3" w:name="visione_e_missione"/>
      <w:r>
        <w:rPr>
          <w:rFonts w:eastAsia="georgia" w:cs="georgia" w:ascii="georgia" w:hAnsi="georgia"/>
          <w:b/>
          <w:color w:val="000000"/>
          <w:sz w:val="24"/>
        </w:rPr>
        <w:t xml:space="preserve">Visione e missione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è presentata come una piattaforma di carriera per il simracing competitivo, fondata sul principio secondo cui il merito di guida rappresenta il parametro centrale di valutazione.[cite:1292]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imposta fin dall’inizio un posizionamento netto: non un videogioco, ma un ecosistema regolato in cui il pilota trova categoria, opportunità, percorso di crescita e riconoscimento progressivo.[cite:1292]</w:t>
      </w:r>
    </w:p>
    <w:p>
      <w:pPr>
        <w:spacing w:line="360" w:before="315" w:after="105" w:lineRule="auto"/>
        <w:ind w:left="-30"/>
        <w:jc w:val="left"/>
      </w:pPr>
      <w:bookmarkStart w:id="4" w:name="identità_unificata"/>
      <w:r>
        <w:rPr>
          <w:rFonts w:eastAsia="georgia" w:cs="georgia" w:ascii="georgia" w:hAnsi="georgia"/>
          <w:b/>
          <w:color w:val="000000"/>
          <w:sz w:val="24"/>
        </w:rPr>
        <w:t xml:space="preserve">Identità unificata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L’architettura prevista assegna a ogni utente una sola identità ufficiale, valida trasversalmente sui simulatori supportati, con dichiarazione degli alias esterni e regole di corrispondenza tra username federale e account di piattaforma.[cite:1292]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impianto è descritto come “Hub Agnostico” e ha la funzione di garantire continuità, tracciabilità e univocità del profilo competitivo del pilota.[cite:1292]</w:t>
      </w:r>
    </w:p>
    <w:p>
      <w:pPr>
        <w:spacing w:line="360" w:before="315" w:after="105" w:lineRule="auto"/>
        <w:ind w:left="-30"/>
        <w:jc w:val="left"/>
      </w:pPr>
      <w:bookmarkStart w:id="5" w:name="progressione_sportiva"/>
      <w:r>
        <w:rPr>
          <w:rFonts w:eastAsia="georgia" w:cs="georgia" w:ascii="georgia" w:hAnsi="georgia"/>
          <w:b/>
          <w:color w:val="000000"/>
          <w:sz w:val="24"/>
        </w:rPr>
        <w:t xml:space="preserve">Progressione sportiva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di avanzamento previsto non contempla retrocessione di categoria: l’ingresso avviene tramite tempo di qualifica certificato, mentre la crescita dipende dall’accumulo di punti e dal superamento di soglie percentuali o di ranking.[cite:1292]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categoria viene quindi trattata come certificazione del percorso svolto e non come posizione reversibile da difendere gara per gara.[cite:1292]</w:t>
      </w:r>
    </w:p>
    <w:p>
      <w:pPr>
        <w:spacing w:line="360" w:before="315" w:after="105" w:lineRule="auto"/>
        <w:ind w:left="-30"/>
        <w:jc w:val="left"/>
      </w:pPr>
      <w:bookmarkStart w:id="6" w:name="architettura_sportiva"/>
      <w:r>
        <w:rPr>
          <w:rFonts w:eastAsia="georgia" w:cs="georgia" w:ascii="georgia" w:hAnsi="georgia"/>
          <w:b/>
          <w:color w:val="000000"/>
          <w:sz w:val="24"/>
        </w:rPr>
        <w:t xml:space="preserve">Architettura sportiva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definisce un percorso strutturato di categorie pilota: START, ROOKIE, AMATEUR, SEMI-PRO, PRO, fino allo status di Pilota Ufficiale di Scuderia e alla categoria K, descritta come vertice assoluto del sistema.[cite:1292]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categoria K è concepita come istituzione a numero chiuso, con selezione indiretta tramite proposta di scuderia, valutazione tecnica e accesso solo in presenza di slot disponibili.[cite:1292]</w:t>
      </w:r>
    </w:p>
    <w:p>
      <w:pPr>
        <w:spacing w:line="360" w:before="315" w:after="105" w:lineRule="auto"/>
        <w:ind w:left="-30"/>
        <w:jc w:val="left"/>
      </w:pPr>
      <w:bookmarkStart w:id="7" w:name="time_attack_e_ranking"/>
      <w:r>
        <w:rPr>
          <w:rFonts w:eastAsia="georgia" w:cs="georgia" w:ascii="georgia" w:hAnsi="georgia"/>
          <w:b/>
          <w:color w:val="000000"/>
          <w:sz w:val="24"/>
        </w:rPr>
        <w:t xml:space="preserve">Time Attack e ranking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Ogni pilota, singolo o iscritto da una scuderia, deve completare un giro di qualifica ufficiale su specifiche tecniche predefinite per ottenere il ranking iniziale.[cite:1292]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prevede inoltre un sistema anti-abuso volto a rilevare discordanze tra categoria assegnata e prestazioni reali, con rivalutazione automatica in caso di scostamenti significativi.[cite:1292]</w:t>
      </w:r>
    </w:p>
    <w:p>
      <w:pPr>
        <w:spacing w:line="360" w:before="315" w:after="105" w:lineRule="auto"/>
        <w:ind w:left="-30"/>
        <w:jc w:val="left"/>
      </w:pPr>
      <w:bookmarkStart w:id="8" w:name="sportività_e_punteggio"/>
      <w:r>
        <w:rPr>
          <w:rFonts w:eastAsia="georgia" w:cs="georgia" w:ascii="georgia" w:hAnsi="georgia"/>
          <w:b/>
          <w:color w:val="000000"/>
          <w:sz w:val="24"/>
        </w:rPr>
        <w:t xml:space="preserve">Sportività e punteggio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L’impianto concettuale distingue la componente velocità dalla componente sportività, attribuendo a quest’ultima un peso strutturale nel punteggio complessivo del pilota.[cite:1292]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Incidenti provocati, tagli di pista, comportamento in difesa, sorpassi puliti, rispetto delle bandiere e storico disciplinare vengono indicati come elementi di valutazione permanente.[cite:1292]</w:t>
      </w:r>
    </w:p>
    <w:p>
      <w:pPr>
        <w:spacing w:line="360" w:before="315" w:after="105" w:lineRule="auto"/>
        <w:ind w:left="-30"/>
        <w:jc w:val="left"/>
      </w:pPr>
      <w:bookmarkStart w:id="9" w:name="sistema_scuderie"/>
      <w:r>
        <w:rPr>
          <w:rFonts w:eastAsia="georgia" w:cs="georgia" w:ascii="georgia" w:hAnsi="georgia"/>
          <w:b/>
          <w:color w:val="000000"/>
          <w:sz w:val="24"/>
        </w:rPr>
        <w:t xml:space="preserve">Sistema scuderie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scuderie sono descritte come entità organizzative con diritti e obblighi specifici, articolate in Academy Team, Team Indipendente, Team Pro, Team Ufficiale e Team Factory di brand automobilistici.[cite:1292]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L’impianto regolatorio prevede obblighi come academy interna, estrazione periodica di talenti dal bacino libero, retention fee per il mantenimento dei piloti di vertice e possibilità di prestito tra scuderie tramite contratti on-chain.[cite:1292]</w:t>
      </w:r>
    </w:p>
    <w:p>
      <w:pPr>
        <w:spacing w:line="360" w:before="315" w:after="105" w:lineRule="auto"/>
        <w:ind w:left="-30"/>
        <w:jc w:val="left"/>
      </w:pPr>
      <w:bookmarkStart w:id="10" w:name="contratti_e_portale_team"/>
      <w:r>
        <w:rPr>
          <w:rFonts w:eastAsia="georgia" w:cs="georgia" w:ascii="georgia" w:hAnsi="georgia"/>
          <w:b/>
          <w:color w:val="000000"/>
          <w:sz w:val="24"/>
        </w:rPr>
        <w:t xml:space="preserve">Contratti e portale team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portale dedicato alle scuderie è concepito per centralizzare iscrizioni, roster, academy, campionati, telemetria e contrattualistica.[cite:1292]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Anche in ambito team, resta fermo il principio per cui ogni pilota deve comunque sostenere il giro di qualifica individuale per la certificazione del ranking.[cite:1292]</w:t>
      </w:r>
    </w:p>
    <w:p>
      <w:pPr>
        <w:spacing w:line="360" w:before="315" w:after="105" w:lineRule="auto"/>
        <w:ind w:left="-30"/>
        <w:jc w:val="left"/>
      </w:pPr>
      <w:bookmarkStart w:id="11" w:name="economia_della_piattaforma"/>
      <w:r>
        <w:rPr>
          <w:rFonts w:eastAsia="georgia" w:cs="georgia" w:ascii="georgia" w:hAnsi="georgia"/>
          <w:b/>
          <w:color w:val="000000"/>
          <w:sz w:val="24"/>
        </w:rPr>
        <w:t xml:space="preserve">Economia della piattaforma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modello economico è basato su quote di iscrizione, montepremi, commissioni di piattaforma, abbonamenti per team e piloti, integrazioni brand e marketplace di asset digitali.[cite:1292]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introduce inoltre un sistema di escrow su blockchain per il blocco preventivo dei premi, un Fondo Piloti per tutele e formazione e una logica IPFi per la certificazione e valorizzazione della proprietà intellettuale digitale prodotta dai partecipanti.[cite:1292]</w:t>
      </w:r>
    </w:p>
    <w:p>
      <w:pPr>
        <w:spacing w:line="360" w:before="315" w:after="105" w:lineRule="auto"/>
        <w:ind w:left="-30"/>
        <w:jc w:val="left"/>
      </w:pPr>
      <w:bookmarkStart w:id="12" w:name="fonti_di_ricavo"/>
      <w:r>
        <w:rPr>
          <w:rFonts w:eastAsia="georgia" w:cs="georgia" w:ascii="georgia" w:hAnsi="georgia"/>
          <w:b/>
          <w:color w:val="000000"/>
          <w:sz w:val="24"/>
        </w:rPr>
        <w:t xml:space="preserve">Fonti di ricavo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Tra le linee di ricavo previste compaiono platform fee sui montepremi, subscription mensili per scuderie, premium individuale per piloti, sponsorship e commissioni marketplace.[cite:1292]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Nella sezione business model il documento delinea anche una stima di costi operativi mensili e una break-even analysis fondata su combinazione di gare, scuderie abbonate e piloti premium.[cite:1292]</w:t>
      </w:r>
    </w:p>
    <w:p>
      <w:pPr>
        <w:spacing w:line="360" w:before="315" w:after="105" w:lineRule="auto"/>
        <w:ind w:left="-30"/>
        <w:jc w:val="left"/>
      </w:pPr>
      <w:bookmarkStart w:id="13" w:name="intelligenza_artificiale_e_governance"/>
      <w:r>
        <w:rPr>
          <w:rFonts w:eastAsia="georgia" w:cs="georgia" w:ascii="georgia" w:hAnsi="georgia"/>
          <w:b/>
          <w:color w:val="000000"/>
          <w:sz w:val="24"/>
        </w:rPr>
        <w:t xml:space="preserve">Intelligenza artificiale e governance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L’architettura distingue due funzioni di intelligenza artificiale: AI Arbitro, dedicato a infrazioni oggettive e dispute, e AI Track Engineer, orientato alla lettura telemetrica e al coaching predittivo in tempo reale.[cite:1292]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modello di governance viene descritto come ibrido: automazione per gli elementi oggettivi, intervento umano degli steward nei casi che richiedono contesto, sensibilità sportiva e motivazione della decisione.[cite:1292]</w:t>
      </w:r>
    </w:p>
    <w:p>
      <w:pPr>
        <w:spacing w:line="360" w:before="315" w:after="105" w:lineRule="auto"/>
        <w:ind w:left="-30"/>
        <w:jc w:val="left"/>
      </w:pPr>
      <w:bookmarkStart w:id="14" w:name="reclami_e_voto_manageriale"/>
      <w:r>
        <w:rPr>
          <w:rFonts w:eastAsia="georgia" w:cs="georgia" w:ascii="georgia" w:hAnsi="georgia"/>
          <w:b/>
          <w:color w:val="000000"/>
          <w:sz w:val="24"/>
        </w:rPr>
        <w:t xml:space="preserve">Reclami e voto manageriale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testo prevede un sistema formale di reclami con protocollo, analisi preliminare AI, decisione dello steward, registrazione pubblica e regole anti-abuso.[cite:1292]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Prevede inoltre meccanismi di voto riservati ai Team Manager attivi per modifiche regolamentari, BOP, calendario, ammissione nuovi team e formati gara speciali.[cite:1292]</w:t>
      </w:r>
    </w:p>
    <w:p>
      <w:pPr>
        <w:spacing w:line="360" w:before="315" w:after="105" w:lineRule="auto"/>
        <w:ind w:left="-30"/>
        <w:jc w:val="left"/>
      </w:pPr>
      <w:bookmarkStart w:id="15" w:name="media_broadcasting_e_ruoli_certificati"/>
      <w:r>
        <w:rPr>
          <w:rFonts w:eastAsia="georgia" w:cs="georgia" w:ascii="georgia" w:hAnsi="georgia"/>
          <w:b/>
          <w:color w:val="000000"/>
          <w:sz w:val="24"/>
        </w:rPr>
        <w:t xml:space="preserve">Media, broadcasting e ruoli certificati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non viene presentata solo come piattaforma di gara, ma come ecosistema professionale che include commentatori, registi, steward, moderatori, istruttori, team manager, scout, designer e figure broadcast.[cite:1292]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Multi-Wall, l’URL Inject, la telecronaca professionale e la regia avanzata vengono proposti come elementi centrali per trasformare le gare in un prodotto media strutturato.[cite:1292]</w:t>
      </w:r>
    </w:p>
    <w:p>
      <w:pPr>
        <w:spacing w:line="360" w:before="315" w:after="105" w:lineRule="auto"/>
        <w:ind w:left="-30"/>
        <w:jc w:val="left"/>
      </w:pPr>
      <w:bookmarkStart w:id="16" w:name="quadro_normativo"/>
      <w:r>
        <w:rPr>
          <w:rFonts w:eastAsia="georgia" w:cs="georgia" w:ascii="georgia" w:hAnsi="georgia"/>
          <w:b/>
          <w:color w:val="000000"/>
          <w:sz w:val="24"/>
        </w:rPr>
        <w:t xml:space="preserve">Quadro normativo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parte legale evidenzia che l’Italia non dispone ancora di una disciplina specifica pienamente consolidata per gli esport e richiama due aree di rischio: concorsi a premio e giochi di abilità con vincita in denaro riservati allo Stato.[cite:1292]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testo suggerisce quindi un approccio prudenziale, con valutazione di modelli graduali, ipotesi di struttura sportiva dedicata e possibile riferimento al quadro normativo di San Marino, fermo restando il necessario supporto di consulenza legale specialistica prima dell’operatività con denaro reale.[cite:1292]</w:t>
      </w:r>
    </w:p>
    <w:p>
      <w:pPr>
        <w:spacing w:line="360" w:before="315" w:after="105" w:lineRule="auto"/>
        <w:ind w:left="-30"/>
        <w:jc w:val="left"/>
      </w:pPr>
      <w:bookmarkStart w:id="17" w:name="osservazioni_editoriali_per_consegna"/>
      <w:r>
        <w:rPr>
          <w:rFonts w:eastAsia="georgia" w:cs="georgia" w:ascii="georgia" w:hAnsi="georgia"/>
          <w:b/>
          <w:color w:val="000000"/>
          <w:sz w:val="24"/>
        </w:rPr>
        <w:t xml:space="preserve">Osservazioni editoriali per consegna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documento è solido sul piano visionario e molto ricco sul piano dei contenuti, ma presenta una forte densità narrativa, ripetizioni interne e compresenza di livelli diversi: manifesto, regolamento, business plan, modello operativo e concept di prodotto.[cite:1292]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 una consegna esterna o semi-istituzionale, la struttura risulta più efficace se separata in almeno quattro volumi distinti: visione strategica, regolamento generale, business model e allegato legale-compliance.[cite:1292][cite:1296][cite:1298]</w:t>
      </w:r>
    </w:p>
    <w:p>
      <w:pPr>
        <w:spacing w:line="360" w:before="315" w:after="105" w:lineRule="auto"/>
        <w:ind w:left="-30"/>
        <w:jc w:val="left"/>
      </w:pPr>
      <w:bookmarkStart w:id="18" w:name="interventi_consigliati"/>
      <w:r>
        <w:rPr>
          <w:rFonts w:eastAsia="georgia" w:cs="georgia" w:ascii="georgia" w:hAnsi="georgia"/>
          <w:b/>
          <w:color w:val="000000"/>
          <w:sz w:val="24"/>
        </w:rPr>
        <w:t xml:space="preserve">Interventi consigliati</w:t>
      </w:r>
      <w:bookmarkEnd w:id="1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Ridurre gli slogan e convertire i passaggi più enfatici in formulazioni normative o strategiche.[cite:1292]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Uniformare terminologia, maiuscole, denominazioni di ruoli, categorie e strumenti.[cite:1292][cite:1298]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Spostare i contenuti da definire in un allegato “punti aperti” separato, evitando che restino nel corpo principale del testo regolatorio.[cite:1296]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Separare chiaramente ciò che è già disciplinato da ciò che è ancora in fase di progettazione.[cite:1296][cite:1297][cite:1298]</w:t>
      </w:r>
    </w:p>
    <w:p>
      <w:pPr>
        <w:spacing w:line="360" w:before="315" w:after="105" w:lineRule="auto"/>
        <w:ind w:left="-30"/>
        <w:jc w:val="left"/>
      </w:pPr>
      <w:bookmarkStart w:id="19" w:name="proposta_di_confezione_documentale"/>
      <w:r>
        <w:rPr>
          <w:rFonts w:eastAsia="georgia" w:cs="georgia" w:ascii="georgia" w:hAnsi="georgia"/>
          <w:b/>
          <w:color w:val="000000"/>
          <w:sz w:val="24"/>
        </w:rPr>
        <w:t xml:space="preserve">Proposta di confezione documentale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 la consegna, la forma più professionale è la seguente:[cite:1292][cite:1294][cite:1298]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Funzione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Stato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Documento istituzionale breve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Presentazione sintetica del progetto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Derivabile dal summary [cite:1294]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Documento maestro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Visione integrale e architettura complessiva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Già esistente [cite:1292]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Regolamento generale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Norme operative articolate per capitoli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Già avviato [cite:1298][cite:1297]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Allegato legale e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Perimetro normativo, fiscalità, privacy, KYC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Estratto dal Documento Maestro [cite:1292]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nota_finale_di_revisione"/>
      <w:r>
        <w:rPr>
          <w:rFonts w:eastAsia="georgia" w:cs="georgia" w:ascii="georgia" w:hAnsi="georgia"/>
          <w:b/>
          <w:color w:val="000000"/>
          <w:sz w:val="24"/>
        </w:rPr>
        <w:t xml:space="preserve">Nota finale di revisione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presente versione è stata impostata in chiave più leggibile, ordinata e adatta alla consegna rispetto al testo sorgente, mantenendone integralmente l’impianto concettuale e senza introdurre contenuti estranei alla fonte.[cite:1292]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passaggio successivo consigliato consiste nella produzione di una vera edizione “Executive” di 6-10 pagine e, in parallelo, di una versione regolamentare completa con stile normativo uniforme.[cite:1292][cite:1294][cite:1298]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2026-05-16T00:11:41.911Z</dcterms:created>
  <dcterms:modified xsi:type="dcterms:W3CDTF">2026-05-16T00:11:41.911Z</dcterms:modified>
</cp:coreProperties>
</file>