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72748207971eb5f069f2a8066f19a46622f2441.png"/>
            <a:graphic>
              <a:graphicData uri="http://schemas.openxmlformats.org/drawingml/2006/picture">
                <pic:pic>
                  <pic:nvPicPr>
                    <pic:cNvPr id="1" name="image-272748207971eb5f069f2a8066f19a46622f244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i_vorrei_gia_il_doc_completo_dal_e9a831"/>
      <w:r>
        <w:rPr>
          <w:rFonts w:eastAsia="georgia" w:cs="georgia" w:ascii="georgia" w:hAnsi="georgia"/>
          <w:b/>
          <w:color w:val="000000"/>
          <w:sz w:val="39"/>
        </w:rPr>
        <w:t xml:space="preserve">si vorrei gia il doc completo dall'inizio fi al capitolo che abbiamo chiuso ora poi continuiamo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Sì, posso farlo, ma per non rischiare di incollarti un blocco ingestibile lo costruisco in </w:t>
      </w:r>
      <w:r>
        <w:rPr>
          <w:rFonts w:eastAsia="georgia" w:cs="georgia" w:ascii="georgia" w:hAnsi="georgia"/>
          <w:b/>
          <w:color w:val="000000"/>
        </w:rPr>
        <w:t xml:space="preserve">fascicoli consecutivi</w:t>
      </w:r>
      <w:r>
        <w:rPr>
          <w:rFonts w:eastAsia="georgia" w:cs="georgia" w:ascii="georgia" w:hAnsi="georgia"/>
          <w:color w:val="000000"/>
        </w:rPr>
        <w:t xml:space="preserve">: prima il documento completo dalla copertina fino al capitolo della struttura del sito, poi continuiamo con i capitoli successivi.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Qui sotto ti lascio la </w:t>
      </w:r>
      <w:r>
        <w:rPr>
          <w:rFonts w:eastAsia="georgia" w:cs="georgia" w:ascii="georgia" w:hAnsi="georgia"/>
          <w:b/>
          <w:color w:val="000000"/>
        </w:rPr>
        <w:t xml:space="preserve">Parte 1 completa</w:t>
      </w:r>
      <w:r>
        <w:rPr>
          <w:rFonts w:eastAsia="georgia" w:cs="georgia" w:ascii="georgia" w:hAnsi="georgia"/>
          <w:color w:val="000000"/>
        </w:rPr>
        <w:t xml:space="preserve">, già in forma documentale, pronta da usare come base unica.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sim_is_real"/>
      <w:r>
        <w:rPr>
          <w:rFonts w:eastAsia="georgia" w:cs="georgia" w:ascii="georgia" w:hAnsi="georgia"/>
          <w:b/>
          <w:color w:val="000000"/>
          <w:sz w:val="39"/>
        </w:rPr>
        <w:t xml:space="preserve">SIM IS REAL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documento_master_integrato"/>
      <w:r>
        <w:rPr>
          <w:rFonts w:eastAsia="georgia" w:cs="georgia" w:ascii="georgia" w:hAnsi="georgia"/>
          <w:b/>
          <w:color w:val="000000"/>
          <w:sz w:val="24"/>
        </w:rPr>
        <w:t xml:space="preserve">Documento Master Integrato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usiness_plan_regolamento_archite_a9ce50"/>
      <w:r>
        <w:rPr>
          <w:rFonts w:eastAsia="georgia" w:cs="georgia" w:ascii="georgia" w:hAnsi="georgia"/>
          <w:b/>
          <w:color w:val="000000"/>
          <w:sz w:val="24"/>
        </w:rPr>
        <w:t xml:space="preserve">Business Plan · Regolamento · Architettura Prodotto · Architettura Tecnica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edizione_executive_maggio_2026"/>
      <w:r>
        <w:rPr>
          <w:rFonts w:eastAsia="georgia" w:cs="georgia" w:ascii="georgia" w:hAnsi="georgia"/>
          <w:b/>
          <w:color w:val="000000"/>
          <w:sz w:val="24"/>
        </w:rPr>
        <w:t xml:space="preserve">Edizione Executive — Maggio 2026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Documento riservato — uso interno / partner selezionati</w:t>
      </w:r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Versione consolidata per revisione editoriale e conversione PDF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frontespizio"/>
      <w:r>
        <w:rPr>
          <w:rFonts w:eastAsia="georgia" w:cs="georgia" w:ascii="georgia" w:hAnsi="georgia"/>
          <w:b/>
          <w:color w:val="000000"/>
          <w:sz w:val="24"/>
        </w:rPr>
        <w:t xml:space="preserve">Frontespizio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Titolo progetto:</w:t>
      </w:r>
      <w:r>
        <w:rPr>
          <w:rFonts w:eastAsia="georgia" w:cs="georgia" w:ascii="georgia" w:hAnsi="georgia"/>
          <w:color w:val="000000"/>
        </w:rPr>
        <w:t xml:space="preserve"> SIM IS REAL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Sottotitolo:</w:t>
      </w:r>
      <w:r>
        <w:rPr>
          <w:rFonts w:eastAsia="georgia" w:cs="georgia" w:ascii="georgia" w:hAnsi="georgia"/>
          <w:color w:val="000000"/>
        </w:rPr>
        <w:t xml:space="preserve"> Piattaforma integrata di competitive sim racing, gestione federale, economia interna e strumenti professionali per piloti, team e organizzatori.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Versione:</w:t>
      </w:r>
      <w:r>
        <w:rPr>
          <w:rFonts w:eastAsia="georgia" w:cs="georgia" w:ascii="georgia" w:hAnsi="georgia"/>
          <w:color w:val="000000"/>
        </w:rPr>
        <w:t xml:space="preserve"> Executive Master Document v1.0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Data:</w:t>
      </w:r>
      <w:r>
        <w:rPr>
          <w:rFonts w:eastAsia="georgia" w:cs="georgia" w:ascii="georgia" w:hAnsi="georgia"/>
          <w:color w:val="000000"/>
        </w:rPr>
        <w:t xml:space="preserve"> Maggio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Ambito:</w:t>
      </w:r>
      <w:r>
        <w:rPr>
          <w:rFonts w:eastAsia="georgia" w:cs="georgia" w:ascii="georgia" w:hAnsi="georgia"/>
          <w:color w:val="000000"/>
        </w:rPr>
        <w:t xml:space="preserve"> Gran Turismo 7, con architettura pronta per estensioni multi-title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Ente di progetto:</w:t>
      </w:r>
      <w:r>
        <w:rPr>
          <w:rFonts w:eastAsia="georgia" w:cs="georgia" w:ascii="georgia" w:hAnsi="georgia"/>
          <w:color w:val="000000"/>
        </w:rPr>
        <w:t xml:space="preserve"> S.R.F. — Sim Race Federation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Stato documento:</w:t>
      </w:r>
      <w:r>
        <w:rPr>
          <w:rFonts w:eastAsia="georgia" w:cs="georgia" w:ascii="georgia" w:hAnsi="georgia"/>
          <w:color w:val="000000"/>
        </w:rPr>
        <w:t xml:space="preserve"> Riservato, consolidato, in revisione finale</w:t>
      </w:r>
      <w:bookmarkStart w:id="8" w:name="fnref1_2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premessa"/>
      <w:r>
        <w:rPr>
          <w:rFonts w:eastAsia="georgia" w:cs="georgia" w:ascii="georgia" w:hAnsi="georgia"/>
          <w:b/>
          <w:color w:val="000000"/>
          <w:sz w:val="24"/>
        </w:rPr>
        <w:t xml:space="preserve">Premessa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nasce per trasformare il sim racing da esperienza frammentata a ecosistema competitivo strutturato, con identità federale, ruoli professionali, economia interna, gare certificate e moduli di formazione e marketplace.</w:t>
      </w:r>
      <w:bookmarkStart w:id="10" w:name="fnref1_3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documento unifica visione di prodotto, strategia business, regolamento e impostazione tecnica in un unico quadro coerente, pensato per essere letto, validato e poi convertito in un documento operativo definitivo.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logica di fondo è semplice: un pilota, un profilo, un ecosistema, una federazione.</w:t>
      </w:r>
      <w:bookmarkStart w:id="11" w:name="fnref1_4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ommario_operativo"/>
      <w:r>
        <w:rPr>
          <w:rFonts w:eastAsia="georgia" w:cs="georgia" w:ascii="georgia" w:hAnsi="georgia"/>
          <w:b/>
          <w:color w:val="000000"/>
          <w:sz w:val="24"/>
        </w:rPr>
        <w:t xml:space="preserve">Sommario operativo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è strutturato per accompagnare il progetto dalla visione iniziale fino alla definizione della piattaforma, del suo perimetro normativo e della sua architettura informativa.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sezioni coprono: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identità del progetto;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executive summary;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mercato e opportunità;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prodotto e architettura funzionale;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architettura tecnica;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regolamento federale;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modello operativo;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go-to-market;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business model e finanza;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team e governance;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rischi e mitigazioni;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appendici.</w:t>
      </w:r>
      <w:bookmarkStart w:id="13" w:name="fnref1_5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4" w:name="bm_1_identità_del_progetto"/>
      <w:r>
        <w:rPr>
          <w:rFonts w:eastAsia="georgia" w:cs="georgia" w:ascii="georgia" w:hAnsi="georgia"/>
          <w:b/>
          <w:color w:val="000000"/>
          <w:sz w:val="39"/>
        </w:rPr>
        <w:t xml:space="preserve">1. Identità del progetto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1_1_visione_di_prodotto"/>
      <w:r>
        <w:rPr>
          <w:rFonts w:eastAsia="georgia" w:cs="georgia" w:ascii="georgia" w:hAnsi="georgia"/>
          <w:b/>
          <w:color w:val="000000"/>
          <w:sz w:val="24"/>
        </w:rPr>
        <w:t xml:space="preserve">1.1 Visione di prodotto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è una piattaforma per il competitive sim racing che unifica identità del pilota, performance, team, eventi, economia interna e contenuti professionali in un unico hub federale.</w:t>
      </w:r>
      <w:bookmarkStart w:id="16" w:name="fnref1_6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visione è portare il sim racing da esperienza individuale a sport digitale strutturato, con progressione, ruoli, reputazione e valore economico riconosciuto.</w:t>
      </w:r>
      <w:bookmarkStart w:id="17" w:name="fnref1_7"/>
      <w:bookmarkEnd w:id="1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progetto è pensato per essere premium, istituzionale e scalabile, con un tono coerente con una federazione moderna e non con un semplice community game.</w:t>
      </w:r>
    </w:p>
    <w:p>
      <w:pPr>
        <w:spacing w:line="360" w:before="315" w:after="105" w:lineRule="auto"/>
        <w:ind w:left="-30"/>
        <w:jc w:val="left"/>
      </w:pPr>
      <w:bookmarkStart w:id="18" w:name="bm_1_2_missione"/>
      <w:r>
        <w:rPr>
          <w:rFonts w:eastAsia="georgia" w:cs="georgia" w:ascii="georgia" w:hAnsi="georgia"/>
          <w:b/>
          <w:color w:val="000000"/>
          <w:sz w:val="24"/>
        </w:rPr>
        <w:t xml:space="preserve">1.2 Missione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missione è offrire a ogni pilota, dal principiante all’élite, strumenti concreti per competere, migliorare e partecipare a un ecosistema professionale.</w:t>
      </w:r>
      <w:bookmarkStart w:id="19" w:name="fnref1_8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significa fornire gara, formazione, ranking, supporto tecnico, governance e opportunità economiche in un ambiente coerente e verificabile.</w:t>
      </w:r>
      <w:bookmarkStart w:id="20" w:name="fnref1_9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piattaforma deve risultare leggibile, credibile e sufficientemente solida da sostenere una crescita reale di utenti, team e partner.</w:t>
      </w:r>
    </w:p>
    <w:p>
      <w:pPr>
        <w:spacing w:line="360" w:before="315" w:after="105" w:lineRule="auto"/>
        <w:ind w:left="-30"/>
        <w:jc w:val="left"/>
      </w:pPr>
      <w:bookmarkStart w:id="21" w:name="bm_1_3_posizionamento"/>
      <w:r>
        <w:rPr>
          <w:rFonts w:eastAsia="georgia" w:cs="georgia" w:ascii="georgia" w:hAnsi="georgia"/>
          <w:b/>
          <w:color w:val="000000"/>
          <w:sz w:val="24"/>
        </w:rPr>
        <w:t xml:space="preserve">1.3 Posizionamento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si posiziona come piattaforma GT7-first con architettura pronta all’estensione multi-sim, mantenendo un hub agnostico e un sistema di regole unificato.</w:t>
      </w:r>
      <w:bookmarkStart w:id="22" w:name="fnref1_10"/>
      <w:bookmarkEnd w:id="2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progetto non vuole essere un semplice aggregatore di eventi, ma un’infrastruttura federale completa per identità, competizione e crescita professionale.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L’obiettivo strategico è costruire un prodotto capace di parlare sia ai piloti sia a partner, sponsor e interlocutori industriali.</w:t>
      </w:r>
    </w:p>
    <w:p>
      <w:pPr>
        <w:spacing w:line="360" w:before="315" w:after="105" w:lineRule="auto"/>
        <w:ind w:left="-30"/>
        <w:jc w:val="left"/>
      </w:pPr>
      <w:bookmarkStart w:id="23" w:name="bm_1_4_valori_fondanti"/>
      <w:r>
        <w:rPr>
          <w:rFonts w:eastAsia="georgia" w:cs="georgia" w:ascii="georgia" w:hAnsi="georgia"/>
          <w:b/>
          <w:color w:val="000000"/>
          <w:sz w:val="24"/>
        </w:rPr>
        <w:t xml:space="preserve">1.4 Valori fondanti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valori fondanti sono: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integrità, cioè coerenza tra promessa e funzionamento reale;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scalabilità, cioè capacità di crescita senza perdita di controllo;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centralità del dato, cioè decisioni basate su metriche oggettive;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professionalità, cioè linguaggio, interfaccia e regole coerenti con una struttura federale.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Questi valori devono essere riconoscibili sia nel prodotto sia nel tono dei documenti.</w:t>
      </w:r>
      <w:bookmarkStart w:id="24" w:name="fnref1_11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bm_1_5_ambito_del_documento"/>
      <w:r>
        <w:rPr>
          <w:rFonts w:eastAsia="georgia" w:cs="georgia" w:ascii="georgia" w:hAnsi="georgia"/>
          <w:b/>
          <w:color w:val="000000"/>
          <w:sz w:val="24"/>
        </w:rPr>
        <w:t xml:space="preserve">1.5 Ambito del documento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documento copre il livello strategico, regolamentare, architetturale e operativo della piattaforma.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Non sostituisce il design esecutivo di interfacce o l’implementazione tecnica puntuale, ma ne definisce le basi e i vincoli.</w:t>
      </w:r>
      <w:bookmarkStart w:id="26" w:name="fnref1_12"/>
      <w:bookmarkEnd w:id="2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parte successiva dovrà restare coerente con questa struttura.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7" w:name="bm_2_executive_summary"/>
      <w:r>
        <w:rPr>
          <w:rFonts w:eastAsia="georgia" w:cs="georgia" w:ascii="georgia" w:hAnsi="georgia"/>
          <w:b/>
          <w:color w:val="000000"/>
          <w:sz w:val="39"/>
        </w:rPr>
        <w:t xml:space="preserve">2. Executive summary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2_1_problema_di_mercato"/>
      <w:r>
        <w:rPr>
          <w:rFonts w:eastAsia="georgia" w:cs="georgia" w:ascii="georgia" w:hAnsi="georgia"/>
          <w:b/>
          <w:color w:val="000000"/>
          <w:sz w:val="24"/>
        </w:rPr>
        <w:t xml:space="preserve">2.1 Problema di mercato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sim racing competitivo, in particolare su GT7, è spesso privo di un framework unificato che integri telemetria, ranking meritocratico, team management, governance, formazione e marketplace.</w:t>
      </w:r>
      <w:bookmarkStart w:id="29" w:name="fnref1_13"/>
      <w:bookmarkEnd w:id="2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Gli utenti usano strumenti separati, con esperienza frammentata e limitata capacità di crescita strutturata.</w:t>
      </w:r>
      <w:bookmarkStart w:id="30" w:name="fnref1_14"/>
      <w:bookmarkEnd w:id="3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Manca un ecosistema che colleghi il valore sportivo alla progressione professionale e alla monetizzazione interna in modo coerente.</w:t>
      </w:r>
    </w:p>
    <w:p>
      <w:pPr>
        <w:spacing w:line="360" w:before="315" w:after="105" w:lineRule="auto"/>
        <w:ind w:left="-30"/>
        <w:jc w:val="left"/>
      </w:pPr>
      <w:bookmarkStart w:id="31" w:name="bm_2_2_soluzione_proposta"/>
      <w:r>
        <w:rPr>
          <w:rFonts w:eastAsia="georgia" w:cs="georgia" w:ascii="georgia" w:hAnsi="georgia"/>
          <w:b/>
          <w:color w:val="000000"/>
          <w:sz w:val="24"/>
        </w:rPr>
        <w:t xml:space="preserve">2.2 Soluzione proposta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risolve questo gap con una piattaforma web moderna, un hub federale e un regolamento economico e sportivo completo.</w:t>
      </w:r>
      <w:bookmarkStart w:id="32" w:name="fnref1_15"/>
      <w:bookmarkEnd w:id="3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soluzione integra area pubblica, area autenticata, strumenti di gara, wallet GW, ruoli certificati, marketplace e moduli di team management.</w:t>
      </w:r>
      <w:bookmarkStart w:id="33" w:name="fnref1_16"/>
      <w:bookmarkEnd w:id="3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L’architettura è concepita per essere modulare, pronta per telemetria, coaching AI e future estensioni su altre piattaforme di sim racing.</w:t>
      </w:r>
      <w:bookmarkStart w:id="34" w:name="fnref2"/>
      <w:bookmarkEnd w:id="3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5" w:name="fnref3"/>
      <w:bookmarkEnd w:id="3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6" w:name="bm_2_3_core_value_proposition"/>
      <w:r>
        <w:rPr>
          <w:rFonts w:eastAsia="georgia" w:cs="georgia" w:ascii="georgia" w:hAnsi="georgia"/>
          <w:b/>
          <w:color w:val="000000"/>
          <w:sz w:val="24"/>
        </w:rPr>
        <w:t xml:space="preserve">2.3 Core value proposition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valore distintivo sta nell’unione di tre dimensioni: esperienza competitiva, struttura federale e monetizzazione interna.</w:t>
      </w:r>
      <w:bookmarkStart w:id="37" w:name="fnref1_17"/>
      <w:bookmarkEnd w:id="3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L’utente non accede solo a un sito di eventi, ma a un sistema completo di identità, progressione e opportunità.</w:t>
      </w:r>
      <w:bookmarkStart w:id="38" w:name="fnref1_18"/>
      <w:bookmarkEnd w:id="3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impostazione rende la piattaforma più difendibile rispetto a soluzioni isolate per leaderboard, telemetria o community.</w:t>
      </w:r>
    </w:p>
    <w:p>
      <w:pPr>
        <w:spacing w:line="360" w:before="315" w:after="105" w:lineRule="auto"/>
        <w:ind w:left="-30"/>
        <w:jc w:val="left"/>
      </w:pPr>
      <w:bookmarkStart w:id="39" w:name="bm_2_4_modello_di_business_sintetico"/>
      <w:r>
        <w:rPr>
          <w:rFonts w:eastAsia="georgia" w:cs="georgia" w:ascii="georgia" w:hAnsi="georgia"/>
          <w:b/>
          <w:color w:val="000000"/>
          <w:sz w:val="24"/>
        </w:rPr>
        <w:t xml:space="preserve">2.4 Modello di business sintetico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modello è freemium con sottoscrizione Pro e Team Pro, più marketplace e ricavi accessori da servizi, eventi e partnership.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monetizzazione è coerente con una struttura competitiva che valorizza le funzioni avanzate e la parte professionale dell’ecosistema.</w:t>
      </w:r>
      <w:bookmarkStart w:id="40" w:name="fnref1_19"/>
      <w:bookmarkEnd w:id="4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framework economico è progettato per sostenere i costi di sviluppo, infrastruttura, moderazione e crescita.</w:t>
      </w:r>
    </w:p>
    <w:p>
      <w:pPr>
        <w:spacing w:line="360" w:before="315" w:after="105" w:lineRule="auto"/>
        <w:ind w:left="-30"/>
        <w:jc w:val="left"/>
      </w:pPr>
      <w:bookmarkStart w:id="41" w:name="bm_2_5_obiettivi_di_breve_medio_e_4627f0"/>
      <w:r>
        <w:rPr>
          <w:rFonts w:eastAsia="georgia" w:cs="georgia" w:ascii="georgia" w:hAnsi="georgia"/>
          <w:b/>
          <w:color w:val="000000"/>
          <w:sz w:val="24"/>
        </w:rPr>
        <w:t xml:space="preserve">2.5 Obiettivi di breve, medio e lungo termine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Gli obiettivi principali sono: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validare il prodotto;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attivare i primi utenti;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definire il perimetro del regolamento;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consolidare il brand;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creare una base scalabile per partnership future.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Sul piano industriale, l’ambizione è costruire un riferimento credibile per il competitive racing su GT7 e oltre.</w:t>
      </w:r>
      <w:bookmarkStart w:id="42" w:name="fnref4"/>
      <w:bookmarkEnd w:id="4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3" w:name="fnref5"/>
      <w:bookmarkEnd w:id="4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4" w:name="bm_3_mercato_e_opportunità"/>
      <w:r>
        <w:rPr>
          <w:rFonts w:eastAsia="georgia" w:cs="georgia" w:ascii="georgia" w:hAnsi="georgia"/>
          <w:b/>
          <w:color w:val="000000"/>
          <w:sz w:val="39"/>
        </w:rPr>
        <w:t xml:space="preserve">3. Mercato e opportunità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bm_3_1_scenario_del_sim_racing"/>
      <w:r>
        <w:rPr>
          <w:rFonts w:eastAsia="georgia" w:cs="georgia" w:ascii="georgia" w:hAnsi="georgia"/>
          <w:b/>
          <w:color w:val="000000"/>
          <w:sz w:val="24"/>
        </w:rPr>
        <w:t xml:space="preserve">3.1 Scenario del sim racing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mercato del racing simulator è un settore in crescita, con dinamiche che includono hardware, software, community e contenuti competitivi.</w:t>
      </w:r>
      <w:bookmarkStart w:id="46" w:name="fnref5_1"/>
      <w:bookmarkEnd w:id="4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47" w:name="fnref4_1"/>
      <w:bookmarkEnd w:id="4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SIM IS REAL il focus iniziale è GT7, perché il prodotto deve partire da una base reale, accessibile e già rilevante per il pubblico target.</w:t>
      </w:r>
      <w:bookmarkStart w:id="48" w:name="fnref1_20"/>
      <w:bookmarkEnd w:id="4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piattaforma è pensata per estendersi ad altri titoli solo dopo il consolidamento del primo nucleo.</w:t>
      </w:r>
    </w:p>
    <w:p>
      <w:pPr>
        <w:spacing w:line="360" w:before="315" w:after="105" w:lineRule="auto"/>
        <w:ind w:left="-30"/>
        <w:jc w:val="left"/>
      </w:pPr>
      <w:bookmarkStart w:id="49" w:name="bm_3_2_gt7_come_mercato_di_riferimento"/>
      <w:r>
        <w:rPr>
          <w:rFonts w:eastAsia="georgia" w:cs="georgia" w:ascii="georgia" w:hAnsi="georgia"/>
          <w:b/>
          <w:color w:val="000000"/>
          <w:sz w:val="24"/>
        </w:rPr>
        <w:t xml:space="preserve">3.2 GT7 come mercato di riferimento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Gran Turismo 7 è il contesto iniziale del prodotto e la base per il primo posizionamento operativo.</w:t>
      </w:r>
      <w:bookmarkStart w:id="50" w:name="fnref1_21"/>
      <w:bookmarkEnd w:id="5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L’ecosistema GT7 consente di unire community, competizione, contenuti e progressione in un ambiente già noto agli utenti.</w:t>
      </w:r>
      <w:bookmarkStart w:id="51" w:name="fnref1_22"/>
      <w:bookmarkEnd w:id="5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scelta riduce il rischio iniziale e rende più semplice costruire un messaggio di valore immediatamente comprensibile.</w:t>
      </w:r>
    </w:p>
    <w:p>
      <w:pPr>
        <w:spacing w:line="360" w:before="315" w:after="105" w:lineRule="auto"/>
        <w:ind w:left="-30"/>
        <w:jc w:val="left"/>
      </w:pPr>
      <w:bookmarkStart w:id="52" w:name="bm_3_3_target_utenti_e_personas"/>
      <w:r>
        <w:rPr>
          <w:rFonts w:eastAsia="georgia" w:cs="georgia" w:ascii="georgia" w:hAnsi="georgia"/>
          <w:b/>
          <w:color w:val="000000"/>
          <w:sz w:val="24"/>
        </w:rPr>
        <w:t xml:space="preserve">3.3 Target utenti e personas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target principale comprende piloti competitivi, team manager, organizzatori, designer, commentatori, steward e creator tecnici.</w:t>
      </w:r>
      <w:bookmarkStart w:id="53" w:name="fnref1_23"/>
      <w:bookmarkEnd w:id="5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L’utenza primaria è composta da utenti ad alto engagement, interessati a progressione, ranking, premi e status federale.</w:t>
      </w:r>
      <w:bookmarkStart w:id="54" w:name="fnref1_24"/>
      <w:bookmarkEnd w:id="5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L’ecosistema è costruito per parlare sia al singolo pilota sia alle strutture di team e ai profili professionali collegati.</w:t>
      </w:r>
    </w:p>
    <w:p>
      <w:pPr>
        <w:spacing w:line="360" w:before="315" w:after="105" w:lineRule="auto"/>
        <w:ind w:left="-30"/>
        <w:jc w:val="left"/>
      </w:pPr>
      <w:bookmarkStart w:id="55" w:name="bm_3_4_trend_di_settore"/>
      <w:r>
        <w:rPr>
          <w:rFonts w:eastAsia="georgia" w:cs="georgia" w:ascii="georgia" w:hAnsi="georgia"/>
          <w:b/>
          <w:color w:val="000000"/>
          <w:sz w:val="24"/>
        </w:rPr>
        <w:t xml:space="preserve">3.4 Trend di settore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L’opportunità chiave è creare un ambiente unificato dove performance, reputazione, economia e team convivano in un sistema unico.</w:t>
      </w:r>
      <w:bookmarkStart w:id="56" w:name="fnref1_25"/>
      <w:bookmarkEnd w:id="5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convergenza consente di differenziare SIM IS REAL da prodotti solo informativi o solo competitivi.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presenza di un regolamento forte e di una struttura business coerente aumenta la percezione di affidabilità del progetto.</w:t>
      </w:r>
      <w:bookmarkStart w:id="57" w:name="fnref1_26"/>
      <w:bookmarkEnd w:id="5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8" w:name="bm_3_5_opportunità_di_mercato"/>
      <w:r>
        <w:rPr>
          <w:rFonts w:eastAsia="georgia" w:cs="georgia" w:ascii="georgia" w:hAnsi="georgia"/>
          <w:b/>
          <w:color w:val="000000"/>
          <w:sz w:val="24"/>
        </w:rPr>
        <w:t xml:space="preserve">3.5 Opportunità di mercato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domanda di strumenti di ranking, telemetria, team management e formazione è in crescita nel segmento sim racing.</w:t>
      </w:r>
      <w:bookmarkStart w:id="59" w:name="fnref6"/>
      <w:bookmarkEnd w:id="5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60" w:name="fnref4_2"/>
      <w:bookmarkEnd w:id="6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apre spazio a una piattaforma che non sia un singolo tool, ma un ecosistema completo con identità federale e logiche di progressione.</w:t>
      </w:r>
      <w:bookmarkStart w:id="61" w:name="fnref1_27"/>
      <w:bookmarkEnd w:id="6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SIM IS REAL intercetta questa opportunità con una proposta multi-modulo, ma unificata dal punto di vista dell’esperienza.</w:t>
      </w:r>
    </w:p>
    <w:p>
      <w:pPr>
        <w:spacing w:line="360" w:before="315" w:after="105" w:lineRule="auto"/>
        <w:ind w:left="-30"/>
        <w:jc w:val="left"/>
      </w:pPr>
      <w:bookmarkStart w:id="62" w:name="bm_3_6_analisi_competitor"/>
      <w:r>
        <w:rPr>
          <w:rFonts w:eastAsia="georgia" w:cs="georgia" w:ascii="georgia" w:hAnsi="georgia"/>
          <w:b/>
          <w:color w:val="000000"/>
          <w:sz w:val="24"/>
        </w:rPr>
        <w:t xml:space="preserve">3.6 Analisi competitor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vantaggio competitivo risiede nell’integrazione di più moduli in un’unica piattaforma: telemetria, ranking, team tools, marketplace e governance.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soluzioni concorrenti tendono a coprire bene una sola dimensione, ma raramente costruiscono un ecosistema completo.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SIM IS REAL si propone quindi come layer federale superiore, non come semplice tool aggiuntivo.</w:t>
      </w:r>
      <w:bookmarkStart w:id="63" w:name="fnref1_28"/>
      <w:bookmarkEnd w:id="6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4" w:name="bm_3_7_spazio_di_differenziazione"/>
      <w:r>
        <w:rPr>
          <w:rFonts w:eastAsia="georgia" w:cs="georgia" w:ascii="georgia" w:hAnsi="georgia"/>
          <w:b/>
          <w:color w:val="000000"/>
          <w:sz w:val="24"/>
        </w:rPr>
        <w:t xml:space="preserve">3.7 Spazio di differenziazione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differenziale non è solo funzionale, ma anche narrativo e istituzionale.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piattaforma deve apparire come una vera federazione digitale, con ruoli, regole, percorsi e valore professionale.</w:t>
      </w:r>
      <w:bookmarkStart w:id="65" w:name="fnref1_29"/>
      <w:bookmarkEnd w:id="6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posizionamento consente al progetto di essere più credibile verso utenti avanzati e potenziali partner.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6" w:name="bm_4_prodotto_e_architettura_funzionale"/>
      <w:r>
        <w:rPr>
          <w:rFonts w:eastAsia="georgia" w:cs="georgia" w:ascii="georgia" w:hAnsi="georgia"/>
          <w:b/>
          <w:color w:val="000000"/>
          <w:sz w:val="39"/>
        </w:rPr>
        <w:t xml:space="preserve">4. Prodotto e architettura funzionale</w:t>
      </w:r>
      <w:bookmarkEnd w:id="66"/>
    </w:p>
    <w:p>
      <w:pPr>
        <w:spacing w:line="360" w:before="315" w:after="105" w:lineRule="auto"/>
        <w:ind w:left="-30"/>
        <w:jc w:val="left"/>
      </w:pPr>
      <w:bookmarkStart w:id="67" w:name="bm_4_1_hub_agnostico"/>
      <w:r>
        <w:rPr>
          <w:rFonts w:eastAsia="georgia" w:cs="georgia" w:ascii="georgia" w:hAnsi="georgia"/>
          <w:b/>
          <w:color w:val="000000"/>
          <w:sz w:val="24"/>
        </w:rPr>
        <w:t xml:space="preserve">4.1 Hub agnostico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cuore funzionale del progetto è l’Hub Agnostico, cioè un sistema capace di accogliere, normalizzare e distribuire dati e funzioni senza dipendere da un singolo simulatore.</w:t>
      </w:r>
      <w:bookmarkStart w:id="68" w:name="fnref1_30"/>
      <w:bookmarkEnd w:id="6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approccio consente di proteggere il prodotto da lock-in e rende la struttura pronta per espansioni future.</w:t>
      </w:r>
      <w:bookmarkStart w:id="69" w:name="fnref3_1"/>
      <w:bookmarkEnd w:id="6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principio è coerente con un ecosistema federale che vuole mantenere identità unica e interoperabilità.</w:t>
      </w:r>
      <w:bookmarkStart w:id="70" w:name="fnref1_31"/>
      <w:bookmarkEnd w:id="7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1" w:name="bm_4_2_area_pubblica_e_autenticata"/>
      <w:r>
        <w:rPr>
          <w:rFonts w:eastAsia="georgia" w:cs="georgia" w:ascii="georgia" w:hAnsi="georgia"/>
          <w:b/>
          <w:color w:val="000000"/>
          <w:sz w:val="24"/>
        </w:rPr>
        <w:t xml:space="preserve">4.2 Area pubblica e autenticata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L’area pubblica serve a presentare il brand, i contenuti informativi, le gare, la struttura e la value proposition.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L’area autenticata gestisce profili, ruoli, wallet, eventi, team, marketplace, training e funzioni riservate.</w:t>
      </w:r>
      <w:bookmarkStart w:id="72" w:name="fnref1_32"/>
      <w:bookmarkEnd w:id="7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separazione tra pubblico e privato è necessaria per preservare chiarezza, sicurezza e progressione del sistema.</w:t>
      </w:r>
      <w:bookmarkStart w:id="73" w:name="fnref2_1"/>
      <w:bookmarkEnd w:id="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74" w:name="fnref1_33"/>
      <w:bookmarkEnd w:id="7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5" w:name="bm_4_3_funzioni_core"/>
      <w:r>
        <w:rPr>
          <w:rFonts w:eastAsia="georgia" w:cs="georgia" w:ascii="georgia" w:hAnsi="georgia"/>
          <w:b/>
          <w:color w:val="000000"/>
          <w:sz w:val="24"/>
        </w:rPr>
        <w:t xml:space="preserve">4.3 Funzioni core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funzioni core includono: identità federale, iscrizione, profile management, wallet GW, eventi, ranking, scuderie, certificazioni, marketplace e supporto.</w:t>
      </w:r>
      <w:bookmarkStart w:id="76" w:name="fnref1_34"/>
      <w:bookmarkEnd w:id="7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Questi moduli sono il minimo strutturale per far funzionare SIM IS REAL come piattaforma reale e non come demo.</w:t>
      </w:r>
      <w:bookmarkStart w:id="77" w:name="fnref1_35"/>
      <w:bookmarkEnd w:id="7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roadmap funzionale deve quindi essere costruita in modo incrementale ma coerente.</w:t>
      </w:r>
    </w:p>
    <w:p>
      <w:pPr>
        <w:spacing w:line="360" w:before="315" w:after="105" w:lineRule="auto"/>
        <w:ind w:left="-30"/>
        <w:jc w:val="left"/>
      </w:pPr>
      <w:bookmarkStart w:id="78" w:name="bm_4_4_telemetria_e_coaching"/>
      <w:r>
        <w:rPr>
          <w:rFonts w:eastAsia="georgia" w:cs="georgia" w:ascii="georgia" w:hAnsi="georgia"/>
          <w:b/>
          <w:color w:val="000000"/>
          <w:sz w:val="24"/>
        </w:rPr>
        <w:t xml:space="preserve">4.4 Telemetria e coaching</w:t>
      </w:r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telemetria è una componente fondamentale della proposta, insieme al coaching AI e all’analisi dei dati di guida.</w:t>
      </w:r>
      <w:bookmarkStart w:id="79" w:name="fnref3_2"/>
      <w:bookmarkEnd w:id="7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80" w:name="fnref6_1"/>
      <w:bookmarkEnd w:id="8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L’architettura deve supportare flussi ad alta frequenza, normalizzazione dei dati e visualizzazione in tempo quasi reale.</w:t>
      </w:r>
      <w:bookmarkStart w:id="81" w:name="fnref7"/>
      <w:bookmarkEnd w:id="8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82" w:name="fnref2_2"/>
      <w:bookmarkEnd w:id="8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parte va sempre descritta come scelta di prodotto e architettura, non come capacità già pienamente operativa se non confermata.</w:t>
      </w:r>
    </w:p>
    <w:p>
      <w:pPr>
        <w:spacing w:line="360" w:before="315" w:after="105" w:lineRule="auto"/>
        <w:ind w:left="-30"/>
        <w:jc w:val="left"/>
      </w:pPr>
      <w:bookmarkStart w:id="83" w:name="bm_4_5_team_management"/>
      <w:r>
        <w:rPr>
          <w:rFonts w:eastAsia="georgia" w:cs="georgia" w:ascii="georgia" w:hAnsi="georgia"/>
          <w:b/>
          <w:color w:val="000000"/>
          <w:sz w:val="24"/>
        </w:rPr>
        <w:t xml:space="preserve">4.5 Team management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gestione team è centrale: roster, ruoli, contratti, Academy, ingaggi, candidature e governance devono convivere in una dashboard unica.</w:t>
      </w:r>
      <w:bookmarkStart w:id="84" w:name="fnref1_36"/>
      <w:bookmarkEnd w:id="8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team non è un semplice gruppo, ma una struttura federata con obblighi, costi e diritti.</w:t>
      </w:r>
      <w:bookmarkStart w:id="85" w:name="fnref1_37"/>
      <w:bookmarkEnd w:id="8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aumenta il valore del prodotto per piloti e scuderie e supporta la crescita dell’ecosistema.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6" w:name="bm_5_architettura_tecnica_e_infra_85df60"/>
      <w:r>
        <w:rPr>
          <w:rFonts w:eastAsia="georgia" w:cs="georgia" w:ascii="georgia" w:hAnsi="georgia"/>
          <w:b/>
          <w:color w:val="000000"/>
          <w:sz w:val="39"/>
        </w:rPr>
        <w:t xml:space="preserve">5. Architettura tecnica e infrastruttura</w:t>
      </w:r>
      <w:bookmarkEnd w:id="86"/>
    </w:p>
    <w:p>
      <w:pPr>
        <w:spacing w:line="360" w:before="315" w:after="105" w:lineRule="auto"/>
        <w:ind w:left="-30"/>
        <w:jc w:val="left"/>
      </w:pPr>
      <w:bookmarkStart w:id="87" w:name="bm_5_1_stack_frontend"/>
      <w:r>
        <w:rPr>
          <w:rFonts w:eastAsia="georgia" w:cs="georgia" w:ascii="georgia" w:hAnsi="georgia"/>
          <w:b/>
          <w:color w:val="000000"/>
          <w:sz w:val="24"/>
        </w:rPr>
        <w:t xml:space="preserve">5.1 Stack frontend</w:t>
      </w:r>
      <w:bookmarkEnd w:id="8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documentazione di progetto e le scelte già discusse indicano un’architettura moderna basata su web app, con possibilità di Next.js e hosting Firebase come opzione credibile per il primo setup.</w:t>
      </w:r>
      <w:bookmarkStart w:id="88" w:name="fnref7_1"/>
      <w:bookmarkEnd w:id="88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89" w:name="fnref2_3"/>
      <w:bookmarkEnd w:id="8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frontend deve essere istituzionale, rapido e modulare, con forte attenzione a UX, responsive design e componentizzazione.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scelta definitiva dello stack deve essere allineata alle competenze del team e ai requisiti di time-to-market.</w:t>
      </w:r>
    </w:p>
    <w:p>
      <w:pPr>
        <w:spacing w:line="360" w:before="315" w:after="105" w:lineRule="auto"/>
        <w:ind w:left="-30"/>
        <w:jc w:val="left"/>
      </w:pPr>
      <w:bookmarkStart w:id="90" w:name="bm_5_2_stack_backend"/>
      <w:r>
        <w:rPr>
          <w:rFonts w:eastAsia="georgia" w:cs="georgia" w:ascii="georgia" w:hAnsi="georgia"/>
          <w:b/>
          <w:color w:val="000000"/>
          <w:sz w:val="24"/>
        </w:rPr>
        <w:t xml:space="preserve">5.2 Stack backend</w:t>
      </w:r>
      <w:bookmarkEnd w:id="9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backend deve supportare autenticazione, eventi, leaderboard, wallet, marketplace e telemetria.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Serve un modello dati robusto, con separazione tra dati strutturati, temporali e transazionali.</w:t>
      </w:r>
      <w:bookmarkStart w:id="91" w:name="fnref3_3"/>
      <w:bookmarkEnd w:id="9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92" w:name="fnref7_2"/>
      <w:bookmarkEnd w:id="9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documento finale va mantenuto neutro sulle tecnologie già non confermate, distinguendo sempre tra decisione progettuale e implementazione esistente.</w:t>
      </w:r>
    </w:p>
    <w:p>
      <w:pPr>
        <w:spacing w:line="360" w:before="315" w:after="105" w:lineRule="auto"/>
        <w:ind w:left="-30"/>
        <w:jc w:val="left"/>
      </w:pPr>
      <w:bookmarkStart w:id="93" w:name="bm_5_3_database_e_persistenza_dati"/>
      <w:r>
        <w:rPr>
          <w:rFonts w:eastAsia="georgia" w:cs="georgia" w:ascii="georgia" w:hAnsi="georgia"/>
          <w:b/>
          <w:color w:val="000000"/>
          <w:sz w:val="24"/>
        </w:rPr>
        <w:t xml:space="preserve">5.3 Database e persistenza dati</w:t>
      </w:r>
      <w:bookmarkEnd w:id="9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persistenza deve coprire identità, ruoli, wallet, eventi, ranking, contratti, transazioni e log.</w:t>
      </w:r>
      <w:bookmarkStart w:id="94" w:name="fnref1_38"/>
      <w:bookmarkEnd w:id="9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la parte telemetrica e temporale, l’architettura deve essere pensata per gestire grandi volumi di dati senza perdita di qualità.</w:t>
      </w:r>
      <w:bookmarkStart w:id="95" w:name="fnref6_2"/>
      <w:bookmarkEnd w:id="9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modello dati è una delle parti più importanti per la credibilità tecnica della piattaforma.</w:t>
      </w:r>
    </w:p>
    <w:p>
      <w:pPr>
        <w:spacing w:line="360" w:before="315" w:after="105" w:lineRule="auto"/>
        <w:ind w:left="-30"/>
        <w:jc w:val="left"/>
      </w:pPr>
      <w:bookmarkStart w:id="96" w:name="bm_5_4_api_e_integrazioni_esterne"/>
      <w:r>
        <w:rPr>
          <w:rFonts w:eastAsia="georgia" w:cs="georgia" w:ascii="georgia" w:hAnsi="georgia"/>
          <w:b/>
          <w:color w:val="000000"/>
          <w:sz w:val="24"/>
        </w:rPr>
        <w:t xml:space="preserve">5.4 API e integrazioni esterne</w:t>
      </w:r>
      <w:bookmarkEnd w:id="9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integrazioni esterne comprendono KYC, email, storage file, telemetria e servizi di AI.</w:t>
      </w:r>
      <w:bookmarkStart w:id="97" w:name="fnref8"/>
      <w:bookmarkEnd w:id="9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98" w:name="fnref2_4"/>
      <w:bookmarkEnd w:id="9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99" w:name="fnref3_4"/>
      <w:bookmarkEnd w:id="9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integrazione deve essere descritta come modulo separato, con dipendenze e fallback chiari.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consente di mantenere il sistema modulare e sostituibile.</w:t>
      </w:r>
    </w:p>
    <w:p>
      <w:pPr>
        <w:spacing w:line="360" w:before="315" w:after="105" w:lineRule="auto"/>
        <w:ind w:left="-30"/>
        <w:jc w:val="left"/>
      </w:pPr>
      <w:bookmarkStart w:id="100" w:name="bm_5_5_autenticazione_e_kyc"/>
      <w:r>
        <w:rPr>
          <w:rFonts w:eastAsia="georgia" w:cs="georgia" w:ascii="georgia" w:hAnsi="georgia"/>
          <w:b/>
          <w:color w:val="000000"/>
          <w:sz w:val="24"/>
        </w:rPr>
        <w:t xml:space="preserve">5.5 Autenticazione e KYC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richiede un livello di autenticazione coerente con il tipo di funzione accessibile: registrazione, accesso, KYC, wallet e gare con premi.</w:t>
      </w:r>
      <w:bookmarkStart w:id="101" w:name="fnref1_39"/>
      <w:bookmarkEnd w:id="10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KYC è obbligatorio nei flussi economici reali e per il prelievo, mentre le funzioni base non economiche possono essere separate.</w:t>
      </w:r>
      <w:bookmarkStart w:id="102" w:name="fnref1_40"/>
      <w:bookmarkEnd w:id="10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presenza di questo gate è essenziale sia per la sicurezza sia per la coerenza regolamentare.</w:t>
      </w:r>
    </w:p>
    <w:p>
      <w:pPr>
        <w:spacing w:line="360" w:before="315" w:after="105" w:lineRule="auto"/>
        <w:ind w:left="-30"/>
        <w:jc w:val="left"/>
      </w:pPr>
      <w:bookmarkStart w:id="103" w:name="bm_5_6_sicurezza_privacy_e_compli_5aa180"/>
      <w:r>
        <w:rPr>
          <w:rFonts w:eastAsia="georgia" w:cs="georgia" w:ascii="georgia" w:hAnsi="georgia"/>
          <w:b/>
          <w:color w:val="000000"/>
          <w:sz w:val="24"/>
        </w:rPr>
        <w:t xml:space="preserve">5.6 Sicurezza, privacy e compliance tecnica</w:t>
      </w:r>
      <w:bookmarkEnd w:id="10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L’architettura deve proteggere dati sensibili, identità, transazioni e documenti caricati.</w:t>
      </w:r>
      <w:bookmarkStart w:id="104" w:name="fnref2_5"/>
      <w:bookmarkEnd w:id="10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5" w:name="fnref7_3"/>
      <w:bookmarkEnd w:id="10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gestione delle autorizzazioni deve essere ruolata, con visibilità differenziata tra pilota, team manager e admin.</w:t>
      </w:r>
      <w:bookmarkStart w:id="106" w:name="fnref1_41"/>
      <w:bookmarkEnd w:id="10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compliance tecnica è un requisito strutturale, non un accessorio.</w:t>
      </w:r>
    </w:p>
    <w:p>
      <w:pPr>
        <w:spacing w:line="360" w:before="315" w:after="105" w:lineRule="auto"/>
        <w:ind w:left="-30"/>
        <w:jc w:val="left"/>
      </w:pPr>
      <w:bookmarkStart w:id="107" w:name="bm_5_7_scalabilità_e_monitoring"/>
      <w:r>
        <w:rPr>
          <w:rFonts w:eastAsia="georgia" w:cs="georgia" w:ascii="georgia" w:hAnsi="georgia"/>
          <w:b/>
          <w:color w:val="000000"/>
          <w:sz w:val="24"/>
        </w:rPr>
        <w:t xml:space="preserve">5.7 Scalabilità e monitoring</w:t>
      </w:r>
      <w:bookmarkEnd w:id="10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scalabilità deve essere progettata fin dall’inizio, perché il progetto combina contenuti, eventi, transazioni e telemetria.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struttura deve restare sostenibile anche con crescita di utenti, gare e moduli professionali.</w:t>
      </w:r>
      <w:bookmarkStart w:id="108" w:name="fnref4_3"/>
      <w:bookmarkEnd w:id="10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09" w:name="fnref5_2"/>
      <w:bookmarkEnd w:id="10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Un’architettura ben separata tra servizi core e servizi accessori rende il prodotto più manutenibile e più facile da far evolvere.</w:t>
      </w:r>
    </w:p>
    <w:p>
      <w:pPr>
        <w:spacing w:line="360" w:before="315" w:after="105" w:lineRule="auto"/>
        <w:ind w:left="-30"/>
        <w:jc w:val="left"/>
      </w:pPr>
      <w:bookmarkStart w:id="110" w:name="bm_5_8_devops_e_deployment"/>
      <w:r>
        <w:rPr>
          <w:rFonts w:eastAsia="georgia" w:cs="georgia" w:ascii="georgia" w:hAnsi="georgia"/>
          <w:b/>
          <w:color w:val="000000"/>
          <w:sz w:val="24"/>
        </w:rPr>
        <w:t xml:space="preserve">5.8 DevOps e deployment</w:t>
      </w:r>
      <w:bookmarkEnd w:id="1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ciclo di delivery deve supportare ambienti coerenti, deploy affidabili e rollback controllati.</w:t>
      </w:r>
      <w:bookmarkStart w:id="111" w:name="fnref9"/>
      <w:bookmarkEnd w:id="11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12" w:name="fnref2_6"/>
      <w:bookmarkEnd w:id="1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documento finale dovrà distinguere chiaramente tra ambiente di sviluppo, staging e produzione.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parte DevOps va narrata in modo realistico e progressivo, senza forzare soluzioni troppo complesse all’avvio.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3" w:name="chiusura_parte_1"/>
      <w:r>
        <w:rPr>
          <w:rFonts w:eastAsia="georgia" w:cs="georgia" w:ascii="georgia" w:hAnsi="georgia"/>
          <w:b/>
          <w:color w:val="000000"/>
          <w:sz w:val="24"/>
        </w:rPr>
        <w:t xml:space="preserve">Chiusura Parte 1</w:t>
      </w:r>
      <w:bookmarkEnd w:id="1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prima parte copre il blocco iniziale del Documento Master fino all’architettura tecnica di base, includendo visione, mercato, prodotto e struttura informativa.</w:t>
      </w:r>
      <w:bookmarkStart w:id="114" w:name="fnref1_42"/>
      <w:bookmarkEnd w:id="1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prossimo fascicolo potrà entrare nel </w:t>
      </w:r>
      <w:r>
        <w:rPr>
          <w:rFonts w:eastAsia="georgia" w:cs="georgia" w:ascii="georgia" w:hAnsi="georgia"/>
          <w:b/>
          <w:color w:val="000000"/>
        </w:rPr>
        <w:t xml:space="preserve">Regolamento Federale</w:t>
      </w:r>
      <w:r>
        <w:rPr>
          <w:rFonts w:eastAsia="georgia" w:cs="georgia" w:ascii="georgia" w:hAnsi="georgia"/>
          <w:color w:val="000000"/>
        </w:rPr>
        <w:t xml:space="preserve">, nel </w:t>
      </w:r>
      <w:r>
        <w:rPr>
          <w:rFonts w:eastAsia="georgia" w:cs="georgia" w:ascii="georgia" w:hAnsi="georgia"/>
          <w:b/>
          <w:color w:val="000000"/>
        </w:rPr>
        <w:t xml:space="preserve">Modello Operativo</w:t>
      </w:r>
      <w:r>
        <w:rPr>
          <w:rFonts w:eastAsia="georgia" w:cs="georgia" w:ascii="georgia" w:hAnsi="georgia"/>
          <w:color w:val="000000"/>
        </w:rPr>
        <w:t xml:space="preserve">, nel </w:t>
      </w:r>
      <w:r>
        <w:rPr>
          <w:rFonts w:eastAsia="georgia" w:cs="georgia" w:ascii="georgia" w:hAnsi="georgia"/>
          <w:b/>
          <w:color w:val="000000"/>
        </w:rPr>
        <w:t xml:space="preserve">Go-to-Market</w:t>
      </w:r>
      <w:r>
        <w:rPr>
          <w:rFonts w:eastAsia="georgia" w:cs="georgia" w:ascii="georgia" w:hAnsi="georgia"/>
          <w:color w:val="000000"/>
        </w:rPr>
        <w:t xml:space="preserve"> e poi nella </w:t>
      </w:r>
      <w:r>
        <w:rPr>
          <w:rFonts w:eastAsia="georgia" w:cs="georgia" w:ascii="georgia" w:hAnsi="georgia"/>
          <w:b/>
          <w:color w:val="000000"/>
        </w:rPr>
        <w:t xml:space="preserve">Struttura del Sito e Architettura Informativa</w:t>
      </w:r>
      <w:r>
        <w:rPr>
          <w:rFonts w:eastAsia="georgia" w:cs="georgia" w:ascii="georgia" w:hAnsi="georgia"/>
          <w:color w:val="000000"/>
        </w:rPr>
        <w:t xml:space="preserve"> che abbiamo appena definito.</w:t>
      </w:r>
      <w:bookmarkStart w:id="115" w:name="fnref10"/>
      <w:bookmarkEnd w:id="11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16" w:name="fnref1_43"/>
      <w:bookmarkEnd w:id="1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parte è completa.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7" w:name="fn1"/>
    <w:bookmarkEnd w:id="117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SIM_IS_REAL_Regolamento_SONY_v5.docx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2"/>
    <w:bookmarkEnd w:id="118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https://firebase.google.com/docs/hosting/frameworks/nextjs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3"/>
    <w:bookmarkEnd w:id="119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https://www.gtplanet.net/gran-turismo-7s-secret-api-discovered-enabling-motion-rigs-telemetry-info-and-more/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4"/>
    <w:bookmarkEnd w:id="120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https://www.thebusinessresearchcompany.com/report/racing-simulator-global-market-report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5"/>
    <w:bookmarkEnd w:id="121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https://www.giiresearch.com/report/tbrc1968954-racing-simulator-global-market-report.html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6"/>
    <w:bookmarkEnd w:id="122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https://www.aeroleagueracing.com/2023/10/12/how-to-set-up-software-to-read-car-telemetry-in-gran-turismo-7/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7"/>
    <w:bookmarkEnd w:id="123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https://firebase.google.com/docs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8"/>
    <w:bookmarkEnd w:id="124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https://resend.com/blog/new-free-tier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9"/>
    <w:bookmarkEnd w:id="125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https://firebase.google.com/docs/hosting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10"/>
    <w:bookmarkEnd w:id="126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https://uxdesign.cc/personas-journey-maps-site-maps-and-user-flows-oh-my-e71d044b4bcb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11"/>
    <w:bookmarkEnd w:id="127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https://www.senato.it/show-doc?leg=19&amp;tipodoc=Resaula&amp;id=1428914&amp;idoggetto=0&amp;part=doc_dc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12"/>
    <w:bookmarkEnd w:id="128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https://legislature.camera.it/_dati/leg09/lavori/stenografici/sed0301/sed0301.pdf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13"/>
    <w:bookmarkEnd w:id="129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https://www.isprambiente.gov.it/contentfiles/00002000/2031-proposta-legge-piccoli-comuni.pdf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14"/>
    <w:bookmarkEnd w:id="130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https://web.unibas.it/bup/Libri/Città_nel_Mezzogiorno.pdf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15"/>
    <w:bookmarkEnd w:id="131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https://iris.unive.it/retrieve/64823614-5050-4a8e-8048-ab070086e8ee/822642-1197874.pdf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16"/>
    <w:bookmarkEnd w:id="132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https://www.istat.it/it/files/2018/03/Atti-XII.pdf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17"/>
    <w:bookmarkEnd w:id="133"/>
    <w:p>
      <w:pPr>
        <w:numPr>
          <w:ilvl w:val="0"/>
          <w:numId w:val="5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https://burc.regione.campania.it/eBurcWeb/BurcPdfOutput/Burc_2012_3_26_14_8.pdf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18"/>
    <w:bookmarkEnd w:id="134"/>
    <w:p>
      <w:pPr>
        <w:numPr>
          <w:ilvl w:val="0"/>
          <w:numId w:val="5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https://www.esteri.it/mae/resource/doc/2020/10/unilink_circolo_studi_diplomatici_-_raccolta_dialoghi_e_convegno_2019.pdf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19"/>
    <w:bookmarkEnd w:id="135"/>
    <w:p>
      <w:pPr>
        <w:numPr>
          <w:ilvl w:val="0"/>
          <w:numId w:val="5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https://iris.unica.it/retrieve/6c41fccf-e13a-4d58-91fc-892c9421b5ad/6182_Nuovi_Studi_Fraseologia_Paremiologia_eBook.pdf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72748207971eb5f069f2a8066f19a46622f2441.png" TargetMode="Internal"/><Relationship Id="rId6" Type="http://schemas.openxmlformats.org/officeDocument/2006/relationships/hyperlink" Target="https://firebase.google.com/docs/hosting/frameworks/nextjs" TargetMode="External"/><Relationship Id="rId7" Type="http://schemas.openxmlformats.org/officeDocument/2006/relationships/hyperlink" Target="https://www.gtplanet.net/gran-turismo-7s-secret-api-discovered-enabling-motion-rigs-telemetry-info-and-more/" TargetMode="External"/><Relationship Id="rId8" Type="http://schemas.openxmlformats.org/officeDocument/2006/relationships/hyperlink" Target="https://www.thebusinessresearchcompany.com/report/racing-simulator-global-market-report" TargetMode="External"/><Relationship Id="rId9" Type="http://schemas.openxmlformats.org/officeDocument/2006/relationships/hyperlink" Target="https://www.giiresearch.com/report/tbrc1968954-racing-simulator-global-market-report.html" TargetMode="External"/><Relationship Id="rId10" Type="http://schemas.openxmlformats.org/officeDocument/2006/relationships/hyperlink" Target="https://www.aeroleagueracing.com/2023/10/12/how-to-set-up-software-to-read-car-telemetry-in-gran-turismo-7/" TargetMode="External"/><Relationship Id="rId11" Type="http://schemas.openxmlformats.org/officeDocument/2006/relationships/hyperlink" Target="https://firebase.google.com/docs" TargetMode="External"/><Relationship Id="rId12" Type="http://schemas.openxmlformats.org/officeDocument/2006/relationships/hyperlink" Target="https://resend.com/blog/new-free-tier" TargetMode="External"/><Relationship Id="rId13" Type="http://schemas.openxmlformats.org/officeDocument/2006/relationships/hyperlink" Target="https://firebase.google.com/docs/hosting" TargetMode="External"/><Relationship Id="rId14" Type="http://schemas.openxmlformats.org/officeDocument/2006/relationships/hyperlink" Target="https://uxdesign.cc/personas-journey-maps-site-maps-and-user-flows-oh-my-e71d044b4bcb" TargetMode="External"/><Relationship Id="rId15" Type="http://schemas.openxmlformats.org/officeDocument/2006/relationships/hyperlink" Target="https://www.senato.it/show-doc?leg=19&amp;tipodoc=Resaula&amp;id=1428914&amp;idoggetto=0&amp;part=doc_dc" TargetMode="External"/><Relationship Id="rId16" Type="http://schemas.openxmlformats.org/officeDocument/2006/relationships/hyperlink" Target="https://legislature.camera.it/_dati/leg09/lavori/stenografici/sed0301/sed0301.pdf" TargetMode="External"/><Relationship Id="rId17" Type="http://schemas.openxmlformats.org/officeDocument/2006/relationships/hyperlink" Target="https://www.isprambiente.gov.it/contentfiles/00002000/2031-proposta-legge-piccoli-comuni.pdf" TargetMode="External"/><Relationship Id="rId18" Type="http://schemas.openxmlformats.org/officeDocument/2006/relationships/hyperlink" Target="https://web.unibas.it/bup/Libri/Citt%C3%A0_nel_Mezzogiorno.pdf" TargetMode="External"/><Relationship Id="rId19" Type="http://schemas.openxmlformats.org/officeDocument/2006/relationships/hyperlink" Target="https://iris.unive.it/retrieve/64823614-5050-4a8e-8048-ab070086e8ee/822642-1197874.pdf" TargetMode="External"/><Relationship Id="rId20" Type="http://schemas.openxmlformats.org/officeDocument/2006/relationships/hyperlink" Target="https://www.istat.it/it/files/2018/03/Atti-XII.pdf" TargetMode="External"/><Relationship Id="rId21" Type="http://schemas.openxmlformats.org/officeDocument/2006/relationships/hyperlink" Target="https://burc.regione.campania.it/eBurcWeb/BurcPdfOutput/Burc_2012_3_26_14_8.pdf" TargetMode="External"/><Relationship Id="rId22" Type="http://schemas.openxmlformats.org/officeDocument/2006/relationships/hyperlink" Target="https://www.esteri.it/mae/resource/doc/2020/10/unilink_circolo_studi_diplomatici_-_raccolta_dialoghi_e_convegno_2019.pdf" TargetMode="External"/><Relationship Id="rId23" Type="http://schemas.openxmlformats.org/officeDocument/2006/relationships/hyperlink" Target="https://iris.unica.it/retrieve/6c41fccf-e13a-4d58-91fc-892c9421b5ad/6182_Nuovi_Studi_Fraseologia_Paremiologia_eBook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2026-05-15T07:16:22.134Z</dcterms:created>
  <dcterms:modified xsi:type="dcterms:W3CDTF">2026-05-15T07:16:22.134Z</dcterms:modified>
</cp:coreProperties>
</file>