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64"/>
      </w:pPr>
      <w:r>
        <w:rPr>
          <w:rFonts w:ascii="Calibri" w:cs="Calibri" w:eastAsia="Calibri" w:hAnsi="Calibri"/>
          <w:b/>
          <w:bCs/>
          <w:color w:val="1F2933"/>
          <w:sz w:val="22"/>
          <w:szCs w:val="22"/>
        </w:rPr>
        <w:t xml:space="preserve">[Your Name]</w:t>
      </w:r>
    </w:p>
    <w:p>
      <w:pPr>
        <w:spacing w:after="0" w:line="264"/>
      </w:pPr>
      <w:r>
        <w:rPr>
          <w:rFonts w:ascii="Calibri" w:cs="Calibri" w:eastAsia="Calibri" w:hAnsi="Calibri"/>
          <w:color w:val="1F2933"/>
          <w:sz w:val="22"/>
          <w:szCs w:val="22"/>
        </w:rPr>
        <w:t xml:space="preserve">[Street Address]</w:t>
      </w:r>
    </w:p>
    <w:p>
      <w:pPr>
        <w:spacing w:after="0" w:line="264"/>
      </w:pPr>
      <w:r>
        <w:rPr>
          <w:rFonts w:ascii="Calibri" w:cs="Calibri" w:eastAsia="Calibri" w:hAnsi="Calibri"/>
          <w:color w:val="1F2933"/>
          <w:sz w:val="22"/>
          <w:szCs w:val="22"/>
        </w:rPr>
        <w:t xml:space="preserve">Riverhead, New York 11901</w:t>
      </w:r>
    </w:p>
    <w:p>
      <w:pPr>
        <w:spacing w:after="300" w:line="264"/>
      </w:pPr>
      <w:r>
        <w:rPr>
          <w:rFonts w:ascii="Calibri" w:cs="Calibri" w:eastAsia="Calibri" w:hAnsi="Calibri"/>
          <w:color w:val="1F2933"/>
          <w:sz w:val="22"/>
          <w:szCs w:val="22"/>
        </w:rPr>
        <w:t xml:space="preserve">[email address]  ·  [phone]</w:t>
      </w:r>
    </w:p>
    <w:p>
      <w:pPr>
        <w:spacing w:after="300" w:line="264"/>
      </w:pPr>
      <w:r>
        <w:rPr>
          <w:rFonts w:ascii="Calibri" w:cs="Calibri" w:eastAsia="Calibri" w:hAnsi="Calibri"/>
          <w:color w:val="1F2933"/>
          <w:sz w:val="22"/>
          <w:szCs w:val="22"/>
        </w:rPr>
        <w:t xml:space="preserve">August 19, 2026</w:t>
      </w:r>
    </w:p>
    <w:p>
      <w:pPr>
        <w:spacing w:after="0" w:line="264"/>
      </w:pPr>
      <w:r>
        <w:rPr>
          <w:rFonts w:ascii="Calibri" w:cs="Calibri" w:eastAsia="Calibri" w:hAnsi="Calibri"/>
          <w:color w:val="1F2933"/>
          <w:sz w:val="22"/>
          <w:szCs w:val="22"/>
        </w:rPr>
        <w:t xml:space="preserve">The Honorable Jerry Halpin</w:t>
      </w:r>
    </w:p>
    <w:p>
      <w:pPr>
        <w:spacing w:after="0" w:line="264"/>
      </w:pPr>
      <w:r>
        <w:rPr>
          <w:rFonts w:ascii="Calibri" w:cs="Calibri" w:eastAsia="Calibri" w:hAnsi="Calibri"/>
          <w:color w:val="1F2933"/>
          <w:sz w:val="22"/>
          <w:szCs w:val="22"/>
        </w:rPr>
        <w:t xml:space="preserve">Supervisor, Town of Riverhead</w:t>
      </w:r>
    </w:p>
    <w:p>
      <w:pPr>
        <w:spacing w:after="0" w:line="264"/>
      </w:pPr>
      <w:r>
        <w:rPr>
          <w:rFonts w:ascii="Calibri" w:cs="Calibri" w:eastAsia="Calibri" w:hAnsi="Calibri"/>
          <w:color w:val="1F2933"/>
          <w:sz w:val="22"/>
          <w:szCs w:val="22"/>
        </w:rPr>
        <w:t xml:space="preserve">Riverhead Town Hall</w:t>
      </w:r>
    </w:p>
    <w:p>
      <w:pPr>
        <w:spacing w:after="0" w:line="264"/>
      </w:pPr>
      <w:r>
        <w:rPr>
          <w:rFonts w:ascii="Calibri" w:cs="Calibri" w:eastAsia="Calibri" w:hAnsi="Calibri"/>
          <w:color w:val="1F2933"/>
          <w:sz w:val="22"/>
          <w:szCs w:val="22"/>
        </w:rPr>
        <w:t xml:space="preserve">200 Howell Avenue</w:t>
      </w:r>
    </w:p>
    <w:p>
      <w:pPr>
        <w:spacing w:after="300" w:line="264"/>
      </w:pPr>
      <w:r>
        <w:rPr>
          <w:rFonts w:ascii="Calibri" w:cs="Calibri" w:eastAsia="Calibri" w:hAnsi="Calibri"/>
          <w:color w:val="1F2933"/>
          <w:sz w:val="22"/>
          <w:szCs w:val="22"/>
        </w:rPr>
        <w:t xml:space="preserve">Riverhead, New York 11901</w:t>
      </w:r>
    </w:p>
    <w:p>
      <w:pPr>
        <w:spacing w:after="260" w:line="264"/>
      </w:pPr>
      <w:r>
        <w:rPr>
          <w:rFonts w:ascii="Calibri" w:cs="Calibri" w:eastAsia="Calibri" w:hAnsi="Calibri"/>
          <w:b/>
          <w:bCs/>
          <w:color w:val="1F2933"/>
          <w:sz w:val="22"/>
          <w:szCs w:val="22"/>
        </w:rPr>
        <w:t xml:space="preserve">Re: </w:t>
      </w:r>
      <w:r>
        <w:rPr>
          <w:rFonts w:ascii="Calibri" w:cs="Calibri" w:eastAsia="Calibri" w:hAnsi="Calibri"/>
          <w:b/>
          <w:bCs/>
          <w:color w:val="1F2933"/>
          <w:sz w:val="22"/>
          <w:szCs w:val="22"/>
        </w:rPr>
        <w:t xml:space="preserve">Five measures to close the projected 2027 tax-cap gap</w:t>
      </w:r>
    </w:p>
    <w:p>
      <w:pPr>
        <w:spacing w:after="240" w:line="264"/>
      </w:pPr>
      <w:r>
        <w:rPr>
          <w:rFonts w:ascii="Calibri" w:cs="Calibri" w:eastAsia="Calibri" w:hAnsi="Calibri"/>
          <w:color w:val="1F2933"/>
          <w:sz w:val="22"/>
          <w:szCs w:val="22"/>
        </w:rPr>
        <w:t xml:space="preserve">Dear Supervisor Halpin:</w:t>
      </w:r>
    </w:p>
    <w:p>
      <w:pPr>
        <w:spacing w:after="200" w:line="264"/>
      </w:pPr>
      <w:r>
        <w:rPr>
          <w:rFonts w:ascii="Calibri" w:cs="Calibri" w:eastAsia="Calibri" w:hAnsi="Calibri"/>
          <w:color w:val="1F2933"/>
          <w:sz w:val="22"/>
          <w:szCs w:val="22"/>
        </w:rPr>
        <w:t xml:space="preserve">I am writing ahead of the September 30 filing deadline for the tentative budget. Carried forward on the Town’s own contract terms, the 2027 levy grows about </w:t>
      </w:r>
      <w:r>
        <w:rPr>
          <w:rFonts w:ascii="Calibri" w:cs="Calibri" w:eastAsia="Calibri" w:hAnsi="Calibri"/>
          <w:b/>
          <w:bCs/>
          <w:color w:val="1F2933"/>
          <w:sz w:val="22"/>
          <w:szCs w:val="22"/>
        </w:rPr>
        <w:t xml:space="preserve">6.2 percent</w:t>
      </w:r>
      <w:r>
        <w:rPr>
          <w:rFonts w:ascii="Calibri" w:cs="Calibri" w:eastAsia="Calibri" w:hAnsi="Calibri"/>
          <w:color w:val="1F2933"/>
          <w:sz w:val="22"/>
          <w:szCs w:val="22"/>
        </w:rPr>
        <w:t xml:space="preserve"> — roughly </w:t>
      </w:r>
      <w:r>
        <w:rPr>
          <w:rFonts w:ascii="Calibri" w:cs="Calibri" w:eastAsia="Calibri" w:hAnsi="Calibri"/>
          <w:b/>
          <w:bCs/>
          <w:color w:val="1F2933"/>
          <w:sz w:val="22"/>
          <w:szCs w:val="22"/>
        </w:rPr>
        <w:t xml:space="preserve">$2,757,133</w:t>
      </w:r>
      <w:r>
        <w:rPr>
          <w:rFonts w:ascii="Calibri" w:cs="Calibri" w:eastAsia="Calibri" w:hAnsi="Calibri"/>
          <w:color w:val="1F2933"/>
          <w:sz w:val="22"/>
          <w:szCs w:val="22"/>
        </w:rPr>
        <w:t xml:space="preserve"> beyond what the state tax cap allows.</w:t>
      </w:r>
    </w:p>
    <w:p>
      <w:pPr>
        <w:spacing w:after="200" w:line="264"/>
      </w:pPr>
      <w:r>
        <w:rPr>
          <w:rFonts w:ascii="Calibri" w:cs="Calibri" w:eastAsia="Calibri" w:hAnsi="Calibri"/>
          <w:color w:val="1F2933"/>
          <w:sz w:val="22"/>
          <w:szCs w:val="22"/>
        </w:rPr>
        <w:t xml:space="preserve">This letter sets out five measures that together close that gap. I have written it as a specification sheet rather than an essay: each measure carries its dollar value, the authority needed to enact it, and its source, so your staff can accept, reject, or reprice any single item without unpicking the rest. Taken together they are worth </w:t>
      </w:r>
      <w:r>
        <w:rPr>
          <w:rFonts w:ascii="Calibri" w:cs="Calibri" w:eastAsia="Calibri" w:hAnsi="Calibri"/>
          <w:b/>
          <w:bCs/>
          <w:color w:val="1F2933"/>
          <w:sz w:val="22"/>
          <w:szCs w:val="22"/>
        </w:rPr>
        <w:t xml:space="preserve">$2,733,573 to $3,033,573</w:t>
      </w:r>
      <w:r>
        <w:rPr>
          <w:rFonts w:ascii="Calibri" w:cs="Calibri" w:eastAsia="Calibri" w:hAnsi="Calibri"/>
          <w:color w:val="1F2933"/>
          <w:sz w:val="22"/>
          <w:szCs w:val="22"/>
        </w:rPr>
        <w:t xml:space="preserve"> — between 99 and 110 percent of the gap — with no fourth override in five years, no reduction in service, and no one-time reserves spent against a recurring cost.</w:t>
      </w:r>
    </w:p>
    <w:p>
      <w:pPr>
        <w:spacing w:after="200" w:line="264"/>
      </w:pPr>
      <w:r>
        <w:rPr>
          <w:rFonts w:ascii="Calibri" w:cs="Calibri" w:eastAsia="Calibri" w:hAnsi="Calibri"/>
          <w:color w:val="1F2933"/>
          <w:sz w:val="22"/>
          <w:szCs w:val="22"/>
        </w:rPr>
        <w:t xml:space="preserve">I have no quarrel with the Board’s recent record, and I say so plainly at the end. My concern is narrower. The two easiest routes to a balanced 2027 budget are an override and a draw on fund balance, and both are easy precisely because neither requires anyone to examine a single line item.</w:t>
      </w:r>
    </w:p>
    <w:p>
      <w:pPr>
        <w:spacing w:after="140" w:before="300"/>
      </w:pPr>
      <w:r>
        <w:rPr>
          <w:rFonts w:ascii="Calibri" w:cs="Calibri" w:eastAsia="Calibri" w:hAnsi="Calibri"/>
          <w:b/>
          <w:bCs/>
          <w:color w:val="284A69"/>
          <w:sz w:val="23"/>
          <w:szCs w:val="23"/>
        </w:rPr>
        <w:t xml:space="preserve">The constraint</w:t>
      </w:r>
    </w:p>
    <w:p>
      <w:pPr>
        <w:spacing w:after="200" w:line="264"/>
      </w:pPr>
      <w:r>
        <w:rPr>
          <w:rFonts w:ascii="Calibri" w:cs="Calibri" w:eastAsia="Calibri" w:hAnsi="Calibri"/>
          <w:color w:val="1F2933"/>
          <w:sz w:val="22"/>
          <w:szCs w:val="22"/>
        </w:rPr>
        <w:t xml:space="preserve">The gap is arithmetic rather than opinion. About </w:t>
      </w:r>
      <w:r>
        <w:rPr>
          <w:rFonts w:ascii="Calibri" w:cs="Calibri" w:eastAsia="Calibri" w:hAnsi="Calibri"/>
          <w:b/>
          <w:bCs/>
          <w:color w:val="1F2933"/>
          <w:sz w:val="22"/>
          <w:szCs w:val="22"/>
        </w:rPr>
        <w:t xml:space="preserve">$936,727</w:t>
      </w:r>
      <w:r>
        <w:rPr>
          <w:rFonts w:ascii="Calibri" w:cs="Calibri" w:eastAsia="Calibri" w:hAnsi="Calibri"/>
          <w:color w:val="1F2933"/>
          <w:sz w:val="22"/>
          <w:szCs w:val="22"/>
        </w:rPr>
        <w:t xml:space="preserve"> of the 2027 pressure is contractual and automatic — PBA </w:t>
      </w:r>
      <w:r>
        <w:rPr>
          <w:rFonts w:ascii="Calibri" w:cs="Calibri" w:eastAsia="Calibri" w:hAnsi="Calibri"/>
          <w:color w:val="1F2933"/>
          <w:sz w:val="22"/>
          <w:szCs w:val="22"/>
        </w:rPr>
        <w:t xml:space="preserve">$354,690</w:t>
      </w:r>
      <w:r>
        <w:rPr>
          <w:rFonts w:ascii="Calibri" w:cs="Calibri" w:eastAsia="Calibri" w:hAnsi="Calibri"/>
          <w:color w:val="1F2933"/>
          <w:sz w:val="22"/>
          <w:szCs w:val="22"/>
        </w:rPr>
        <w:t xml:space="preserve">, CSEA </w:t>
      </w:r>
      <w:r>
        <w:rPr>
          <w:rFonts w:ascii="Calibri" w:cs="Calibri" w:eastAsia="Calibri" w:hAnsi="Calibri"/>
          <w:color w:val="1F2933"/>
          <w:sz w:val="22"/>
          <w:szCs w:val="22"/>
        </w:rPr>
        <w:t xml:space="preserve">$484,395</w:t>
      </w:r>
      <w:r>
        <w:rPr>
          <w:rFonts w:ascii="Calibri" w:cs="Calibri" w:eastAsia="Calibri" w:hAnsi="Calibri"/>
          <w:color w:val="1F2933"/>
          <w:sz w:val="22"/>
          <w:szCs w:val="22"/>
        </w:rPr>
        <w:t xml:space="preserve">, SOA </w:t>
      </w:r>
      <w:r>
        <w:rPr>
          <w:rFonts w:ascii="Calibri" w:cs="Calibri" w:eastAsia="Calibri" w:hAnsi="Calibri"/>
          <w:color w:val="1F2933"/>
          <w:sz w:val="22"/>
          <w:szCs w:val="22"/>
        </w:rPr>
        <w:t xml:space="preserve">$68,773</w:t>
      </w:r>
      <w:r>
        <w:rPr>
          <w:rFonts w:ascii="Calibri" w:cs="Calibri" w:eastAsia="Calibri" w:hAnsi="Calibri"/>
          <w:color w:val="1F2933"/>
          <w:sz w:val="22"/>
          <w:szCs w:val="22"/>
        </w:rPr>
        <w:t xml:space="preserve">, and non-contract staff </w:t>
      </w:r>
      <w:r>
        <w:rPr>
          <w:rFonts w:ascii="Calibri" w:cs="Calibri" w:eastAsia="Calibri" w:hAnsi="Calibri"/>
          <w:color w:val="1F2933"/>
          <w:sz w:val="22"/>
          <w:szCs w:val="22"/>
        </w:rPr>
        <w:t xml:space="preserve">$28,869</w:t>
      </w:r>
      <w:r>
        <w:rPr>
          <w:rFonts w:ascii="Calibri" w:cs="Calibri" w:eastAsia="Calibri" w:hAnsi="Calibri"/>
          <w:color w:val="1F2933"/>
          <w:sz w:val="22"/>
          <w:szCs w:val="22"/>
        </w:rPr>
        <w:t xml:space="preserve">. That portion is not a lever, and nothing below pretends otherwise. Everything that follows targets the remainder.</w:t>
      </w:r>
    </w:p>
    <w:tbl>
      <w:tblPr>
        <w:tblW w:type="dxa" w:w="9360"/>
        <w:tblBorders>
          <w:top w:val="single" w:color="B9C7D4" w:sz="2"/>
          <w:left w:val="single" w:color="B9C7D4" w:sz="2"/>
          <w:bottom w:val="single" w:color="B9C7D4" w:sz="2"/>
          <w:right w:val="single" w:color="B9C7D4" w:sz="2"/>
          <w:insideH w:val="single" w:color="E2E8F0" w:sz="2"/>
          <w:insideV w:val="single" w:color="E2E8F0" w:sz="2"/>
        </w:tblBorders>
      </w:tblPr>
      <w:tblGrid>
        <w:gridCol w:w="4260"/>
        <w:gridCol w:w="2550"/>
        <w:gridCol w:w="2550"/>
      </w:tblGrid>
      <w:tr>
        <w:trPr>
          <w:tblHeader/>
        </w:trPr>
        <w:tc>
          <w:tcPr>
            <w:tcW w:type="dxa" w:w="4260"/>
            <w:shd w:fill="284A69" w:color="auto" w:val="clear"/>
            <w:tcMar>
              <w:top w:type="dxa" w:w="60"/>
              <w:left w:type="dxa" w:w="110"/>
              <w:bottom w:type="dxa" w:w="60"/>
              <w:right w:type="dxa" w:w="110"/>
            </w:tcMar>
          </w:tcPr>
          <w:p>
            <w:pPr>
              <w:spacing w:after="0" w:line="252"/>
            </w:pPr>
            <w:r>
              <w:rPr>
                <w:rFonts w:ascii="Calibri" w:cs="Calibri" w:eastAsia="Calibri" w:hAnsi="Calibri"/>
                <w:b/>
                <w:bCs/>
                <w:color w:val="FFFFFF"/>
                <w:sz w:val="20"/>
                <w:szCs w:val="20"/>
              </w:rPr>
              <w:t xml:space="preserve"/>
            </w:r>
          </w:p>
        </w:tc>
        <w:tc>
          <w:tcPr>
            <w:tcW w:type="dxa" w:w="255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Amount</w:t>
            </w:r>
          </w:p>
        </w:tc>
        <w:tc>
          <w:tcPr>
            <w:tcW w:type="dxa" w:w="255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Change</w:t>
            </w:r>
          </w:p>
        </w:tc>
      </w:tr>
      <w:tr>
        <w:tc>
          <w:tcPr>
            <w:tcW w:type="dxa" w:w="42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2026 adopted appropriations, all funds</w:t>
            </w:r>
          </w:p>
        </w:tc>
        <w:tc>
          <w:tcPr>
            <w:tcW w:type="dxa" w:w="25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$121,110,904</w:t>
            </w:r>
          </w:p>
        </w:tc>
        <w:tc>
          <w:tcPr>
            <w:tcW w:type="dxa" w:w="25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w:t>
            </w:r>
          </w:p>
        </w:tc>
      </w:tr>
      <w:tr>
        <w:tc>
          <w:tcPr>
            <w:tcW w:type="dxa" w:w="42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2027 projected appropriations</w:t>
            </w:r>
          </w:p>
        </w:tc>
        <w:tc>
          <w:tcPr>
            <w:tcW w:type="dxa" w:w="25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$126,290,255</w:t>
            </w:r>
          </w:p>
        </w:tc>
        <w:tc>
          <w:tcPr>
            <w:tcW w:type="dxa" w:w="25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+$5,179,351 (+4.28%)</w:t>
            </w:r>
          </w:p>
        </w:tc>
      </w:tr>
      <w:tr>
        <w:tc>
          <w:tcPr>
            <w:tcW w:type="dxa" w:w="42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2026 town-wide levy</w:t>
            </w:r>
          </w:p>
        </w:tc>
        <w:tc>
          <w:tcPr>
            <w:tcW w:type="dxa" w:w="25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$65,343,939</w:t>
            </w:r>
          </w:p>
        </w:tc>
        <w:tc>
          <w:tcPr>
            <w:tcW w:type="dxa" w:w="25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w:t>
            </w:r>
          </w:p>
        </w:tc>
      </w:tr>
      <w:tr>
        <w:tc>
          <w:tcPr>
            <w:tcW w:type="dxa" w:w="42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2027 projected levy</w:t>
            </w:r>
          </w:p>
        </w:tc>
        <w:tc>
          <w:tcPr>
            <w:tcW w:type="dxa" w:w="25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$69,407,951</w:t>
            </w:r>
          </w:p>
        </w:tc>
        <w:tc>
          <w:tcPr>
            <w:tcW w:type="dxa" w:w="25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+6.2%</w:t>
            </w:r>
          </w:p>
        </w:tc>
      </w:tr>
      <w:tr>
        <w:tc>
          <w:tcPr>
            <w:tcW w:type="dxa" w:w="42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Levy permitted under the cap</w:t>
            </w:r>
          </w:p>
        </w:tc>
        <w:tc>
          <w:tcPr>
            <w:tcW w:type="dxa" w:w="25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$66,650,818</w:t>
            </w:r>
          </w:p>
        </w:tc>
        <w:tc>
          <w:tcPr>
            <w:tcW w:type="dxa" w:w="25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w:t>
            </w:r>
          </w:p>
        </w:tc>
      </w:tr>
      <w:tr>
        <w:tc>
          <w:tcPr>
            <w:tcW w:type="dxa" w:w="4260"/>
            <w:shd w:fill="FDF3DA" w:color="auto" w:val="clear"/>
            <w:tcMar>
              <w:top w:type="dxa" w:w="60"/>
              <w:left w:type="dxa" w:w="110"/>
              <w:bottom w:type="dxa" w:w="60"/>
              <w:right w:type="dxa" w:w="110"/>
            </w:tcMar>
          </w:tcPr>
          <w:p>
            <w:pPr>
              <w:spacing w:after="0" w:line="252"/>
            </w:pPr>
            <w:r>
              <w:rPr>
                <w:rFonts w:ascii="Calibri" w:cs="Calibri" w:eastAsia="Calibri" w:hAnsi="Calibri"/>
                <w:b/>
                <w:bCs/>
                <w:color w:val="1F2933"/>
                <w:sz w:val="20"/>
                <w:szCs w:val="20"/>
              </w:rPr>
              <w:t xml:space="preserve">Projected gap above the cap</w:t>
            </w:r>
          </w:p>
        </w:tc>
        <w:tc>
          <w:tcPr>
            <w:tcW w:type="dxa" w:w="255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$2,757,133</w:t>
            </w:r>
          </w:p>
        </w:tc>
        <w:tc>
          <w:tcPr>
            <w:tcW w:type="dxa" w:w="255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to be closed</w:t>
            </w:r>
          </w:p>
        </w:tc>
      </w:tr>
    </w:tbl>
    <w:p>
      <w:pPr>
        <w:spacing w:after="220" w:before="60"/>
      </w:pPr>
      <w:r>
        <w:rPr>
          <w:rFonts w:ascii="Calibri" w:cs="Calibri" w:eastAsia="Calibri" w:hAnsi="Calibri"/>
          <w:color w:val="64748B"/>
          <w:sz w:val="17"/>
          <w:szCs w:val="17"/>
        </w:rPr>
        <w:t xml:space="preserve">Source: 2026 Adopted Budget and 2026 Budget Supplement; projection method described at the end of this letter.</w:t>
      </w:r>
    </w:p>
    <w:p>
      <w:pPr>
        <w:spacing w:after="200" w:line="264"/>
      </w:pPr>
      <w:r>
        <w:rPr>
          <w:rFonts w:ascii="Calibri" w:cs="Calibri" w:eastAsia="Calibri" w:hAnsi="Calibri"/>
          <w:color w:val="1F2933"/>
          <w:sz w:val="22"/>
          <w:szCs w:val="22"/>
        </w:rPr>
        <w:t xml:space="preserve">For context, the Town exceeded the cap in 2023, 2024, and again in 2026, and the town-wide levy rose 7.74 percent this year. A fourth override may still prove necessary. It should be the residual left after the measures below, not the instrument that makes examining them unnecessary.</w:t>
      </w:r>
    </w:p>
    <w:p>
      <w:pPr>
        <w:spacing w:after="140" w:before="300"/>
      </w:pPr>
      <w:r>
        <w:rPr>
          <w:rFonts w:ascii="Calibri" w:cs="Calibri" w:eastAsia="Calibri" w:hAnsi="Calibri"/>
          <w:b/>
          <w:bCs/>
          <w:color w:val="284A69"/>
          <w:sz w:val="23"/>
          <w:szCs w:val="23"/>
        </w:rPr>
        <w:t xml:space="preserve">The five measures</w:t>
      </w:r>
    </w:p>
    <w:p>
      <w:pPr>
        <w:spacing w:after="80" w:before="240"/>
      </w:pPr>
      <w:r>
        <w:rPr>
          <w:rFonts w:ascii="Calibri" w:cs="Calibri" w:eastAsia="Calibri" w:hAnsi="Calibri"/>
          <w:b/>
          <w:bCs/>
          <w:color w:val="284A69"/>
          <w:sz w:val="22"/>
          <w:szCs w:val="22"/>
        </w:rPr>
        <w:t xml:space="preserve">Measure 1 — Capture the retirement-incentive savings already approved</w:t>
      </w:r>
    </w:p>
    <w:tbl>
      <w:tblPr>
        <w:tblW w:type="dxa" w:w="9360"/>
        <w:tblBorders>
          <w:top w:val="single" w:color="284A69" w:sz="12"/>
          <w:left w:val="none"/>
          <w:bottom w:val="single" w:color="B9C7D4" w:sz="4"/>
          <w:right w:val="none"/>
          <w:insideH w:val="none"/>
          <w:insideV w:val="none"/>
        </w:tblBorders>
      </w:tblPr>
      <w:tblGrid>
        <w:gridCol w:w="2300"/>
        <w:gridCol w:w="7060"/>
      </w:tblGrid>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Value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$500,000 to $800,000, recurring — the Town’s own projection</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Authority</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Already adopted. Resolutions 2026-678, 2026-679, and 2026-680, unanimous, July 7, 2026</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Population</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53 eligible employees across CSEA, PBA, and SOA</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Action needed</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A refill policy requiring written justification before any vacated post is refilled above entry step, and a tentative budget that holds the resulting salary reduction rather than re-budgeting each post at its former cost</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Timing</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Elections close September 1 and retirements take effect October 1, so the true count will be known before the tentative budget is filed — this can be budgeted precisely rather than estimated</w:t>
            </w:r>
          </w:p>
        </w:tc>
      </w:tr>
      <w:tr>
        <w:tc>
          <w:tcPr>
            <w:tcW w:type="dxa" w:w="2300"/>
            <w:tcBorders>
              <w:top w:val="none"/>
              <w:left w:val="none"/>
              <w:bottom w:val="non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Source</w:t>
            </w:r>
          </w:p>
        </w:tc>
        <w:tc>
          <w:tcPr>
            <w:tcW w:type="dxa" w:w="7060"/>
            <w:tcBorders>
              <w:top w:val="none"/>
              <w:left w:val="none"/>
              <w:bottom w:val="non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Town Board minutes, July 7, 2026</w:t>
            </w:r>
          </w:p>
        </w:tc>
      </w:tr>
    </w:tbl>
    <w:p>
      <w:pPr>
        <w:spacing w:after="160"/>
      </w:pPr>
      <w:r>
        <w:rPr>
          <w:sz w:val="2"/>
          <w:szCs w:val="2"/>
        </w:rPr>
        <w:t xml:space="preserve"/>
      </w:r>
    </w:p>
    <w:p>
      <w:pPr>
        <w:spacing w:after="200" w:line="264"/>
      </w:pPr>
      <w:r>
        <w:rPr>
          <w:rFonts w:ascii="Calibri" w:cs="Calibri" w:eastAsia="Calibri" w:hAnsi="Calibri"/>
          <w:color w:val="1F2933"/>
          <w:sz w:val="22"/>
          <w:szCs w:val="22"/>
        </w:rPr>
        <w:t xml:space="preserve">This is the largest single item and the least contestable, since the Board has already voted for it unanimously across a politically divided body. The savings are not automatic, though. They are realized only if vacated positions are refilled at entry step, consolidated, or left unfilled — a budgeting decision your office controls, not a further negotiation.</w:t>
      </w:r>
    </w:p>
    <w:p>
      <w:pPr>
        <w:spacing w:after="80" w:before="240"/>
      </w:pPr>
      <w:r>
        <w:rPr>
          <w:rFonts w:ascii="Calibri" w:cs="Calibri" w:eastAsia="Calibri" w:hAnsi="Calibri"/>
          <w:b/>
          <w:bCs/>
          <w:color w:val="284A69"/>
          <w:sz w:val="22"/>
          <w:szCs w:val="22"/>
        </w:rPr>
        <w:t xml:space="preserve">Measure 2 — A personnel and policy package adoptable by resolution</w:t>
      </w:r>
    </w:p>
    <w:tbl>
      <w:tblPr>
        <w:tblW w:type="dxa" w:w="9360"/>
        <w:tblBorders>
          <w:top w:val="single" w:color="284A69" w:sz="12"/>
          <w:left w:val="none"/>
          <w:bottom w:val="single" w:color="B9C7D4" w:sz="4"/>
          <w:right w:val="none"/>
          <w:insideH w:val="none"/>
          <w:insideV w:val="none"/>
        </w:tblBorders>
      </w:tblPr>
      <w:tblGrid>
        <w:gridCol w:w="2300"/>
        <w:gridCol w:w="7060"/>
      </w:tblGrid>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Value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$640,321, recurring</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Authority</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Board resolution. No union concession required</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Effect on staffing</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None. No component reduces headcount below current staffing</w:t>
            </w:r>
          </w:p>
        </w:tc>
      </w:tr>
      <w:tr>
        <w:tc>
          <w:tcPr>
            <w:tcW w:type="dxa" w:w="2300"/>
            <w:tcBorders>
              <w:top w:val="none"/>
              <w:left w:val="none"/>
              <w:bottom w:val="non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Source</w:t>
            </w:r>
          </w:p>
        </w:tc>
        <w:tc>
          <w:tcPr>
            <w:tcW w:type="dxa" w:w="7060"/>
            <w:tcBorders>
              <w:top w:val="none"/>
              <w:left w:val="none"/>
              <w:bottom w:val="non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2026 Adopted Budget; Town of Southampton 2026 Adopted Budget for the overtime benchmark</w:t>
            </w:r>
          </w:p>
        </w:tc>
      </w:tr>
    </w:tbl>
    <w:p>
      <w:pPr>
        <w:spacing w:after="160"/>
      </w:pPr>
      <w:r>
        <w:rPr>
          <w:sz w:val="2"/>
          <w:szCs w:val="2"/>
        </w:rPr>
        <w:t xml:space="preserve"/>
      </w:r>
    </w:p>
    <w:tbl>
      <w:tblPr>
        <w:tblW w:type="dxa" w:w="9360"/>
        <w:tblBorders>
          <w:top w:val="single" w:color="B9C7D4" w:sz="2"/>
          <w:left w:val="single" w:color="B9C7D4" w:sz="2"/>
          <w:bottom w:val="single" w:color="B9C7D4" w:sz="2"/>
          <w:right w:val="single" w:color="B9C7D4" w:sz="2"/>
          <w:insideH w:val="single" w:color="E2E8F0" w:sz="2"/>
          <w:insideV w:val="single" w:color="E2E8F0" w:sz="2"/>
        </w:tblBorders>
      </w:tblPr>
      <w:tblGrid>
        <w:gridCol w:w="4560"/>
        <w:gridCol w:w="1900"/>
        <w:gridCol w:w="2900"/>
      </w:tblGrid>
      <w:tr>
        <w:trPr>
          <w:tblHeader/>
        </w:trPr>
        <w:tc>
          <w:tcPr>
            <w:tcW w:type="dxa" w:w="4560"/>
            <w:shd w:fill="284A69" w:color="auto" w:val="clear"/>
            <w:tcMar>
              <w:top w:type="dxa" w:w="60"/>
              <w:left w:type="dxa" w:w="110"/>
              <w:bottom w:type="dxa" w:w="60"/>
              <w:right w:type="dxa" w:w="110"/>
            </w:tcMar>
          </w:tcPr>
          <w:p>
            <w:pPr>
              <w:spacing w:after="0" w:line="252"/>
            </w:pPr>
            <w:r>
              <w:rPr>
                <w:rFonts w:ascii="Calibri" w:cs="Calibri" w:eastAsia="Calibri" w:hAnsi="Calibri"/>
                <w:b/>
                <w:bCs/>
                <w:color w:val="FFFFFF"/>
                <w:sz w:val="20"/>
                <w:szCs w:val="20"/>
              </w:rPr>
              <w:t xml:space="preserve">Component</w:t>
            </w:r>
          </w:p>
        </w:tc>
        <w:tc>
          <w:tcPr>
            <w:tcW w:type="dxa" w:w="190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Annual value</w:t>
            </w:r>
          </w:p>
        </w:tc>
        <w:tc>
          <w:tcPr>
            <w:tcW w:type="dxa" w:w="290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What it requires</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20% healthcare premium contribution, exempt and elected positions</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$85,085</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Board policy adoption, 22 positions</w:t>
            </w:r>
          </w:p>
        </w:tc>
      </w:tr>
      <w:tr>
        <w:tc>
          <w:tcPr>
            <w:tcW w:type="dxa" w:w="45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Police uniform overtime normalized to the regional rate</w:t>
            </w:r>
          </w:p>
        </w:tc>
        <w:tc>
          <w:tcPr>
            <w:tcW w:type="dxa" w:w="1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$94,404</w:t>
            </w:r>
          </w:p>
        </w:tc>
        <w:tc>
          <w:tcPr>
            <w:tcW w:type="dxa" w:w="2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Scheduling audit</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Targeted retirement and refill control</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$291,300</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Three senior departures, two lower-cost backfills</w:t>
            </w:r>
          </w:p>
        </w:tc>
      </w:tr>
      <w:tr>
        <w:tc>
          <w:tcPr>
            <w:tcW w:type="dxa" w:w="45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1% civilian vacancy factor</w:t>
            </w:r>
          </w:p>
        </w:tc>
        <w:tc>
          <w:tcPr>
            <w:tcW w:type="dxa" w:w="1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$124,158</w:t>
            </w:r>
          </w:p>
        </w:tc>
        <w:tc>
          <w:tcPr>
            <w:tcW w:type="dxa" w:w="2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Budgeting convention, not a headcount cut</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Hold on exempt discretionary raises</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$23,095</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Board choice each cycle</w:t>
            </w:r>
          </w:p>
        </w:tc>
      </w:tr>
      <w:tr>
        <w:tc>
          <w:tcPr>
            <w:tcW w:type="dxa" w:w="45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Hold on elected salary growth</w:t>
            </w:r>
          </w:p>
        </w:tc>
        <w:tc>
          <w:tcPr>
            <w:tcW w:type="dxa" w:w="1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$22,279</w:t>
            </w:r>
          </w:p>
        </w:tc>
        <w:tc>
          <w:tcPr>
            <w:tcW w:type="dxa" w:w="2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Separately stated Board action</w:t>
            </w:r>
          </w:p>
        </w:tc>
      </w:tr>
      <w:tr>
        <w:tc>
          <w:tcPr>
            <w:tcW w:type="dxa" w:w="4560"/>
            <w:shd w:fill="FDF3DA" w:color="auto" w:val="clear"/>
            <w:tcMar>
              <w:top w:type="dxa" w:w="60"/>
              <w:left w:type="dxa" w:w="110"/>
              <w:bottom w:type="dxa" w:w="60"/>
              <w:right w:type="dxa" w:w="110"/>
            </w:tcMar>
          </w:tcPr>
          <w:p>
            <w:pPr>
              <w:spacing w:after="0" w:line="252"/>
            </w:pPr>
            <w:r>
              <w:rPr>
                <w:rFonts w:ascii="Calibri" w:cs="Calibri" w:eastAsia="Calibri" w:hAnsi="Calibri"/>
                <w:b/>
                <w:bCs/>
                <w:color w:val="1F2933"/>
                <w:sz w:val="20"/>
                <w:szCs w:val="20"/>
              </w:rPr>
              <w:t xml:space="preserve">Total</w:t>
            </w:r>
          </w:p>
        </w:tc>
        <w:tc>
          <w:tcPr>
            <w:tcW w:type="dxa" w:w="190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$640,321</w:t>
            </w:r>
          </w:p>
        </w:tc>
        <w:tc>
          <w:tcPr>
            <w:tcW w:type="dxa" w:w="290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recurring</w:t>
            </w:r>
          </w:p>
        </w:tc>
      </w:tr>
    </w:tbl>
    <w:p>
      <w:pPr>
        <w:spacing w:after="220" w:before="60"/>
      </w:pPr>
      <w:r>
        <w:rPr>
          <w:rFonts w:ascii="Calibri" w:cs="Calibri" w:eastAsia="Calibri" w:hAnsi="Calibri"/>
          <w:color w:val="64748B"/>
          <w:sz w:val="17"/>
          <w:szCs w:val="17"/>
        </w:rPr>
        <w:t xml:space="preserve">Source: 2026 Adopted Budget; NYSHIP Empire Plan participating-agency premium schedule.</w:t>
      </w:r>
    </w:p>
    <w:p>
      <w:pPr>
        <w:spacing w:after="200" w:line="264"/>
      </w:pPr>
      <w:r>
        <w:rPr>
          <w:rFonts w:ascii="Calibri" w:cs="Calibri" w:eastAsia="Calibri" w:hAnsi="Calibri"/>
          <w:color w:val="1F2933"/>
          <w:sz w:val="22"/>
          <w:szCs w:val="22"/>
        </w:rPr>
        <w:t xml:space="preserve">One component deserves a word in the Town’s favor. Riverhead’s 2024 police uniform overtime ran $1,401,354 against a $1,000,000 budget, a variance that invites an easy accusation. Measured against Southampton’s 2026 adopted rate of $13,069.50 per officer, however, roughly $1.31 million of that spending is regionally ordinary coverage cost rather than waste. Only the residual above that benchmark is counted here. The honest conclusion is that the budgeted figure, not the actual, is what needs correcting.</w:t>
      </w:r>
    </w:p>
    <w:p>
      <w:pPr>
        <w:spacing w:after="80" w:before="240"/>
      </w:pPr>
      <w:r>
        <w:rPr>
          <w:rFonts w:ascii="Calibri" w:cs="Calibri" w:eastAsia="Calibri" w:hAnsi="Calibri"/>
          <w:b/>
          <w:bCs/>
          <w:color w:val="284A69"/>
          <w:sz w:val="22"/>
          <w:szCs w:val="22"/>
        </w:rPr>
        <w:t xml:space="preserve">Measure 3 — Audit seven line items before they enter the 2027 baseline</w:t>
      </w:r>
    </w:p>
    <w:tbl>
      <w:tblPr>
        <w:tblW w:type="dxa" w:w="9360"/>
        <w:tblBorders>
          <w:top w:val="single" w:color="284A69" w:sz="12"/>
          <w:left w:val="none"/>
          <w:bottom w:val="single" w:color="B9C7D4" w:sz="4"/>
          <w:right w:val="none"/>
          <w:insideH w:val="none"/>
          <w:insideV w:val="none"/>
        </w:tblBorders>
      </w:tblPr>
      <w:tblGrid>
        <w:gridCol w:w="2300"/>
        <w:gridCol w:w="7060"/>
      </w:tblGrid>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Value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$627,400, recurring</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Authority</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Departmental justification requested by your office</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Allegation</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None. The request is for documentation, not discipline</w:t>
            </w:r>
          </w:p>
        </w:tc>
      </w:tr>
      <w:tr>
        <w:tc>
          <w:tcPr>
            <w:tcW w:type="dxa" w:w="2300"/>
            <w:tcBorders>
              <w:top w:val="none"/>
              <w:left w:val="none"/>
              <w:bottom w:val="non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Source</w:t>
            </w:r>
          </w:p>
        </w:tc>
        <w:tc>
          <w:tcPr>
            <w:tcW w:type="dxa" w:w="7060"/>
            <w:tcBorders>
              <w:top w:val="none"/>
              <w:left w:val="none"/>
              <w:bottom w:val="non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2026 Budget Supplement</w:t>
            </w:r>
          </w:p>
        </w:tc>
      </w:tr>
    </w:tbl>
    <w:p>
      <w:pPr>
        <w:spacing w:after="160"/>
      </w:pPr>
      <w:r>
        <w:rPr>
          <w:sz w:val="2"/>
          <w:szCs w:val="2"/>
        </w:rPr>
        <w:t xml:space="preserve"/>
      </w:r>
    </w:p>
    <w:tbl>
      <w:tblPr>
        <w:tblW w:type="dxa" w:w="9360"/>
        <w:tblBorders>
          <w:top w:val="single" w:color="B9C7D4" w:sz="2"/>
          <w:left w:val="single" w:color="B9C7D4" w:sz="2"/>
          <w:bottom w:val="single" w:color="B9C7D4" w:sz="2"/>
          <w:right w:val="single" w:color="B9C7D4" w:sz="2"/>
          <w:insideH w:val="single" w:color="E2E8F0" w:sz="2"/>
          <w:insideV w:val="single" w:color="E2E8F0" w:sz="2"/>
        </w:tblBorders>
      </w:tblPr>
      <w:tblGrid>
        <w:gridCol w:w="4560"/>
        <w:gridCol w:w="1900"/>
        <w:gridCol w:w="2900"/>
      </w:tblGrid>
      <w:tr>
        <w:trPr>
          <w:tblHeader/>
        </w:trPr>
        <w:tc>
          <w:tcPr>
            <w:tcW w:type="dxa" w:w="4560"/>
            <w:shd w:fill="284A69" w:color="auto" w:val="clear"/>
            <w:tcMar>
              <w:top w:type="dxa" w:w="60"/>
              <w:left w:type="dxa" w:w="110"/>
              <w:bottom w:type="dxa" w:w="60"/>
              <w:right w:type="dxa" w:w="110"/>
            </w:tcMar>
          </w:tcPr>
          <w:p>
            <w:pPr>
              <w:spacing w:after="0" w:line="252"/>
            </w:pPr>
            <w:r>
              <w:rPr>
                <w:rFonts w:ascii="Calibri" w:cs="Calibri" w:eastAsia="Calibri" w:hAnsi="Calibri"/>
                <w:b/>
                <w:bCs/>
                <w:color w:val="FFFFFF"/>
                <w:sz w:val="20"/>
                <w:szCs w:val="20"/>
              </w:rPr>
              <w:t xml:space="preserve">Line</w:t>
            </w:r>
          </w:p>
        </w:tc>
        <w:tc>
          <w:tcPr>
            <w:tcW w:type="dxa" w:w="190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At issue</w:t>
            </w:r>
          </w:p>
        </w:tc>
        <w:tc>
          <w:tcPr>
            <w:tcW w:type="dxa" w:w="290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Growth, 2025 to 2026</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Police holiday pay</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$190,600</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$752,400 to $943,000 (+25.3%)</w:t>
            </w:r>
          </w:p>
        </w:tc>
      </w:tr>
      <w:tr>
        <w:tc>
          <w:tcPr>
            <w:tcW w:type="dxa" w:w="45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Police health insurance buy-back</w:t>
            </w:r>
          </w:p>
        </w:tc>
        <w:tc>
          <w:tcPr>
            <w:tcW w:type="dxa" w:w="1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$112,000</w:t>
            </w:r>
          </w:p>
        </w:tc>
        <w:tc>
          <w:tcPr>
            <w:tcW w:type="dxa" w:w="2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$389,000 to $501,000 (+28.8%)</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Scavenger waste disposal (ES5)</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$187,000</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$490,000 to $677,000 (+38.2%)</w:t>
            </w:r>
          </w:p>
        </w:tc>
      </w:tr>
      <w:tr>
        <w:tc>
          <w:tcPr>
            <w:tcW w:type="dxa" w:w="45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Other general government, miscellaneous</w:t>
            </w:r>
          </w:p>
        </w:tc>
        <w:tc>
          <w:tcPr>
            <w:tcW w:type="dxa" w:w="1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$50,000</w:t>
            </w:r>
          </w:p>
        </w:tc>
        <w:tc>
          <w:tcPr>
            <w:tcW w:type="dxa" w:w="2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$3,200 to $53,200 (+1,563%)</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Community development, special events</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$43,200</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$0 to $43,200 (new line)</w:t>
            </w:r>
          </w:p>
        </w:tc>
      </w:tr>
      <w:tr>
        <w:tc>
          <w:tcPr>
            <w:tcW w:type="dxa" w:w="45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Town attorney, management buy-back</w:t>
            </w:r>
          </w:p>
        </w:tc>
        <w:tc>
          <w:tcPr>
            <w:tcW w:type="dxa" w:w="1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$32,600</w:t>
            </w:r>
          </w:p>
        </w:tc>
        <w:tc>
          <w:tcPr>
            <w:tcW w:type="dxa" w:w="290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$104,700 to $137,300 (+31.1%)</w:t>
            </w:r>
          </w:p>
        </w:tc>
      </w:tr>
      <w:tr>
        <w:tc>
          <w:tcPr>
            <w:tcW w:type="dxa" w:w="45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Tax collection postage</w:t>
            </w:r>
          </w:p>
        </w:tc>
        <w:tc>
          <w:tcPr>
            <w:tcW w:type="dxa" w:w="1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$12,000</w:t>
            </w:r>
          </w:p>
        </w:tc>
        <w:tc>
          <w:tcPr>
            <w:tcW w:type="dxa" w:w="290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$1,500 to $13,500 (+800%)</w:t>
            </w:r>
          </w:p>
        </w:tc>
      </w:tr>
      <w:tr>
        <w:tc>
          <w:tcPr>
            <w:tcW w:type="dxa" w:w="4560"/>
            <w:shd w:fill="FDF3DA" w:color="auto" w:val="clear"/>
            <w:tcMar>
              <w:top w:type="dxa" w:w="60"/>
              <w:left w:type="dxa" w:w="110"/>
              <w:bottom w:type="dxa" w:w="60"/>
              <w:right w:type="dxa" w:w="110"/>
            </w:tcMar>
          </w:tcPr>
          <w:p>
            <w:pPr>
              <w:spacing w:after="0" w:line="252"/>
            </w:pPr>
            <w:r>
              <w:rPr>
                <w:rFonts w:ascii="Calibri" w:cs="Calibri" w:eastAsia="Calibri" w:hAnsi="Calibri"/>
                <w:b/>
                <w:bCs/>
                <w:color w:val="1F2933"/>
                <w:sz w:val="20"/>
                <w:szCs w:val="20"/>
              </w:rPr>
              <w:t xml:space="preserve">Total</w:t>
            </w:r>
          </w:p>
        </w:tc>
        <w:tc>
          <w:tcPr>
            <w:tcW w:type="dxa" w:w="190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$627,400</w:t>
            </w:r>
          </w:p>
        </w:tc>
        <w:tc>
          <w:tcPr>
            <w:tcW w:type="dxa" w:w="290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recurring</w:t>
            </w:r>
          </w:p>
        </w:tc>
      </w:tr>
    </w:tbl>
    <w:p>
      <w:pPr>
        <w:spacing w:after="220" w:before="60"/>
      </w:pPr>
      <w:r>
        <w:rPr>
          <w:rFonts w:ascii="Calibri" w:cs="Calibri" w:eastAsia="Calibri" w:hAnsi="Calibri"/>
          <w:color w:val="64748B"/>
          <w:sz w:val="17"/>
          <w:szCs w:val="17"/>
        </w:rPr>
        <w:t xml:space="preserve">Source: 2026 Budget Supplement.</w:t>
      </w:r>
    </w:p>
    <w:p>
      <w:pPr>
        <w:spacing w:after="200" w:line="264"/>
      </w:pPr>
      <w:r>
        <w:rPr>
          <w:rFonts w:ascii="Calibri" w:cs="Calibri" w:eastAsia="Calibri" w:hAnsi="Calibri"/>
          <w:color w:val="1F2933"/>
          <w:sz w:val="22"/>
          <w:szCs w:val="22"/>
        </w:rPr>
        <w:t xml:space="preserve">Each of these may have a sound explanation, and several probably do. I ask only that the explanation exist in writing before the figure becomes permanent baseline, and that any line which cannot be justified be trimmed to its documented need. A budget line that rose 1,563 percent without a recorded reason is not a scandal — it is a question nobody has been asked.</w:t>
      </w:r>
    </w:p>
    <w:p>
      <w:pPr>
        <w:spacing w:after="80" w:before="240"/>
      </w:pPr>
      <w:r>
        <w:rPr>
          <w:rFonts w:ascii="Calibri" w:cs="Calibri" w:eastAsia="Calibri" w:hAnsi="Calibri"/>
          <w:b/>
          <w:bCs/>
          <w:color w:val="284A69"/>
          <w:sz w:val="22"/>
          <w:szCs w:val="22"/>
        </w:rPr>
        <w:t xml:space="preserve">Measure 4 — Return controllable lines to their own trailing run-rate</w:t>
      </w:r>
    </w:p>
    <w:tbl>
      <w:tblPr>
        <w:tblW w:type="dxa" w:w="9360"/>
        <w:tblBorders>
          <w:top w:val="single" w:color="284A69" w:sz="12"/>
          <w:left w:val="none"/>
          <w:bottom w:val="single" w:color="B9C7D4" w:sz="4"/>
          <w:right w:val="none"/>
          <w:insideH w:val="none"/>
          <w:insideV w:val="none"/>
        </w:tblBorders>
      </w:tblPr>
      <w:tblGrid>
        <w:gridCol w:w="2300"/>
        <w:gridCol w:w="7060"/>
      </w:tblGrid>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Value counted here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$828,210, recurring, across 20 lines</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Value available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$2,358,935 across all 52 qualifying lines</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Basis</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Controllable, non-mandated lines budgeted more than 30 percent above their own trailing actuals</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Why the smaller figure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It counts only operating and professional-services accounts, excluding capital timing and price-driven fuel and energy, where a trim is a forecast rather than a decision</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Largest items</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Scavenger waste disposal $193,194; sewer treatment waste disposal $141,148; accounting professional services $87,675; water laboratory fees $69,410; public parks contractual $56,646; auditor consultants $54,675</w:t>
            </w:r>
          </w:p>
        </w:tc>
      </w:tr>
      <w:tr>
        <w:tc>
          <w:tcPr>
            <w:tcW w:type="dxa" w:w="2300"/>
            <w:tcBorders>
              <w:top w:val="none"/>
              <w:left w:val="none"/>
              <w:bottom w:val="non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Source</w:t>
            </w:r>
          </w:p>
        </w:tc>
        <w:tc>
          <w:tcPr>
            <w:tcW w:type="dxa" w:w="7060"/>
            <w:tcBorders>
              <w:top w:val="none"/>
              <w:left w:val="none"/>
              <w:bottom w:val="non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2026 Budget Supplement</w:t>
            </w:r>
          </w:p>
        </w:tc>
      </w:tr>
    </w:tbl>
    <w:p>
      <w:pPr>
        <w:spacing w:after="160"/>
      </w:pPr>
      <w:r>
        <w:rPr>
          <w:sz w:val="2"/>
          <w:szCs w:val="2"/>
        </w:rPr>
        <w:t xml:space="preserve"/>
      </w:r>
    </w:p>
    <w:p>
      <w:pPr>
        <w:spacing w:after="200" w:line="264"/>
      </w:pPr>
      <w:r>
        <w:rPr>
          <w:rFonts w:ascii="Calibri" w:cs="Calibri" w:eastAsia="Calibri" w:hAnsi="Calibri"/>
          <w:color w:val="1F2933"/>
          <w:sz w:val="22"/>
          <w:szCs w:val="22"/>
        </w:rPr>
        <w:t xml:space="preserve">I count the smaller figure deliberately. The larger one remains available to the Board if it wants it; the narrower one is the floor I would be prepared to defend line by line.</w:t>
      </w:r>
    </w:p>
    <w:p>
      <w:pPr>
        <w:spacing w:after="80" w:before="240"/>
      </w:pPr>
      <w:r>
        <w:rPr>
          <w:rFonts w:ascii="Calibri" w:cs="Calibri" w:eastAsia="Calibri" w:hAnsi="Calibri"/>
          <w:b/>
          <w:bCs/>
          <w:color w:val="284A69"/>
          <w:sz w:val="22"/>
          <w:szCs w:val="22"/>
        </w:rPr>
        <w:t xml:space="preserve">Measure 5 — Claim the pension exclusion the cap formula already allows</w:t>
      </w:r>
    </w:p>
    <w:tbl>
      <w:tblPr>
        <w:tblW w:type="dxa" w:w="9360"/>
        <w:tblBorders>
          <w:top w:val="single" w:color="284A69" w:sz="12"/>
          <w:left w:val="none"/>
          <w:bottom w:val="single" w:color="B9C7D4" w:sz="4"/>
          <w:right w:val="none"/>
          <w:insideH w:val="none"/>
          <w:insideV w:val="none"/>
        </w:tblBorders>
      </w:tblPr>
      <w:tblGrid>
        <w:gridCol w:w="2300"/>
        <w:gridCol w:w="7060"/>
      </w:tblGrid>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Value</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$137,642 of legally excludable levy</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Mechanism</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The cap excludes pension-cost growth above a two-percentage-point rise in a retirement system’s own contribution rate</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Qualifying</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PFRS, covering PBA and SOA, rose 2.8 points (33.7% to 36.5%) — 0.8 points above the threshold</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Not qualifying</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ERS rose 1.1 points and does not clear the threshold</w:t>
            </w:r>
          </w:p>
        </w:tc>
      </w:tr>
      <w:tr>
        <w:tc>
          <w:tcPr>
            <w:tcW w:type="dxa" w:w="2300"/>
            <w:tcBorders>
              <w:top w:val="none"/>
              <w:left w:val="none"/>
              <w:bottom w:val="singl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Effect</w:t>
            </w:r>
          </w:p>
        </w:tc>
        <w:tc>
          <w:tcPr>
            <w:tcW w:type="dxa" w:w="7060"/>
            <w:tcBorders>
              <w:top w:val="none"/>
              <w:left w:val="none"/>
              <w:bottom w:val="singl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Raises the legal ceiling. Requires no reduction in spending</w:t>
            </w:r>
          </w:p>
        </w:tc>
      </w:tr>
      <w:tr>
        <w:tc>
          <w:tcPr>
            <w:tcW w:type="dxa" w:w="2300"/>
            <w:tcBorders>
              <w:top w:val="none"/>
              <w:left w:val="none"/>
              <w:bottom w:val="none" w:color="E2E8F0" w:sz="2"/>
              <w:right w:val="none"/>
            </w:tcBorders>
            <w:tcMar>
              <w:top w:type="dxa" w:w="60"/>
              <w:left w:type="dxa" w:w="120"/>
              <w:bottom w:type="dxa" w:w="60"/>
              <w:right w:type="dxa" w:w="100"/>
            </w:tcMar>
          </w:tcPr>
          <w:p>
            <w:pPr>
              <w:spacing w:after="0" w:line="252"/>
            </w:pPr>
            <w:r>
              <w:rPr>
                <w:rFonts w:ascii="Calibri" w:cs="Calibri" w:eastAsia="Calibri" w:hAnsi="Calibri"/>
                <w:b/>
                <w:bCs/>
                <w:color w:val="3F4A56"/>
                <w:sz w:val="20"/>
                <w:szCs w:val="20"/>
              </w:rPr>
              <w:t xml:space="preserve">Source</w:t>
            </w:r>
          </w:p>
        </w:tc>
        <w:tc>
          <w:tcPr>
            <w:tcW w:type="dxa" w:w="7060"/>
            <w:tcBorders>
              <w:top w:val="none"/>
              <w:left w:val="none"/>
              <w:bottom w:val="none" w:color="E2E8F0" w:sz="2"/>
              <w:right w:val="none"/>
            </w:tcBorders>
            <w:tcMar>
              <w:top w:type="dxa" w:w="60"/>
              <w:left w:type="dxa" w:w="100"/>
              <w:bottom w:type="dxa" w:w="60"/>
              <w:right w:type="dxa" w:w="120"/>
            </w:tcMar>
          </w:tcPr>
          <w:p>
            <w:pPr>
              <w:spacing w:after="0" w:line="252"/>
            </w:pPr>
            <w:r>
              <w:rPr>
                <w:rFonts w:ascii="Calibri" w:cs="Calibri" w:eastAsia="Calibri" w:hAnsi="Calibri"/>
                <w:sz w:val="20"/>
                <w:szCs w:val="20"/>
              </w:rPr>
              <w:t xml:space="preserve">NYS Office of the State Comptroller, employer contribution rates for SFY 2026-27</w:t>
            </w:r>
          </w:p>
        </w:tc>
      </w:tr>
    </w:tbl>
    <w:p>
      <w:pPr>
        <w:spacing w:after="160"/>
      </w:pPr>
      <w:r>
        <w:rPr>
          <w:sz w:val="2"/>
          <w:szCs w:val="2"/>
        </w:rPr>
        <w:t xml:space="preserve"/>
      </w:r>
    </w:p>
    <w:p>
      <w:pPr>
        <w:spacing w:after="200" w:line="264"/>
      </w:pPr>
      <w:r>
        <w:rPr>
          <w:rFonts w:ascii="Calibri" w:cs="Calibri" w:eastAsia="Calibri" w:hAnsi="Calibri"/>
          <w:color w:val="1F2933"/>
          <w:sz w:val="22"/>
          <w:szCs w:val="22"/>
        </w:rPr>
        <w:t xml:space="preserve">This is the mirror image of the 2018 through 2022 period, when the ceiling was miscalculated in the other direction. My estimate uses PBA and SOA payroll as a stand-in for the State’s salary base; your own retirement-system billing detail would sharpen it, and I would expect the true figure to differ somewhat.</w:t>
      </w:r>
    </w:p>
    <w:p>
      <w:pPr>
        <w:spacing w:after="140" w:before="300"/>
      </w:pPr>
      <w:r>
        <w:rPr>
          <w:rFonts w:ascii="Calibri" w:cs="Calibri" w:eastAsia="Calibri" w:hAnsi="Calibri"/>
          <w:b/>
          <w:bCs/>
          <w:color w:val="284A69"/>
          <w:sz w:val="23"/>
          <w:szCs w:val="23"/>
        </w:rPr>
        <w:t xml:space="preserve">What the five measures come to</w:t>
      </w:r>
    </w:p>
    <w:tbl>
      <w:tblPr>
        <w:tblW w:type="dxa" w:w="9360"/>
        <w:tblBorders>
          <w:top w:val="single" w:color="B9C7D4" w:sz="2"/>
          <w:left w:val="single" w:color="B9C7D4" w:sz="2"/>
          <w:bottom w:val="single" w:color="B9C7D4" w:sz="2"/>
          <w:right w:val="single" w:color="B9C7D4" w:sz="2"/>
          <w:insideH w:val="single" w:color="E2E8F0" w:sz="2"/>
          <w:insideV w:val="single" w:color="E2E8F0" w:sz="2"/>
        </w:tblBorders>
      </w:tblPr>
      <w:tblGrid>
        <w:gridCol w:w="5060"/>
        <w:gridCol w:w="2150"/>
        <w:gridCol w:w="2150"/>
      </w:tblGrid>
      <w:tr>
        <w:trPr>
          <w:tblHeader/>
        </w:trPr>
        <w:tc>
          <w:tcPr>
            <w:tcW w:type="dxa" w:w="5060"/>
            <w:shd w:fill="284A69" w:color="auto" w:val="clear"/>
            <w:tcMar>
              <w:top w:type="dxa" w:w="60"/>
              <w:left w:type="dxa" w:w="110"/>
              <w:bottom w:type="dxa" w:w="60"/>
              <w:right w:type="dxa" w:w="110"/>
            </w:tcMar>
          </w:tcPr>
          <w:p>
            <w:pPr>
              <w:spacing w:after="0" w:line="252"/>
            </w:pPr>
            <w:r>
              <w:rPr>
                <w:rFonts w:ascii="Calibri" w:cs="Calibri" w:eastAsia="Calibri" w:hAnsi="Calibri"/>
                <w:b/>
                <w:bCs/>
                <w:color w:val="FFFFFF"/>
                <w:sz w:val="20"/>
                <w:szCs w:val="20"/>
              </w:rPr>
              <w:t xml:space="preserve">Measure</w:t>
            </w:r>
          </w:p>
        </w:tc>
        <w:tc>
          <w:tcPr>
            <w:tcW w:type="dxa" w:w="215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Low</w:t>
            </w:r>
          </w:p>
        </w:tc>
        <w:tc>
          <w:tcPr>
            <w:tcW w:type="dxa" w:w="2150"/>
            <w:shd w:fill="284A69" w:color="auto" w:val="clear"/>
            <w:tcMar>
              <w:top w:type="dxa" w:w="60"/>
              <w:left w:type="dxa" w:w="110"/>
              <w:bottom w:type="dxa" w:w="60"/>
              <w:right w:type="dxa" w:w="110"/>
            </w:tcMar>
          </w:tcPr>
          <w:p>
            <w:pPr>
              <w:spacing w:after="0" w:line="252"/>
              <w:jc w:val="right"/>
            </w:pPr>
            <w:r>
              <w:rPr>
                <w:rFonts w:ascii="Calibri" w:cs="Calibri" w:eastAsia="Calibri" w:hAnsi="Calibri"/>
                <w:b/>
                <w:bCs/>
                <w:color w:val="FFFFFF"/>
                <w:sz w:val="20"/>
                <w:szCs w:val="20"/>
              </w:rPr>
              <w:t xml:space="preserve">High</w:t>
            </w:r>
          </w:p>
        </w:tc>
      </w:tr>
      <w:tr>
        <w:tc>
          <w:tcPr>
            <w:tcW w:type="dxa" w:w="50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1. Retirement-incentive capture</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$500,000</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$800,000</w:t>
            </w:r>
          </w:p>
        </w:tc>
      </w:tr>
      <w:tr>
        <w:tc>
          <w:tcPr>
            <w:tcW w:type="dxa" w:w="50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2. Personnel and policy package</w:t>
            </w:r>
          </w:p>
        </w:tc>
        <w:tc>
          <w:tcPr>
            <w:tcW w:type="dxa" w:w="21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$640,321</w:t>
            </w:r>
          </w:p>
        </w:tc>
        <w:tc>
          <w:tcPr>
            <w:tcW w:type="dxa" w:w="21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$640,321</w:t>
            </w:r>
          </w:p>
        </w:tc>
      </w:tr>
      <w:tr>
        <w:tc>
          <w:tcPr>
            <w:tcW w:type="dxa" w:w="50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3. Lines audited before baseline</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$627,400</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$627,400</w:t>
            </w:r>
          </w:p>
        </w:tc>
      </w:tr>
      <w:tr>
        <w:tc>
          <w:tcPr>
            <w:tcW w:type="dxa" w:w="5060"/>
            <w:shd w:fill="F5F8FB" w:color="auto" w:val="clear"/>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4. Run-rate trims, firm confidence only</w:t>
            </w:r>
          </w:p>
        </w:tc>
        <w:tc>
          <w:tcPr>
            <w:tcW w:type="dxa" w:w="21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$828,210</w:t>
            </w:r>
          </w:p>
        </w:tc>
        <w:tc>
          <w:tcPr>
            <w:tcW w:type="dxa" w:w="2150"/>
            <w:shd w:fill="F5F8FB" w:color="auto" w:val="clear"/>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$828,210</w:t>
            </w:r>
          </w:p>
        </w:tc>
      </w:tr>
      <w:tr>
        <w:tc>
          <w:tcPr>
            <w:tcW w:type="dxa" w:w="50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5. Pension exclusion claimed</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$137,642</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$137,642</w:t>
            </w:r>
          </w:p>
        </w:tc>
      </w:tr>
      <w:tr>
        <w:tc>
          <w:tcPr>
            <w:tcW w:type="dxa" w:w="5060"/>
            <w:shd w:fill="FDF3DA" w:color="auto" w:val="clear"/>
            <w:tcMar>
              <w:top w:type="dxa" w:w="60"/>
              <w:left w:type="dxa" w:w="110"/>
              <w:bottom w:type="dxa" w:w="60"/>
              <w:right w:type="dxa" w:w="110"/>
            </w:tcMar>
          </w:tcPr>
          <w:p>
            <w:pPr>
              <w:spacing w:after="0" w:line="252"/>
            </w:pPr>
            <w:r>
              <w:rPr>
                <w:rFonts w:ascii="Calibri" w:cs="Calibri" w:eastAsia="Calibri" w:hAnsi="Calibri"/>
                <w:b/>
                <w:bCs/>
                <w:color w:val="1F2933"/>
                <w:sz w:val="20"/>
                <w:szCs w:val="20"/>
              </w:rPr>
              <w:t xml:space="preserve">Total</w:t>
            </w:r>
          </w:p>
        </w:tc>
        <w:tc>
          <w:tcPr>
            <w:tcW w:type="dxa" w:w="215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$2,733,573</w:t>
            </w:r>
          </w:p>
        </w:tc>
        <w:tc>
          <w:tcPr>
            <w:tcW w:type="dxa" w:w="215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$3,033,573</w:t>
            </w:r>
          </w:p>
        </w:tc>
      </w:tr>
      <w:tr>
        <w:tc>
          <w:tcPr>
            <w:tcW w:type="dxa" w:w="5060"/>
            <w:tcMar>
              <w:top w:type="dxa" w:w="60"/>
              <w:left w:type="dxa" w:w="110"/>
              <w:bottom w:type="dxa" w:w="60"/>
              <w:right w:type="dxa" w:w="110"/>
            </w:tcMar>
          </w:tcPr>
          <w:p>
            <w:pPr>
              <w:spacing w:after="0" w:line="252"/>
            </w:pPr>
            <w:r>
              <w:rPr>
                <w:rFonts w:ascii="Calibri" w:cs="Calibri" w:eastAsia="Calibri" w:hAnsi="Calibri"/>
                <w:color w:val="1F2933"/>
                <w:sz w:val="20"/>
                <w:szCs w:val="20"/>
              </w:rPr>
              <w:t xml:space="preserve">Gap to close</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$2,757,133</w:t>
            </w:r>
          </w:p>
        </w:tc>
        <w:tc>
          <w:tcPr>
            <w:tcW w:type="dxa" w:w="2150"/>
            <w:tcMar>
              <w:top w:type="dxa" w:w="60"/>
              <w:left w:type="dxa" w:w="110"/>
              <w:bottom w:type="dxa" w:w="60"/>
              <w:right w:type="dxa" w:w="110"/>
            </w:tcMar>
          </w:tcPr>
          <w:p>
            <w:pPr>
              <w:spacing w:after="0" w:line="252"/>
              <w:jc w:val="right"/>
            </w:pPr>
            <w:r>
              <w:rPr>
                <w:rFonts w:ascii="Calibri" w:cs="Calibri" w:eastAsia="Calibri" w:hAnsi="Calibri"/>
                <w:color w:val="1F2933"/>
                <w:sz w:val="20"/>
                <w:szCs w:val="20"/>
              </w:rPr>
              <w:t xml:space="preserve">$2,757,133</w:t>
            </w:r>
          </w:p>
        </w:tc>
      </w:tr>
      <w:tr>
        <w:tc>
          <w:tcPr>
            <w:tcW w:type="dxa" w:w="5060"/>
            <w:shd w:fill="FDF3DA" w:color="auto" w:val="clear"/>
            <w:tcMar>
              <w:top w:type="dxa" w:w="60"/>
              <w:left w:type="dxa" w:w="110"/>
              <w:bottom w:type="dxa" w:w="60"/>
              <w:right w:type="dxa" w:w="110"/>
            </w:tcMar>
          </w:tcPr>
          <w:p>
            <w:pPr>
              <w:spacing w:after="0" w:line="252"/>
            </w:pPr>
            <w:r>
              <w:rPr>
                <w:rFonts w:ascii="Calibri" w:cs="Calibri" w:eastAsia="Calibri" w:hAnsi="Calibri"/>
                <w:b/>
                <w:bCs/>
                <w:color w:val="1F2933"/>
                <w:sz w:val="20"/>
                <w:szCs w:val="20"/>
              </w:rPr>
              <w:t xml:space="preserve">Share of the gap covered</w:t>
            </w:r>
          </w:p>
        </w:tc>
        <w:tc>
          <w:tcPr>
            <w:tcW w:type="dxa" w:w="215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99%</w:t>
            </w:r>
          </w:p>
        </w:tc>
        <w:tc>
          <w:tcPr>
            <w:tcW w:type="dxa" w:w="2150"/>
            <w:shd w:fill="FDF3DA" w:color="auto" w:val="clear"/>
            <w:tcMar>
              <w:top w:type="dxa" w:w="60"/>
              <w:left w:type="dxa" w:w="110"/>
              <w:bottom w:type="dxa" w:w="60"/>
              <w:right w:type="dxa" w:w="110"/>
            </w:tcMar>
          </w:tcPr>
          <w:p>
            <w:pPr>
              <w:spacing w:after="0" w:line="252"/>
              <w:jc w:val="right"/>
            </w:pPr>
            <w:r>
              <w:rPr>
                <w:rFonts w:ascii="Calibri" w:cs="Calibri" w:eastAsia="Calibri" w:hAnsi="Calibri"/>
                <w:b/>
                <w:bCs/>
                <w:color w:val="1F2933"/>
                <w:sz w:val="20"/>
                <w:szCs w:val="20"/>
              </w:rPr>
              <w:t xml:space="preserve">110%</w:t>
            </w:r>
          </w:p>
        </w:tc>
      </w:tr>
    </w:tbl>
    <w:p>
      <w:pPr>
        <w:spacing w:after="220" w:before="60"/>
      </w:pPr>
      <w:r>
        <w:rPr>
          <w:rFonts w:ascii="Calibri" w:cs="Calibri" w:eastAsia="Calibri" w:hAnsi="Calibri"/>
          <w:color w:val="64748B"/>
          <w:sz w:val="17"/>
          <w:szCs w:val="17"/>
        </w:rPr>
        <w:t xml:space="preserve">Source: Components as cited in the specifications above.</w:t>
      </w:r>
    </w:p>
    <w:p>
      <w:pPr>
        <w:spacing w:after="200" w:line="264"/>
      </w:pPr>
      <w:r>
        <w:rPr>
          <w:rFonts w:ascii="Calibri" w:cs="Calibri" w:eastAsia="Calibri" w:hAnsi="Calibri"/>
          <w:color w:val="1F2933"/>
          <w:sz w:val="22"/>
          <w:szCs w:val="22"/>
        </w:rPr>
        <w:t xml:space="preserve">Discount the package heavily and it still changes the decision. If half the trims prove unavailable and retirements land at the bottom of the range, roughly $1.9 million remains — which turns a $2.76 million override into something much smaller, and one you could defend line by line.</w:t>
      </w:r>
    </w:p>
    <w:p>
      <w:pPr>
        <w:spacing w:after="140" w:before="300"/>
      </w:pPr>
      <w:r>
        <w:rPr>
          <w:rFonts w:ascii="Calibri" w:cs="Calibri" w:eastAsia="Calibri" w:hAnsi="Calibri"/>
          <w:b/>
          <w:bCs/>
          <w:color w:val="284A69"/>
          <w:sz w:val="23"/>
          <w:szCs w:val="23"/>
        </w:rPr>
        <w:t xml:space="preserve">Two approaches I would urge you to decline</w:t>
      </w:r>
    </w:p>
    <w:p>
      <w:pPr>
        <w:spacing w:after="200" w:line="264"/>
      </w:pPr>
      <w:r>
        <w:rPr>
          <w:rFonts w:ascii="Calibri" w:cs="Calibri" w:eastAsia="Calibri" w:hAnsi="Calibri"/>
          <w:b/>
          <w:bCs/>
          <w:color w:val="1F2933"/>
          <w:sz w:val="22"/>
          <w:szCs w:val="22"/>
        </w:rPr>
        <w:t xml:space="preserve">An across-the-board percentage. </w:t>
      </w:r>
      <w:r>
        <w:rPr>
          <w:rFonts w:ascii="Calibri" w:cs="Calibri" w:eastAsia="Calibri" w:hAnsi="Calibri"/>
          <w:color w:val="1F2933"/>
          <w:sz w:val="22"/>
          <w:szCs w:val="22"/>
        </w:rPr>
        <w:t xml:space="preserve">A flat 2.5 percent General Fund directive appears to yield about $1,723,635. It does not. Roughly three-quarters of that base is personnel and mandated cost — pension, debt service, insurance — that no directive can touch. Applied to genuinely controllable lines, 2.5 percent yields about $725,967: less than the targeted measures above, while cutting a well-run department and a poorly-run one by exactly the same percentage. It is even-handed only in the sense that it declines to distinguish.</w:t>
      </w:r>
    </w:p>
    <w:p>
      <w:pPr>
        <w:spacing w:after="200" w:line="264"/>
      </w:pPr>
      <w:r>
        <w:rPr>
          <w:rFonts w:ascii="Calibri" w:cs="Calibri" w:eastAsia="Calibri" w:hAnsi="Calibri"/>
          <w:b/>
          <w:bCs/>
          <w:color w:val="1F2933"/>
          <w:sz w:val="22"/>
          <w:szCs w:val="22"/>
        </w:rPr>
        <w:t xml:space="preserve">Filling the gap from fund balance. </w:t>
      </w:r>
      <w:r>
        <w:rPr>
          <w:rFonts w:ascii="Calibri" w:cs="Calibri" w:eastAsia="Calibri" w:hAnsi="Calibri"/>
          <w:color w:val="1F2933"/>
          <w:sz w:val="22"/>
          <w:szCs w:val="22"/>
        </w:rPr>
        <w:t xml:space="preserve">Appropriating the full </w:t>
      </w:r>
      <w:r>
        <w:rPr>
          <w:rFonts w:ascii="Calibri" w:cs="Calibri" w:eastAsia="Calibri" w:hAnsi="Calibri"/>
          <w:color w:val="1F2933"/>
          <w:sz w:val="22"/>
          <w:szCs w:val="22"/>
        </w:rPr>
        <w:t xml:space="preserve">$2,757,133</w:t>
      </w:r>
      <w:r>
        <w:rPr>
          <w:rFonts w:ascii="Calibri" w:cs="Calibri" w:eastAsia="Calibri" w:hAnsi="Calibri"/>
          <w:color w:val="1F2933"/>
          <w:sz w:val="22"/>
          <w:szCs w:val="22"/>
        </w:rPr>
        <w:t xml:space="preserve"> is the easiest vote available to you: no tax increase, no service reduction, no department inconvenienced. It also spends one-time money against a recurring obligation, so the same gap returns in 2028 with about 8.3 percent of the cushion already consumed. Fund balance is the right instrument for whatever residual survives the recurring measures, and the wrong one for the whole gap.</w:t>
      </w:r>
    </w:p>
    <w:p>
      <w:pPr>
        <w:spacing w:after="140" w:before="300"/>
      </w:pPr>
      <w:r>
        <w:rPr>
          <w:rFonts w:ascii="Calibri" w:cs="Calibri" w:eastAsia="Calibri" w:hAnsi="Calibri"/>
          <w:b/>
          <w:bCs/>
          <w:color w:val="284A69"/>
          <w:sz w:val="23"/>
          <w:szCs w:val="23"/>
        </w:rPr>
        <w:t xml:space="preserve">Three balance-sheet items for the same cycle</w:t>
      </w:r>
    </w:p>
    <w:p>
      <w:pPr>
        <w:spacing w:after="200" w:line="264"/>
      </w:pPr>
      <w:r>
        <w:rPr>
          <w:rFonts w:ascii="Calibri" w:cs="Calibri" w:eastAsia="Calibri" w:hAnsi="Calibri"/>
          <w:color w:val="1F2933"/>
          <w:sz w:val="22"/>
          <w:szCs w:val="22"/>
        </w:rPr>
        <w:t xml:space="preserve">None of these closes the 2027 gap. I raise them because this budget cycle is the natural occasion for each, and two bear directly on the Town’s credit rating.</w:t>
      </w:r>
    </w:p>
    <w:p>
      <w:pPr>
        <w:spacing w:after="200" w:line="264"/>
      </w:pPr>
      <w:r>
        <w:rPr>
          <w:rFonts w:ascii="Calibri" w:cs="Calibri" w:eastAsia="Calibri" w:hAnsi="Calibri"/>
          <w:b/>
          <w:bCs/>
          <w:color w:val="1F2933"/>
          <w:sz w:val="22"/>
          <w:szCs w:val="22"/>
        </w:rPr>
        <w:t xml:space="preserve">Retiree health. </w:t>
      </w:r>
      <w:r>
        <w:rPr>
          <w:rFonts w:ascii="Calibri" w:cs="Calibri" w:eastAsia="Calibri" w:hAnsi="Calibri"/>
          <w:color w:val="1F2933"/>
          <w:sz w:val="22"/>
          <w:szCs w:val="22"/>
        </w:rPr>
        <w:t xml:space="preserve">Riverhead carries </w:t>
      </w:r>
      <w:r>
        <w:rPr>
          <w:rFonts w:ascii="Calibri" w:cs="Calibri" w:eastAsia="Calibri" w:hAnsi="Calibri"/>
          <w:color w:val="1F2933"/>
          <w:sz w:val="22"/>
          <w:szCs w:val="22"/>
        </w:rPr>
        <w:t xml:space="preserve">$152,597,117</w:t>
      </w:r>
      <w:r>
        <w:rPr>
          <w:rFonts w:ascii="Calibri" w:cs="Calibri" w:eastAsia="Calibri" w:hAnsi="Calibri"/>
          <w:color w:val="1F2933"/>
          <w:sz w:val="22"/>
          <w:szCs w:val="22"/>
        </w:rPr>
        <w:t xml:space="preserve"> in unfunded retiree health liability, paid year to year out of the operating budget — about </w:t>
      </w:r>
      <w:r>
        <w:rPr>
          <w:rFonts w:ascii="Calibri" w:cs="Calibri" w:eastAsia="Calibri" w:hAnsi="Calibri"/>
          <w:color w:val="1F2933"/>
          <w:sz w:val="22"/>
          <w:szCs w:val="22"/>
        </w:rPr>
        <w:t xml:space="preserve">$13,726</w:t>
      </w:r>
      <w:r>
        <w:rPr>
          <w:rFonts w:ascii="Calibri" w:cs="Calibri" w:eastAsia="Calibri" w:hAnsi="Calibri"/>
          <w:color w:val="1F2933"/>
          <w:sz w:val="22"/>
          <w:szCs w:val="22"/>
        </w:rPr>
        <w:t xml:space="preserve"> per resident, fourth highest among ten Suffolk towns. Moody’s named elevated OPEB liability explicitly in its 2021 upgrade language. Because accounting standards require an unfunded plan to discount at a low municipal-bond rate while a funded trust may use its expected return, seeding a trust under General Municipal Law § 6-r can reduce the reported liability itself, not merely its presentation. A first deposit from surplus reserve would be a concrete step.</w:t>
      </w:r>
    </w:p>
    <w:p>
      <w:pPr>
        <w:spacing w:after="200" w:line="264"/>
      </w:pPr>
      <w:r>
        <w:rPr>
          <w:rFonts w:ascii="Calibri" w:cs="Calibri" w:eastAsia="Calibri" w:hAnsi="Calibri"/>
          <w:b/>
          <w:bCs/>
          <w:color w:val="1F2933"/>
          <w:sz w:val="22"/>
          <w:szCs w:val="22"/>
        </w:rPr>
        <w:t xml:space="preserve">A written fund-balance policy. </w:t>
      </w:r>
      <w:r>
        <w:rPr>
          <w:rFonts w:ascii="Calibri" w:cs="Calibri" w:eastAsia="Calibri" w:hAnsi="Calibri"/>
          <w:color w:val="1F2933"/>
          <w:sz w:val="22"/>
          <w:szCs w:val="22"/>
        </w:rPr>
        <w:t xml:space="preserve">Unassigned General Fund balance stood at </w:t>
      </w:r>
      <w:r>
        <w:rPr>
          <w:rFonts w:ascii="Calibri" w:cs="Calibri" w:eastAsia="Calibri" w:hAnsi="Calibri"/>
          <w:color w:val="1F2933"/>
          <w:sz w:val="22"/>
          <w:szCs w:val="22"/>
        </w:rPr>
        <w:t xml:space="preserve">$29,671,084</w:t>
      </w:r>
      <w:r>
        <w:rPr>
          <w:rFonts w:ascii="Calibri" w:cs="Calibri" w:eastAsia="Calibri" w:hAnsi="Calibri"/>
          <w:color w:val="1F2933"/>
          <w:sz w:val="22"/>
          <w:szCs w:val="22"/>
        </w:rPr>
        <w:t xml:space="preserve"> at the close of 2025 — about 42.9 percent of General Fund appropriations, against a 15 to 20 percent policy range and a Southampton benchmark of 17 percent. A strong cushion is a genuine strength that rating agencies reward. Holding one without a written policy stating the target is a governance gap that higher-rated peer towns do not have.</w:t>
      </w:r>
    </w:p>
    <w:p>
      <w:pPr>
        <w:spacing w:after="200" w:line="264"/>
      </w:pPr>
      <w:r>
        <w:rPr>
          <w:rFonts w:ascii="Calibri" w:cs="Calibri" w:eastAsia="Calibri" w:hAnsi="Calibri"/>
          <w:b/>
          <w:bCs/>
          <w:color w:val="1F2933"/>
          <w:sz w:val="22"/>
          <w:szCs w:val="22"/>
        </w:rPr>
        <w:t xml:space="preserve">Community housing. </w:t>
      </w:r>
      <w:r>
        <w:rPr>
          <w:rFonts w:ascii="Calibri" w:cs="Calibri" w:eastAsia="Calibri" w:hAnsi="Calibri"/>
          <w:color w:val="1F2933"/>
          <w:sz w:val="22"/>
          <w:szCs w:val="22"/>
        </w:rPr>
        <w:t xml:space="preserve">Riverhead remains the only one of the five Peconic Bay towns without a community housing fund, and without the community housing plan state law requires before such money may be spent. On the Town’s own audited transfer-tax revenue, the half-percent housing tax the other four levy would have raised roughly </w:t>
      </w:r>
      <w:r>
        <w:rPr>
          <w:rFonts w:ascii="Calibri" w:cs="Calibri" w:eastAsia="Calibri" w:hAnsi="Calibri"/>
          <w:color w:val="1F2933"/>
          <w:sz w:val="22"/>
          <w:szCs w:val="22"/>
        </w:rPr>
        <w:t xml:space="preserve">$5,479,894 to $5,925,486</w:t>
      </w:r>
      <w:r>
        <w:rPr>
          <w:rFonts w:ascii="Calibri" w:cs="Calibri" w:eastAsia="Calibri" w:hAnsi="Calibri"/>
          <w:color w:val="1F2933"/>
          <w:sz w:val="22"/>
          <w:szCs w:val="22"/>
        </w:rPr>
        <w:t xml:space="preserve"> here between 2023 and 2025. Whether to pursue it is a policy judgment, and under the statute the tax itself would be decided by the voters at a mandatory referendum rather than by the Board. I ask only that the 2027 cycle record an explicit decision rather than a lapse by default.</w:t>
      </w:r>
    </w:p>
    <w:p>
      <w:pPr>
        <w:spacing w:after="140" w:before="300"/>
      </w:pPr>
      <w:r>
        <w:rPr>
          <w:rFonts w:ascii="Calibri" w:cs="Calibri" w:eastAsia="Calibri" w:hAnsi="Calibri"/>
          <w:b/>
          <w:bCs/>
          <w:color w:val="284A69"/>
          <w:sz w:val="23"/>
          <w:szCs w:val="23"/>
        </w:rPr>
        <w:t xml:space="preserve">Two decisions the Board got right</w:t>
      </w:r>
    </w:p>
    <w:p>
      <w:pPr>
        <w:spacing w:after="200" w:line="264"/>
      </w:pPr>
      <w:r>
        <w:rPr>
          <w:rFonts w:ascii="Calibri" w:cs="Calibri" w:eastAsia="Calibri" w:hAnsi="Calibri"/>
          <w:color w:val="1F2933"/>
          <w:sz w:val="22"/>
          <w:szCs w:val="22"/>
        </w:rPr>
        <w:t xml:space="preserve">A letter like this should say what worked. On July 7 the Board voted unanimously to retire the remaining Community Preservation Fund land-preservation debt about five years early, using $7.2 million of fund balance plus roughly $92,000 from the General Fund, and saving an estimated $660,000 in future interest. That is precisely the right use of one-time money: retiring a recurring obligation rather than creating one. The same meeting adopted the three retirement incentives, unanimously, across a divided board. Measure 1 asks only that the savings be captured rather than absorbed.</w:t>
      </w:r>
    </w:p>
    <w:p>
      <w:pPr>
        <w:spacing w:after="200" w:line="264"/>
      </w:pPr>
      <w:r>
        <w:rPr>
          <w:rFonts w:ascii="Calibri" w:cs="Calibri" w:eastAsia="Calibri" w:hAnsi="Calibri"/>
          <w:color w:val="1F2933"/>
          <w:sz w:val="22"/>
          <w:szCs w:val="22"/>
        </w:rPr>
        <w:t xml:space="preserve">I would welcome the chance to walk your Financial Administrator through the underlying figures, and I would rather be corrected than agreed with. Every number above comes from published Town and State records; where a figure is modeled rather than booked, I have said so. Anything your own ledgers contradict should be treated as wrong.</w:t>
      </w:r>
    </w:p>
    <w:p>
      <w:pPr>
        <w:spacing w:after="300" w:line="264"/>
      </w:pPr>
      <w:r>
        <w:rPr>
          <w:rFonts w:ascii="Calibri" w:cs="Calibri" w:eastAsia="Calibri" w:hAnsi="Calibri"/>
          <w:color w:val="1F2933"/>
          <w:sz w:val="22"/>
          <w:szCs w:val="22"/>
        </w:rPr>
        <w:t xml:space="preserve">Thank you for your time, and for the work of a budget season that is about to get considerably busier.</w:t>
      </w:r>
    </w:p>
    <w:p>
      <w:pPr>
        <w:spacing w:after="520" w:line="264"/>
      </w:pPr>
      <w:r>
        <w:rPr>
          <w:rFonts w:ascii="Calibri" w:cs="Calibri" w:eastAsia="Calibri" w:hAnsi="Calibri"/>
          <w:color w:val="1F2933"/>
          <w:sz w:val="22"/>
          <w:szCs w:val="22"/>
        </w:rPr>
        <w:t xml:space="preserve">Sincerely,</w:t>
      </w:r>
    </w:p>
    <w:p>
      <w:pPr>
        <w:spacing w:after="0" w:line="264"/>
      </w:pPr>
      <w:r>
        <w:rPr>
          <w:rFonts w:ascii="Calibri" w:cs="Calibri" w:eastAsia="Calibri" w:hAnsi="Calibri"/>
          <w:color w:val="1F2933"/>
          <w:sz w:val="22"/>
          <w:szCs w:val="22"/>
        </w:rPr>
        <w:t xml:space="preserve">[Your Name]</w:t>
      </w:r>
    </w:p>
    <w:p>
      <w:pPr>
        <w:spacing w:after="300" w:line="264"/>
      </w:pPr>
      <w:r>
        <w:rPr>
          <w:rFonts w:ascii="Calibri" w:cs="Calibri" w:eastAsia="Calibri" w:hAnsi="Calibri"/>
          <w:color w:val="1F2933"/>
          <w:sz w:val="22"/>
          <w:szCs w:val="22"/>
        </w:rPr>
        <w:t xml:space="preserve">Riverhead, New York</w:t>
      </w:r>
    </w:p>
    <w:p>
      <w:pPr>
        <w:spacing w:after="120"/>
      </w:pPr>
      <w:r>
        <w:rPr>
          <w:rFonts w:ascii="Calibri" w:cs="Calibri" w:eastAsia="Calibri" w:hAnsi="Calibri"/>
          <w:b/>
          <w:bCs/>
          <w:color w:val="284A69"/>
          <w:sz w:val="21"/>
          <w:szCs w:val="21"/>
        </w:rPr>
        <w:t xml:space="preserve">Enclosures</w:t>
      </w:r>
    </w:p>
    <w:p>
      <w:pPr>
        <w:spacing w:after="0" w:line="264"/>
      </w:pPr>
      <w:r>
        <w:rPr>
          <w:rFonts w:ascii="Calibri" w:cs="Calibri" w:eastAsia="Calibri" w:hAnsi="Calibri"/>
          <w:color w:val="1F2933"/>
          <w:sz w:val="19"/>
          <w:szCs w:val="19"/>
        </w:rPr>
        <w:t xml:space="preserve">1.  Sources — 2026 Adopted Budget; 2026 Budget Supplement; 2025 Annual Financial Report; 2023 Audited Basic Financial Statements; Town Board minutes of July 7, 2026; NYS Comptroller employer contribution rates for SFY 2026-27; Town of Southampton 2026 Adopted Budget.</w:t>
      </w:r>
    </w:p>
    <w:p>
      <w:pPr>
        <w:spacing w:after="200" w:line="264"/>
      </w:pPr>
      <w:r>
        <w:rPr>
          <w:rFonts w:ascii="Calibri" w:cs="Calibri" w:eastAsia="Calibri" w:hAnsi="Calibri"/>
          <w:color w:val="1F2933"/>
          <w:sz w:val="19"/>
          <w:szCs w:val="19"/>
        </w:rPr>
        <w:t xml:space="preserve">2.  Supporting datasets, rike4545.github.io/Riverhead-NY-Budget-Web-App</w:t>
      </w:r>
    </w:p>
    <w:p>
      <w:pPr>
        <w:spacing w:after="200" w:line="264"/>
      </w:pPr>
      <w:r>
        <w:rPr>
          <w:rFonts w:ascii="Calibri" w:cs="Calibri" w:eastAsia="Calibri" w:hAnsi="Calibri"/>
          <w:i/>
          <w:iCs/>
          <w:color w:val="5A6675"/>
          <w:sz w:val="18"/>
          <w:szCs w:val="18"/>
        </w:rPr>
        <w:t xml:space="preserve">A note on method. </w:t>
      </w:r>
      <w:r>
        <w:rPr>
          <w:rFonts w:ascii="Calibri" w:cs="Calibri" w:eastAsia="Calibri" w:hAnsi="Calibri"/>
          <w:i/>
          <w:iCs/>
          <w:color w:val="5A6675"/>
          <w:sz w:val="18"/>
          <w:szCs w:val="18"/>
        </w:rPr>
        <w:t xml:space="preserve">The 2027 projections carry each category forward on each bargaining unit’s own contract terms where a contract exists, and on trailing averages where none does. The PBA and SOA agreements both expire December 31, 2026 with no public successor, so those lines are placeholders rather than forecasts. The cap figure is an estimate — the true ceiling rises somewhat once the tax-base growth factor and all exclusions are applied, which would narrow the gap. Savings figures are modeled, not booked. This letter is the work of a Riverhead resident, carries no audit or legal opinion, and is offered as constructive input to the 2027 budget process.</w:t>
      </w:r>
    </w:p>
    <w:sectPr>
      <w:footerReference w:type="default" r:id="rId7"/>
      <w:pgSz w:w="12240" w:h="15840" w:orient="portrait"/>
      <w:pgMar w:top="1440" w:right="1440" w:bottom="1200" w:left="1440" w:header="708"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right"/>
    </w:pPr>
    <w:r>
      <w:rPr>
        <w:rFonts w:ascii="Calibri" w:cs="Calibri" w:eastAsia="Calibri" w:hAnsi="Calibri"/>
        <w:color w:val="94A3B8"/>
        <w:sz w:val="17"/>
        <w:szCs w:val="17"/>
      </w:rPr>
      <w:t xml:space="preserve">Page </w:t>
    </w:r>
    <w:r>
      <w:rPr>
        <w:rFonts w:ascii="Calibri" w:cs="Calibri" w:eastAsia="Calibri" w:hAnsi="Calibri"/>
        <w:color w:val="94A3B8"/>
        <w:sz w:val="17"/>
        <w:szCs w:val="17"/>
      </w:rPr>
      <w:fldChar w:fldCharType="begin"/>
      <w:instrText xml:space="preserve">PAGE</w:instrText>
      <w:fldChar w:fldCharType="separate"/>
      <w:fldChar w:fldCharType="end"/>
    </w:r>
    <w:r>
      <w:rPr>
        <w:rFonts w:ascii="Calibri" w:cs="Calibri" w:eastAsia="Calibri" w:hAnsi="Calibri"/>
        <w:color w:val="94A3B8"/>
        <w:sz w:val="17"/>
        <w:szCs w:val="17"/>
      </w:rPr>
      <w:t xml:space="preserve"> of </w:t>
    </w:r>
    <w:r>
      <w:rPr>
        <w:rFonts w:ascii="Calibri" w:cs="Calibri" w:eastAsia="Calibri" w:hAnsi="Calibri"/>
        <w:color w:val="94A3B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to Supervisor Halpin — Closing the 2027 Tax-Cap Gap</dc:title>
  <dc:creator>Riverhead Budget Live</dc:creator>
  <cp:lastModifiedBy>Un-named</cp:lastModifiedBy>
  <cp:revision>1</cp:revision>
  <dcterms:created xsi:type="dcterms:W3CDTF">2026-08-19T19:54:41.282Z</dcterms:created>
  <dcterms:modified xsi:type="dcterms:W3CDTF">2026-08-19T19:54:41.282Z</dcterms:modified>
</cp:coreProperties>
</file>

<file path=docProps/custom.xml><?xml version="1.0" encoding="utf-8"?>
<Properties xmlns="http://schemas.openxmlformats.org/officeDocument/2006/custom-properties" xmlns:vt="http://schemas.openxmlformats.org/officeDocument/2006/docPropsVTypes"/>
</file>