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4"/>
      </w:pPr>
      <w:r>
        <w:rPr>
          <w:rFonts w:ascii="Calibri" w:cs="Calibri" w:eastAsia="Calibri" w:hAnsi="Calibri"/>
          <w:b/>
          <w:bCs/>
          <w:color w:val="1F2933"/>
          <w:sz w:val="22"/>
          <w:szCs w:val="22"/>
        </w:rPr>
        <w:t xml:space="preserve">[Your Name]</w:t>
      </w:r>
    </w:p>
    <w:p>
      <w:pPr>
        <w:spacing w:after="0" w:line="264"/>
      </w:pPr>
      <w:r>
        <w:rPr>
          <w:rFonts w:ascii="Calibri" w:cs="Calibri" w:eastAsia="Calibri" w:hAnsi="Calibri"/>
          <w:color w:val="1F2933"/>
          <w:sz w:val="22"/>
          <w:szCs w:val="22"/>
        </w:rPr>
        <w:t xml:space="preserve">[Street Address]</w:t>
      </w:r>
    </w:p>
    <w:p>
      <w:pPr>
        <w:spacing w:after="0" w:line="264"/>
      </w:pPr>
      <w:r>
        <w:rPr>
          <w:rFonts w:ascii="Calibri" w:cs="Calibri" w:eastAsia="Calibri" w:hAnsi="Calibri"/>
          <w:color w:val="1F2933"/>
          <w:sz w:val="22"/>
          <w:szCs w:val="22"/>
        </w:rPr>
        <w:t xml:space="preserve">Riverhead, New York 11901</w:t>
      </w:r>
    </w:p>
    <w:p>
      <w:pPr>
        <w:spacing w:after="300" w:line="264"/>
      </w:pPr>
      <w:r>
        <w:rPr>
          <w:rFonts w:ascii="Calibri" w:cs="Calibri" w:eastAsia="Calibri" w:hAnsi="Calibri"/>
          <w:color w:val="1F2933"/>
          <w:sz w:val="22"/>
          <w:szCs w:val="22"/>
        </w:rPr>
        <w:t xml:space="preserve">[email address]  ·  [phone]</w:t>
      </w:r>
    </w:p>
    <w:p>
      <w:pPr>
        <w:spacing w:after="300" w:line="264"/>
      </w:pPr>
      <w:r>
        <w:rPr>
          <w:rFonts w:ascii="Calibri" w:cs="Calibri" w:eastAsia="Calibri" w:hAnsi="Calibri"/>
          <w:color w:val="1F2933"/>
          <w:sz w:val="22"/>
          <w:szCs w:val="22"/>
        </w:rPr>
        <w:t xml:space="preserve">August 19, 2026</w:t>
      </w:r>
    </w:p>
    <w:p>
      <w:pPr>
        <w:spacing w:after="0" w:line="264"/>
      </w:pPr>
      <w:r>
        <w:rPr>
          <w:rFonts w:ascii="Calibri" w:cs="Calibri" w:eastAsia="Calibri" w:hAnsi="Calibri"/>
          <w:color w:val="1F2933"/>
          <w:sz w:val="22"/>
          <w:szCs w:val="22"/>
        </w:rPr>
        <w:t xml:space="preserve">The Honorable Jerry Halpin</w:t>
      </w:r>
    </w:p>
    <w:p>
      <w:pPr>
        <w:spacing w:after="0" w:line="264"/>
      </w:pPr>
      <w:r>
        <w:rPr>
          <w:rFonts w:ascii="Calibri" w:cs="Calibri" w:eastAsia="Calibri" w:hAnsi="Calibri"/>
          <w:color w:val="1F2933"/>
          <w:sz w:val="22"/>
          <w:szCs w:val="22"/>
        </w:rPr>
        <w:t xml:space="preserve">Supervisor, Town of Riverhead</w:t>
      </w:r>
    </w:p>
    <w:p>
      <w:pPr>
        <w:spacing w:after="0" w:line="264"/>
      </w:pPr>
      <w:r>
        <w:rPr>
          <w:rFonts w:ascii="Calibri" w:cs="Calibri" w:eastAsia="Calibri" w:hAnsi="Calibri"/>
          <w:color w:val="1F2933"/>
          <w:sz w:val="22"/>
          <w:szCs w:val="22"/>
        </w:rPr>
        <w:t xml:space="preserve">Riverhead Town Hall</w:t>
      </w:r>
    </w:p>
    <w:p>
      <w:pPr>
        <w:spacing w:after="0" w:line="264"/>
      </w:pPr>
      <w:r>
        <w:rPr>
          <w:rFonts w:ascii="Calibri" w:cs="Calibri" w:eastAsia="Calibri" w:hAnsi="Calibri"/>
          <w:color w:val="1F2933"/>
          <w:sz w:val="22"/>
          <w:szCs w:val="22"/>
        </w:rPr>
        <w:t xml:space="preserve">200 Howell Avenue</w:t>
      </w:r>
    </w:p>
    <w:p>
      <w:pPr>
        <w:spacing w:after="300" w:line="264"/>
      </w:pPr>
      <w:r>
        <w:rPr>
          <w:rFonts w:ascii="Calibri" w:cs="Calibri" w:eastAsia="Calibri" w:hAnsi="Calibri"/>
          <w:color w:val="1F2933"/>
          <w:sz w:val="22"/>
          <w:szCs w:val="22"/>
        </w:rPr>
        <w:t xml:space="preserve">Riverhead, New York 11901</w:t>
      </w:r>
    </w:p>
    <w:p>
      <w:pPr>
        <w:spacing w:after="260" w:line="264"/>
      </w:pPr>
      <w:r>
        <w:rPr>
          <w:rFonts w:ascii="Calibri" w:cs="Calibri" w:eastAsia="Calibri" w:hAnsi="Calibri"/>
          <w:b/>
          <w:bCs/>
          <w:color w:val="1F2933"/>
          <w:sz w:val="22"/>
          <w:szCs w:val="22"/>
        </w:rPr>
        <w:t xml:space="preserve">Re: </w:t>
      </w:r>
      <w:r>
        <w:rPr>
          <w:rFonts w:ascii="Calibri" w:cs="Calibri" w:eastAsia="Calibri" w:hAnsi="Calibri"/>
          <w:b/>
          <w:bCs/>
          <w:color w:val="1F2933"/>
          <w:sz w:val="22"/>
          <w:szCs w:val="22"/>
        </w:rPr>
        <w:t xml:space="preserve">Five measures to close the projected 2027 tax-cap gap</w:t>
      </w:r>
    </w:p>
    <w:p>
      <w:pPr>
        <w:spacing w:after="240" w:line="264"/>
      </w:pPr>
      <w:r>
        <w:rPr>
          <w:rFonts w:ascii="Calibri" w:cs="Calibri" w:eastAsia="Calibri" w:hAnsi="Calibri"/>
          <w:color w:val="1F2933"/>
          <w:sz w:val="22"/>
          <w:szCs w:val="22"/>
        </w:rPr>
        <w:t xml:space="preserve">Dear Supervisor Halpin:</w:t>
      </w:r>
    </w:p>
    <w:p>
      <w:pPr>
        <w:spacing w:after="200" w:line="264"/>
      </w:pPr>
      <w:r>
        <w:rPr>
          <w:rFonts w:ascii="Calibri" w:cs="Calibri" w:eastAsia="Calibri" w:hAnsi="Calibri"/>
          <w:color w:val="1F2933"/>
          <w:sz w:val="22"/>
          <w:szCs w:val="22"/>
        </w:rPr>
        <w:t xml:space="preserve">You file the tentative budget by September 30, so I wanted to get this to you while it can still be useful.</w:t>
      </w:r>
    </w:p>
    <w:p>
      <w:pPr>
        <w:spacing w:after="200" w:line="264"/>
      </w:pPr>
      <w:r>
        <w:rPr>
          <w:rFonts w:ascii="Calibri" w:cs="Calibri" w:eastAsia="Calibri" w:hAnsi="Calibri"/>
          <w:color w:val="1F2933"/>
          <w:sz w:val="22"/>
          <w:szCs w:val="22"/>
        </w:rPr>
        <w:t xml:space="preserve">I have spent the past several months reading the Town’s own budget documents and putting the numbers in one place. Projected forward on contracts the Town has already signed, next year’s levy comes in about </w:t>
      </w:r>
      <w:r>
        <w:rPr>
          <w:rFonts w:ascii="Calibri" w:cs="Calibri" w:eastAsia="Calibri" w:hAnsi="Calibri"/>
          <w:b/>
          <w:bCs/>
          <w:color w:val="1F2933"/>
          <w:sz w:val="22"/>
          <w:szCs w:val="22"/>
        </w:rPr>
        <w:t xml:space="preserve">6.2 percent higher</w:t>
      </w:r>
      <w:r>
        <w:rPr>
          <w:rFonts w:ascii="Calibri" w:cs="Calibri" w:eastAsia="Calibri" w:hAnsi="Calibri"/>
          <w:color w:val="1F2933"/>
          <w:sz w:val="22"/>
          <w:szCs w:val="22"/>
        </w:rPr>
        <w:t xml:space="preserve">, which is roughly </w:t>
      </w:r>
      <w:r>
        <w:rPr>
          <w:rFonts w:ascii="Calibri" w:cs="Calibri" w:eastAsia="Calibri" w:hAnsi="Calibri"/>
          <w:b/>
          <w:bCs/>
          <w:color w:val="1F2933"/>
          <w:sz w:val="22"/>
          <w:szCs w:val="22"/>
        </w:rPr>
        <w:t xml:space="preserve">$2,757,133</w:t>
      </w:r>
      <w:r>
        <w:rPr>
          <w:rFonts w:ascii="Calibri" w:cs="Calibri" w:eastAsia="Calibri" w:hAnsi="Calibri"/>
          <w:color w:val="1F2933"/>
          <w:sz w:val="22"/>
          <w:szCs w:val="22"/>
        </w:rPr>
        <w:t xml:space="preserve"> past what the tax cap allows. That’s the problem in one sentence.</w:t>
      </w:r>
    </w:p>
    <w:p>
      <w:pPr>
        <w:spacing w:after="200" w:line="264"/>
      </w:pPr>
      <w:r>
        <w:rPr>
          <w:rFonts w:ascii="Calibri" w:cs="Calibri" w:eastAsia="Calibri" w:hAnsi="Calibri"/>
          <w:color w:val="1F2933"/>
          <w:sz w:val="22"/>
          <w:szCs w:val="22"/>
        </w:rPr>
        <w:t xml:space="preserve">Below are five ways to close it without an override. I have written them up like a spec sheet instead of an essay: each one gets its dollar value, what it would take to enact, and where the number came from. They don’t depend on each other, so you can take one and leave the rest. Together they come to </w:t>
      </w:r>
      <w:r>
        <w:rPr>
          <w:rFonts w:ascii="Calibri" w:cs="Calibri" w:eastAsia="Calibri" w:hAnsi="Calibri"/>
          <w:b/>
          <w:bCs/>
          <w:color w:val="1F2933"/>
          <w:sz w:val="22"/>
          <w:szCs w:val="22"/>
        </w:rPr>
        <w:t xml:space="preserve">$2,733,573 to $3,033,573</w:t>
      </w:r>
      <w:r>
        <w:rPr>
          <w:rFonts w:ascii="Calibri" w:cs="Calibri" w:eastAsia="Calibri" w:hAnsi="Calibri"/>
          <w:color w:val="1F2933"/>
          <w:sz w:val="22"/>
          <w:szCs w:val="22"/>
        </w:rPr>
        <w:t xml:space="preserve">, which covers the gap.</w:t>
      </w:r>
    </w:p>
    <w:p>
      <w:pPr>
        <w:spacing w:after="200" w:line="264"/>
      </w:pPr>
      <w:r>
        <w:rPr>
          <w:rFonts w:ascii="Calibri" w:cs="Calibri" w:eastAsia="Calibri" w:hAnsi="Calibri"/>
          <w:color w:val="1F2933"/>
          <w:sz w:val="22"/>
          <w:szCs w:val="22"/>
        </w:rPr>
        <w:t xml:space="preserve">I should say up front that I’m a resident, not an accountant, and I’d rather be corrected than agreed with. If your Financial Administrator’s ledgers say something different from what follows, his numbers are the right ones and I’d like to hear about it.</w:t>
      </w:r>
    </w:p>
    <w:p>
      <w:pPr>
        <w:spacing w:after="140" w:before="300"/>
      </w:pPr>
      <w:r>
        <w:rPr>
          <w:rFonts w:ascii="Calibri" w:cs="Calibri" w:eastAsia="Calibri" w:hAnsi="Calibri"/>
          <w:b/>
          <w:bCs/>
          <w:color w:val="284A69"/>
          <w:sz w:val="23"/>
          <w:szCs w:val="23"/>
        </w:rPr>
        <w:t xml:space="preserve">The problem</w:t>
      </w:r>
    </w:p>
    <w:p>
      <w:pPr>
        <w:spacing w:after="200" w:line="264"/>
      </w:pPr>
      <w:r>
        <w:rPr>
          <w:rFonts w:ascii="Calibri" w:cs="Calibri" w:eastAsia="Calibri" w:hAnsi="Calibri"/>
          <w:color w:val="1F2933"/>
          <w:sz w:val="22"/>
          <w:szCs w:val="22"/>
        </w:rPr>
        <w:t xml:space="preserve">Some of the increase is nobody’s fault. About </w:t>
      </w:r>
      <w:r>
        <w:rPr>
          <w:rFonts w:ascii="Calibri" w:cs="Calibri" w:eastAsia="Calibri" w:hAnsi="Calibri"/>
          <w:b/>
          <w:bCs/>
          <w:color w:val="1F2933"/>
          <w:sz w:val="22"/>
          <w:szCs w:val="22"/>
        </w:rPr>
        <w:t xml:space="preserve">$936,727</w:t>
      </w:r>
      <w:r>
        <w:rPr>
          <w:rFonts w:ascii="Calibri" w:cs="Calibri" w:eastAsia="Calibri" w:hAnsi="Calibri"/>
          <w:color w:val="1F2933"/>
          <w:sz w:val="22"/>
          <w:szCs w:val="22"/>
        </w:rPr>
        <w:t xml:space="preserve"> of it is contractual: raises the Town is already obligated to pay under the PBA (</w:t>
      </w:r>
      <w:r>
        <w:rPr>
          <w:rFonts w:ascii="Calibri" w:cs="Calibri" w:eastAsia="Calibri" w:hAnsi="Calibri"/>
          <w:color w:val="1F2933"/>
          <w:sz w:val="22"/>
          <w:szCs w:val="22"/>
        </w:rPr>
        <w:t xml:space="preserve">$354,690</w:t>
      </w:r>
      <w:r>
        <w:rPr>
          <w:rFonts w:ascii="Calibri" w:cs="Calibri" w:eastAsia="Calibri" w:hAnsi="Calibri"/>
          <w:color w:val="1F2933"/>
          <w:sz w:val="22"/>
          <w:szCs w:val="22"/>
        </w:rPr>
        <w:t xml:space="preserve">), CSEA (</w:t>
      </w:r>
      <w:r>
        <w:rPr>
          <w:rFonts w:ascii="Calibri" w:cs="Calibri" w:eastAsia="Calibri" w:hAnsi="Calibri"/>
          <w:color w:val="1F2933"/>
          <w:sz w:val="22"/>
          <w:szCs w:val="22"/>
        </w:rPr>
        <w:t xml:space="preserve">$484,395</w:t>
      </w:r>
      <w:r>
        <w:rPr>
          <w:rFonts w:ascii="Calibri" w:cs="Calibri" w:eastAsia="Calibri" w:hAnsi="Calibri"/>
          <w:color w:val="1F2933"/>
          <w:sz w:val="22"/>
          <w:szCs w:val="22"/>
        </w:rPr>
        <w:t xml:space="preserve">), and SOA (</w:t>
      </w:r>
      <w:r>
        <w:rPr>
          <w:rFonts w:ascii="Calibri" w:cs="Calibri" w:eastAsia="Calibri" w:hAnsi="Calibri"/>
          <w:color w:val="1F2933"/>
          <w:sz w:val="22"/>
          <w:szCs w:val="22"/>
        </w:rPr>
        <w:t xml:space="preserve">$68,773</w:t>
      </w:r>
      <w:r>
        <w:rPr>
          <w:rFonts w:ascii="Calibri" w:cs="Calibri" w:eastAsia="Calibri" w:hAnsi="Calibri"/>
          <w:color w:val="1F2933"/>
          <w:sz w:val="22"/>
          <w:szCs w:val="22"/>
        </w:rPr>
        <w:t xml:space="preserve">) agreements, plus </w:t>
      </w:r>
      <w:r>
        <w:rPr>
          <w:rFonts w:ascii="Calibri" w:cs="Calibri" w:eastAsia="Calibri" w:hAnsi="Calibri"/>
          <w:color w:val="1F2933"/>
          <w:sz w:val="22"/>
          <w:szCs w:val="22"/>
        </w:rPr>
        <w:t xml:space="preserve">$28,869</w:t>
      </w:r>
      <w:r>
        <w:rPr>
          <w:rFonts w:ascii="Calibri" w:cs="Calibri" w:eastAsia="Calibri" w:hAnsi="Calibri"/>
          <w:color w:val="1F2933"/>
          <w:sz w:val="22"/>
          <w:szCs w:val="22"/>
        </w:rPr>
        <w:t xml:space="preserve"> for non-contract staff. Nothing below touches any of that. It’s the rest I want to talk about.</w:t>
      </w:r>
    </w:p>
    <w:tbl>
      <w:tblPr>
        <w:tblW w:type="dxa" w:w="9360"/>
        <w:tblBorders>
          <w:top w:val="single" w:color="B9C7D4" w:sz="2"/>
          <w:left w:val="single" w:color="B9C7D4" w:sz="2"/>
          <w:bottom w:val="single" w:color="B9C7D4" w:sz="2"/>
          <w:right w:val="single" w:color="B9C7D4" w:sz="2"/>
          <w:insideH w:val="single" w:color="E2E8F0" w:sz="2"/>
          <w:insideV w:val="single" w:color="E2E8F0" w:sz="2"/>
        </w:tblBorders>
      </w:tblPr>
      <w:tblGrid>
        <w:gridCol w:w="4260"/>
        <w:gridCol w:w="2550"/>
        <w:gridCol w:w="2550"/>
      </w:tblGrid>
      <w:tr>
        <w:trPr>
          <w:tblHeader/>
        </w:trPr>
        <w:tc>
          <w:tcPr>
            <w:tcW w:type="dxa" w:w="4260"/>
            <w:shd w:fill="284A69" w:color="auto" w:val="clear"/>
            <w:tcMar>
              <w:top w:type="dxa" w:w="60"/>
              <w:left w:type="dxa" w:w="110"/>
              <w:bottom w:type="dxa" w:w="60"/>
              <w:right w:type="dxa" w:w="110"/>
            </w:tcMar>
          </w:tcPr>
          <w:p>
            <w:pPr>
              <w:spacing w:after="0" w:line="252"/>
            </w:pPr>
            <w:r>
              <w:rPr>
                <w:rFonts w:ascii="Calibri" w:cs="Calibri" w:eastAsia="Calibri" w:hAnsi="Calibri"/>
                <w:b/>
                <w:bCs/>
                <w:color w:val="FFFFFF"/>
                <w:sz w:val="20"/>
                <w:szCs w:val="20"/>
              </w:rPr>
              <w:t xml:space="preserve"/>
            </w:r>
          </w:p>
        </w:tc>
        <w:tc>
          <w:tcPr>
            <w:tcW w:type="dxa" w:w="255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Amount</w:t>
            </w:r>
          </w:p>
        </w:tc>
        <w:tc>
          <w:tcPr>
            <w:tcW w:type="dxa" w:w="255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Change</w:t>
            </w:r>
          </w:p>
        </w:tc>
      </w:tr>
      <w:tr>
        <w:tc>
          <w:tcPr>
            <w:tcW w:type="dxa" w:w="42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2026 adopted appropriations, all funds</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$121,110,904</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w:t>
            </w:r>
          </w:p>
        </w:tc>
      </w:tr>
      <w:tr>
        <w:tc>
          <w:tcPr>
            <w:tcW w:type="dxa" w:w="42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2027 projected appropriations</w:t>
            </w:r>
          </w:p>
        </w:tc>
        <w:tc>
          <w:tcPr>
            <w:tcW w:type="dxa" w:w="25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$126,290,255</w:t>
            </w:r>
          </w:p>
        </w:tc>
        <w:tc>
          <w:tcPr>
            <w:tcW w:type="dxa" w:w="25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+$5,179,351 (+4.28%)</w:t>
            </w:r>
          </w:p>
        </w:tc>
      </w:tr>
      <w:tr>
        <w:tc>
          <w:tcPr>
            <w:tcW w:type="dxa" w:w="42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2026 town-wide levy</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$65,343,939</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w:t>
            </w:r>
          </w:p>
        </w:tc>
      </w:tr>
      <w:tr>
        <w:tc>
          <w:tcPr>
            <w:tcW w:type="dxa" w:w="42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2027 projected levy</w:t>
            </w:r>
          </w:p>
        </w:tc>
        <w:tc>
          <w:tcPr>
            <w:tcW w:type="dxa" w:w="25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$69,407,951</w:t>
            </w:r>
          </w:p>
        </w:tc>
        <w:tc>
          <w:tcPr>
            <w:tcW w:type="dxa" w:w="25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+6.2%</w:t>
            </w:r>
          </w:p>
        </w:tc>
      </w:tr>
      <w:tr>
        <w:tc>
          <w:tcPr>
            <w:tcW w:type="dxa" w:w="42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Levy permitted under the cap</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$66,650,818</w:t>
            </w:r>
          </w:p>
        </w:tc>
        <w:tc>
          <w:tcPr>
            <w:tcW w:type="dxa" w:w="25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w:t>
            </w:r>
          </w:p>
        </w:tc>
      </w:tr>
      <w:tr>
        <w:tc>
          <w:tcPr>
            <w:tcW w:type="dxa" w:w="4260"/>
            <w:shd w:fill="FDF3DA" w:color="auto" w:val="clear"/>
            <w:tcMar>
              <w:top w:type="dxa" w:w="60"/>
              <w:left w:type="dxa" w:w="110"/>
              <w:bottom w:type="dxa" w:w="60"/>
              <w:right w:type="dxa" w:w="110"/>
            </w:tcMar>
          </w:tcPr>
          <w:p>
            <w:pPr>
              <w:spacing w:after="0" w:line="252"/>
            </w:pPr>
            <w:r>
              <w:rPr>
                <w:rFonts w:ascii="Calibri" w:cs="Calibri" w:eastAsia="Calibri" w:hAnsi="Calibri"/>
                <w:b/>
                <w:bCs/>
                <w:color w:val="1F2933"/>
                <w:sz w:val="20"/>
                <w:szCs w:val="20"/>
              </w:rPr>
              <w:t xml:space="preserve">Projected gap above the cap</w:t>
            </w:r>
          </w:p>
        </w:tc>
        <w:tc>
          <w:tcPr>
            <w:tcW w:type="dxa" w:w="25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$2,757,133</w:t>
            </w:r>
          </w:p>
        </w:tc>
        <w:tc>
          <w:tcPr>
            <w:tcW w:type="dxa" w:w="25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to be closed</w:t>
            </w:r>
          </w:p>
        </w:tc>
      </w:tr>
    </w:tbl>
    <w:p>
      <w:pPr>
        <w:spacing w:after="220" w:before="60"/>
      </w:pPr>
      <w:r>
        <w:rPr>
          <w:rFonts w:ascii="Calibri" w:cs="Calibri" w:eastAsia="Calibri" w:hAnsi="Calibri"/>
          <w:color w:val="64748B"/>
          <w:sz w:val="17"/>
          <w:szCs w:val="17"/>
        </w:rPr>
        <w:t xml:space="preserve">Source: 2026 Adopted Budget and 2026 Budget Supplement; projection method described at the end of this letter.</w:t>
      </w:r>
    </w:p>
    <w:p>
      <w:pPr>
        <w:spacing w:after="200" w:line="264"/>
      </w:pPr>
      <w:r>
        <w:rPr>
          <w:rFonts w:ascii="Calibri" w:cs="Calibri" w:eastAsia="Calibri" w:hAnsi="Calibri"/>
          <w:color w:val="1F2933"/>
          <w:sz w:val="22"/>
          <w:szCs w:val="22"/>
        </w:rPr>
        <w:t xml:space="preserve">The Town has gone over the cap in 2023, 2024, and again this year, and the levy rose 7.74 percent in 2026. I’m not going to pretend a fourth override would be unprecedented, and there are years when it’s the honest answer. But it’s worth knowing what’s still on the table before you get there.</w:t>
      </w:r>
    </w:p>
    <w:p>
      <w:pPr>
        <w:spacing w:after="140" w:before="300"/>
      </w:pPr>
      <w:r>
        <w:rPr>
          <w:rFonts w:ascii="Calibri" w:cs="Calibri" w:eastAsia="Calibri" w:hAnsi="Calibri"/>
          <w:b/>
          <w:bCs/>
          <w:color w:val="284A69"/>
          <w:sz w:val="23"/>
          <w:szCs w:val="23"/>
        </w:rPr>
        <w:t xml:space="preserve">Five things that would help</w:t>
      </w:r>
    </w:p>
    <w:p>
      <w:pPr>
        <w:spacing w:after="80" w:before="240"/>
      </w:pPr>
      <w:r>
        <w:rPr>
          <w:rFonts w:ascii="Calibri" w:cs="Calibri" w:eastAsia="Calibri" w:hAnsi="Calibri"/>
          <w:b/>
          <w:bCs/>
          <w:color w:val="284A69"/>
          <w:sz w:val="22"/>
          <w:szCs w:val="22"/>
        </w:rPr>
        <w:t xml:space="preserve">Measure 1 — Keep the retirement savings you already voted for</w:t>
      </w:r>
    </w:p>
    <w:tbl>
      <w:tblPr>
        <w:tblW w:type="dxa" w:w="9360"/>
        <w:tblBorders>
          <w:top w:val="single" w:color="284A69" w:sz="12"/>
          <w:left w:val="none"/>
          <w:bottom w:val="single" w:color="B9C7D4" w:sz="4"/>
          <w:right w:val="none"/>
          <w:insideH w:val="none"/>
          <w:insideV w:val="none"/>
        </w:tblBorders>
      </w:tblPr>
      <w:tblGrid>
        <w:gridCol w:w="2300"/>
        <w:gridCol w:w="7060"/>
      </w:tblGrid>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Value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$500,000 to $800,000, recurring — the Town’s own projection</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Authority</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Already adopted. Resolutions 2026-678, 2026-679, and 2026-680, unanimous, July 7, 2026</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Who it covers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53 eligible employees across CSEA, PBA, and SOA</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it takes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A rule that nobody gets refilled above entry step without a written reason, and a tentative budget that actually banks the lower salary line instead of re-budgeting each post at its old cost</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Timing</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Elections close September 1, retirements take effect October 1. You will know the real count before the budget is filed, so this can be a number rather than an estimate</w:t>
            </w:r>
          </w:p>
        </w:tc>
      </w:tr>
      <w:tr>
        <w:tc>
          <w:tcPr>
            <w:tcW w:type="dxa" w:w="2300"/>
            <w:tcBorders>
              <w:top w:val="none"/>
              <w:left w:val="none"/>
              <w:bottom w:val="non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Source</w:t>
            </w:r>
          </w:p>
        </w:tc>
        <w:tc>
          <w:tcPr>
            <w:tcW w:type="dxa" w:w="7060"/>
            <w:tcBorders>
              <w:top w:val="none"/>
              <w:left w:val="none"/>
              <w:bottom w:val="non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Town Board minutes, July 7, 2026</w:t>
            </w:r>
          </w:p>
        </w:tc>
      </w:tr>
    </w:tbl>
    <w:p>
      <w:pPr>
        <w:spacing w:after="160"/>
      </w:pPr>
      <w:r>
        <w:rPr>
          <w:sz w:val="2"/>
          <w:szCs w:val="2"/>
        </w:rPr>
        <w:t xml:space="preserve"/>
      </w:r>
    </w:p>
    <w:p>
      <w:pPr>
        <w:spacing w:after="200" w:line="264"/>
      </w:pPr>
      <w:r>
        <w:rPr>
          <w:rFonts w:ascii="Calibri" w:cs="Calibri" w:eastAsia="Calibri" w:hAnsi="Calibri"/>
          <w:color w:val="1F2933"/>
          <w:sz w:val="22"/>
          <w:szCs w:val="22"/>
        </w:rPr>
        <w:t xml:space="preserve">You have already done the hard part on this one. All five of you voted for it in July, which is not nothing on a board that doesn’t agree about much.</w:t>
      </w:r>
    </w:p>
    <w:p>
      <w:pPr>
        <w:spacing w:after="200" w:line="264"/>
      </w:pPr>
      <w:r>
        <w:rPr>
          <w:rFonts w:ascii="Calibri" w:cs="Calibri" w:eastAsia="Calibri" w:hAnsi="Calibri"/>
          <w:color w:val="1F2933"/>
          <w:sz w:val="22"/>
          <w:szCs w:val="22"/>
        </w:rPr>
        <w:t xml:space="preserve">The catch is that the money only shows up if the jobs come back cheaper. If each retiree is replaced at the same step, the savings quietly disappear and nobody ever has to vote on losing them. That is a budgeting decision inside your office, not another negotiation with the unions.</w:t>
      </w:r>
    </w:p>
    <w:p>
      <w:pPr>
        <w:spacing w:after="80" w:before="240"/>
      </w:pPr>
      <w:r>
        <w:rPr>
          <w:rFonts w:ascii="Calibri" w:cs="Calibri" w:eastAsia="Calibri" w:hAnsi="Calibri"/>
          <w:b/>
          <w:bCs/>
          <w:color w:val="284A69"/>
          <w:sz w:val="22"/>
          <w:szCs w:val="22"/>
        </w:rPr>
        <w:t xml:space="preserve">Measure 2 — Six changes the Board can make on its own</w:t>
      </w:r>
    </w:p>
    <w:tbl>
      <w:tblPr>
        <w:tblW w:type="dxa" w:w="9360"/>
        <w:tblBorders>
          <w:top w:val="single" w:color="284A69" w:sz="12"/>
          <w:left w:val="none"/>
          <w:bottom w:val="single" w:color="B9C7D4" w:sz="4"/>
          <w:right w:val="none"/>
          <w:insideH w:val="none"/>
          <w:insideV w:val="none"/>
        </w:tblBorders>
      </w:tblPr>
      <w:tblGrid>
        <w:gridCol w:w="2300"/>
        <w:gridCol w:w="7060"/>
      </w:tblGrid>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Value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$640,321, recurring</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it takes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A Board resolution. Nothing has to be reopened with the unions</w:t>
            </w:r>
          </w:p>
        </w:tc>
      </w:tr>
      <w:tr>
        <w:tc>
          <w:tcPr>
            <w:tcW w:type="dxa" w:w="2300"/>
            <w:tcBorders>
              <w:top w:val="none"/>
              <w:left w:val="none"/>
              <w:bottom w:val="non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Effect on staffing</w:t>
            </w:r>
          </w:p>
        </w:tc>
        <w:tc>
          <w:tcPr>
            <w:tcW w:type="dxa" w:w="7060"/>
            <w:tcBorders>
              <w:top w:val="none"/>
              <w:left w:val="none"/>
              <w:bottom w:val="non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None. Nobody loses a job</w:t>
            </w:r>
          </w:p>
        </w:tc>
      </w:tr>
    </w:tbl>
    <w:p>
      <w:pPr>
        <w:spacing w:after="160"/>
      </w:pPr>
      <w:r>
        <w:rPr>
          <w:sz w:val="2"/>
          <w:szCs w:val="2"/>
        </w:rPr>
        <w:t xml:space="preserve"/>
      </w:r>
    </w:p>
    <w:tbl>
      <w:tblPr>
        <w:tblW w:type="dxa" w:w="9360"/>
        <w:tblBorders>
          <w:top w:val="single" w:color="B9C7D4" w:sz="2"/>
          <w:left w:val="single" w:color="B9C7D4" w:sz="2"/>
          <w:bottom w:val="single" w:color="B9C7D4" w:sz="2"/>
          <w:right w:val="single" w:color="B9C7D4" w:sz="2"/>
          <w:insideH w:val="single" w:color="E2E8F0" w:sz="2"/>
          <w:insideV w:val="single" w:color="E2E8F0" w:sz="2"/>
        </w:tblBorders>
      </w:tblPr>
      <w:tblGrid>
        <w:gridCol w:w="4560"/>
        <w:gridCol w:w="1900"/>
        <w:gridCol w:w="2900"/>
      </w:tblGrid>
      <w:tr>
        <w:trPr>
          <w:tblHeader/>
        </w:trPr>
        <w:tc>
          <w:tcPr>
            <w:tcW w:type="dxa" w:w="4560"/>
            <w:shd w:fill="284A69" w:color="auto" w:val="clear"/>
            <w:tcMar>
              <w:top w:type="dxa" w:w="60"/>
              <w:left w:type="dxa" w:w="110"/>
              <w:bottom w:type="dxa" w:w="60"/>
              <w:right w:type="dxa" w:w="110"/>
            </w:tcMar>
          </w:tcPr>
          <w:p>
            <w:pPr>
              <w:spacing w:after="0" w:line="252"/>
            </w:pPr>
            <w:r>
              <w:rPr>
                <w:rFonts w:ascii="Calibri" w:cs="Calibri" w:eastAsia="Calibri" w:hAnsi="Calibri"/>
                <w:b/>
                <w:bCs/>
                <w:color w:val="FFFFFF"/>
                <w:sz w:val="20"/>
                <w:szCs w:val="20"/>
              </w:rPr>
              <w:t xml:space="preserve">Component</w:t>
            </w:r>
          </w:p>
        </w:tc>
        <w:tc>
          <w:tcPr>
            <w:tcW w:type="dxa" w:w="190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Annual value</w:t>
            </w:r>
          </w:p>
        </w:tc>
        <w:tc>
          <w:tcPr>
            <w:tcW w:type="dxa" w:w="290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What it requires</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20% healthcare premium contribution, exempt and elected positions</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$85,085</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Board policy adoption, 22 positions</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Police uniform overtime normalized to the regional rate</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$94,404</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Scheduling audit</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Targeted retirement and refill control</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$291,300</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Three senior departures, two lower-cost backfills</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1% civilian vacancy factor</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$124,158</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Budgeting convention, not a headcount cut</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Hold on exempt discretionary raises</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$23,095</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Board choice each cycle</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Hold on elected salary growth</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$22,279</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Separately stated Board action</w:t>
            </w:r>
          </w:p>
        </w:tc>
      </w:tr>
      <w:tr>
        <w:tc>
          <w:tcPr>
            <w:tcW w:type="dxa" w:w="4560"/>
            <w:shd w:fill="FDF3DA" w:color="auto" w:val="clear"/>
            <w:tcMar>
              <w:top w:type="dxa" w:w="60"/>
              <w:left w:type="dxa" w:w="110"/>
              <w:bottom w:type="dxa" w:w="60"/>
              <w:right w:type="dxa" w:w="110"/>
            </w:tcMar>
          </w:tcPr>
          <w:p>
            <w:pPr>
              <w:spacing w:after="0" w:line="252"/>
            </w:pPr>
            <w:r>
              <w:rPr>
                <w:rFonts w:ascii="Calibri" w:cs="Calibri" w:eastAsia="Calibri" w:hAnsi="Calibri"/>
                <w:b/>
                <w:bCs/>
                <w:color w:val="1F2933"/>
                <w:sz w:val="20"/>
                <w:szCs w:val="20"/>
              </w:rPr>
              <w:t xml:space="preserve">Total</w:t>
            </w:r>
          </w:p>
        </w:tc>
        <w:tc>
          <w:tcPr>
            <w:tcW w:type="dxa" w:w="190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$640,321</w:t>
            </w:r>
          </w:p>
        </w:tc>
        <w:tc>
          <w:tcPr>
            <w:tcW w:type="dxa" w:w="290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recurring</w:t>
            </w:r>
          </w:p>
        </w:tc>
      </w:tr>
    </w:tbl>
    <w:p>
      <w:pPr>
        <w:spacing w:after="220" w:before="60"/>
      </w:pPr>
      <w:r>
        <w:rPr>
          <w:rFonts w:ascii="Calibri" w:cs="Calibri" w:eastAsia="Calibri" w:hAnsi="Calibri"/>
          <w:color w:val="64748B"/>
          <w:sz w:val="17"/>
          <w:szCs w:val="17"/>
        </w:rPr>
        <w:t xml:space="preserve">Source: 2026 Adopted Budget; NYSHIP Empire Plan participating-agency premium schedule.</w:t>
      </w:r>
    </w:p>
    <w:p>
      <w:pPr>
        <w:spacing w:after="200" w:line="264"/>
      </w:pPr>
      <w:r>
        <w:rPr>
          <w:rFonts w:ascii="Calibri" w:cs="Calibri" w:eastAsia="Calibri" w:hAnsi="Calibri"/>
          <w:color w:val="1F2933"/>
          <w:sz w:val="22"/>
          <w:szCs w:val="22"/>
        </w:rPr>
        <w:t xml:space="preserve">I want to be fair about the overtime line, because it is the one someone could easily misuse. Police uniform overtime ran $1,401,354 in 2024 against a $1,000,000 budget. That looks damning until you check what neighboring towns pay. Southampton budgeted $13,069.50 per officer this year; at that rate Riverhead’s roughly 100 officers would need about $1.31 million. So most of the overrun is ordinary coverage, not waste, and I have only counted the part above that benchmark.</w:t>
      </w:r>
    </w:p>
    <w:p>
      <w:pPr>
        <w:spacing w:after="200" w:line="264"/>
      </w:pPr>
      <w:r>
        <w:rPr>
          <w:rFonts w:ascii="Calibri" w:cs="Calibri" w:eastAsia="Calibri" w:hAnsi="Calibri"/>
          <w:color w:val="1F2933"/>
          <w:sz w:val="22"/>
          <w:szCs w:val="22"/>
        </w:rPr>
        <w:t xml:space="preserve">The real issue is smaller and duller. The budget line has said $1 million for years while the actual has been $1.4 million. Whatever the right number is, the budget should say it.</w:t>
      </w:r>
    </w:p>
    <w:p>
      <w:pPr>
        <w:spacing w:after="80" w:before="240"/>
      </w:pPr>
      <w:r>
        <w:rPr>
          <w:rFonts w:ascii="Calibri" w:cs="Calibri" w:eastAsia="Calibri" w:hAnsi="Calibri"/>
          <w:b/>
          <w:bCs/>
          <w:color w:val="284A69"/>
          <w:sz w:val="22"/>
          <w:szCs w:val="22"/>
        </w:rPr>
        <w:t xml:space="preserve">Measure 3 — Make seven departments explain a jump before it becomes permanent</w:t>
      </w:r>
    </w:p>
    <w:tbl>
      <w:tblPr>
        <w:tblW w:type="dxa" w:w="9360"/>
        <w:tblBorders>
          <w:top w:val="single" w:color="284A69" w:sz="12"/>
          <w:left w:val="none"/>
          <w:bottom w:val="single" w:color="B9C7D4" w:sz="4"/>
          <w:right w:val="none"/>
          <w:insideH w:val="none"/>
          <w:insideV w:val="none"/>
        </w:tblBorders>
      </w:tblPr>
      <w:tblGrid>
        <w:gridCol w:w="2300"/>
        <w:gridCol w:w="7060"/>
      </w:tblGrid>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Value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$627,400, recurring</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it takes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A written justification requested by your office</w:t>
            </w:r>
          </w:p>
        </w:tc>
      </w:tr>
      <w:tr>
        <w:tc>
          <w:tcPr>
            <w:tcW w:type="dxa" w:w="2300"/>
            <w:tcBorders>
              <w:top w:val="none"/>
              <w:left w:val="none"/>
              <w:bottom w:val="non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To be clear</w:t>
            </w:r>
          </w:p>
        </w:tc>
        <w:tc>
          <w:tcPr>
            <w:tcW w:type="dxa" w:w="7060"/>
            <w:tcBorders>
              <w:top w:val="none"/>
              <w:left w:val="none"/>
              <w:bottom w:val="non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This is not an accusation. I want the reasons written down, not anyone disciplined</w:t>
            </w:r>
          </w:p>
        </w:tc>
      </w:tr>
    </w:tbl>
    <w:p>
      <w:pPr>
        <w:spacing w:after="160"/>
      </w:pPr>
      <w:r>
        <w:rPr>
          <w:sz w:val="2"/>
          <w:szCs w:val="2"/>
        </w:rPr>
        <w:t xml:space="preserve"/>
      </w:r>
    </w:p>
    <w:tbl>
      <w:tblPr>
        <w:tblW w:type="dxa" w:w="9360"/>
        <w:tblBorders>
          <w:top w:val="single" w:color="B9C7D4" w:sz="2"/>
          <w:left w:val="single" w:color="B9C7D4" w:sz="2"/>
          <w:bottom w:val="single" w:color="B9C7D4" w:sz="2"/>
          <w:right w:val="single" w:color="B9C7D4" w:sz="2"/>
          <w:insideH w:val="single" w:color="E2E8F0" w:sz="2"/>
          <w:insideV w:val="single" w:color="E2E8F0" w:sz="2"/>
        </w:tblBorders>
      </w:tblPr>
      <w:tblGrid>
        <w:gridCol w:w="4560"/>
        <w:gridCol w:w="1900"/>
        <w:gridCol w:w="2900"/>
      </w:tblGrid>
      <w:tr>
        <w:trPr>
          <w:tblHeader/>
        </w:trPr>
        <w:tc>
          <w:tcPr>
            <w:tcW w:type="dxa" w:w="4560"/>
            <w:shd w:fill="284A69" w:color="auto" w:val="clear"/>
            <w:tcMar>
              <w:top w:type="dxa" w:w="60"/>
              <w:left w:type="dxa" w:w="110"/>
              <w:bottom w:type="dxa" w:w="60"/>
              <w:right w:type="dxa" w:w="110"/>
            </w:tcMar>
          </w:tcPr>
          <w:p>
            <w:pPr>
              <w:spacing w:after="0" w:line="252"/>
            </w:pPr>
            <w:r>
              <w:rPr>
                <w:rFonts w:ascii="Calibri" w:cs="Calibri" w:eastAsia="Calibri" w:hAnsi="Calibri"/>
                <w:b/>
                <w:bCs/>
                <w:color w:val="FFFFFF"/>
                <w:sz w:val="20"/>
                <w:szCs w:val="20"/>
              </w:rPr>
              <w:t xml:space="preserve">Line</w:t>
            </w:r>
          </w:p>
        </w:tc>
        <w:tc>
          <w:tcPr>
            <w:tcW w:type="dxa" w:w="190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At issue</w:t>
            </w:r>
          </w:p>
        </w:tc>
        <w:tc>
          <w:tcPr>
            <w:tcW w:type="dxa" w:w="290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Growth, 2025 to 2026</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Police holiday pay</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$190,600</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$752,400 to $943,000 (+25.3%)</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Police health insurance buy-back</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$112,000</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$389,000 to $501,000 (+28.8%)</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Scavenger waste disposal (ES5)</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$187,000</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$490,000 to $677,000 (+38.2%)</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Other general government, miscellaneous</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$50,000</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$3,200 to $53,200 (+1,563%)</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Community development, special events</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$43,200</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$0 to $43,200 (new line)</w:t>
            </w:r>
          </w:p>
        </w:tc>
      </w:tr>
      <w:tr>
        <w:tc>
          <w:tcPr>
            <w:tcW w:type="dxa" w:w="45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Town attorney, management buy-back</w:t>
            </w:r>
          </w:p>
        </w:tc>
        <w:tc>
          <w:tcPr>
            <w:tcW w:type="dxa" w:w="1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$32,600</w:t>
            </w:r>
          </w:p>
        </w:tc>
        <w:tc>
          <w:tcPr>
            <w:tcW w:type="dxa" w:w="290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$104,700 to $137,300 (+31.1%)</w:t>
            </w:r>
          </w:p>
        </w:tc>
      </w:tr>
      <w:tr>
        <w:tc>
          <w:tcPr>
            <w:tcW w:type="dxa" w:w="45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Tax collection postage</w:t>
            </w:r>
          </w:p>
        </w:tc>
        <w:tc>
          <w:tcPr>
            <w:tcW w:type="dxa" w:w="1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$12,000</w:t>
            </w:r>
          </w:p>
        </w:tc>
        <w:tc>
          <w:tcPr>
            <w:tcW w:type="dxa" w:w="290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$1,500 to $13,500 (+800%)</w:t>
            </w:r>
          </w:p>
        </w:tc>
      </w:tr>
      <w:tr>
        <w:tc>
          <w:tcPr>
            <w:tcW w:type="dxa" w:w="4560"/>
            <w:shd w:fill="FDF3DA" w:color="auto" w:val="clear"/>
            <w:tcMar>
              <w:top w:type="dxa" w:w="60"/>
              <w:left w:type="dxa" w:w="110"/>
              <w:bottom w:type="dxa" w:w="60"/>
              <w:right w:type="dxa" w:w="110"/>
            </w:tcMar>
          </w:tcPr>
          <w:p>
            <w:pPr>
              <w:spacing w:after="0" w:line="252"/>
            </w:pPr>
            <w:r>
              <w:rPr>
                <w:rFonts w:ascii="Calibri" w:cs="Calibri" w:eastAsia="Calibri" w:hAnsi="Calibri"/>
                <w:b/>
                <w:bCs/>
                <w:color w:val="1F2933"/>
                <w:sz w:val="20"/>
                <w:szCs w:val="20"/>
              </w:rPr>
              <w:t xml:space="preserve">Total</w:t>
            </w:r>
          </w:p>
        </w:tc>
        <w:tc>
          <w:tcPr>
            <w:tcW w:type="dxa" w:w="190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$627,400</w:t>
            </w:r>
          </w:p>
        </w:tc>
        <w:tc>
          <w:tcPr>
            <w:tcW w:type="dxa" w:w="290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recurring</w:t>
            </w:r>
          </w:p>
        </w:tc>
      </w:tr>
    </w:tbl>
    <w:p>
      <w:pPr>
        <w:spacing w:after="220" w:before="60"/>
      </w:pPr>
      <w:r>
        <w:rPr>
          <w:rFonts w:ascii="Calibri" w:cs="Calibri" w:eastAsia="Calibri" w:hAnsi="Calibri"/>
          <w:color w:val="64748B"/>
          <w:sz w:val="17"/>
          <w:szCs w:val="17"/>
        </w:rPr>
        <w:t xml:space="preserve">Source: 2026 Budget Supplement.</w:t>
      </w:r>
    </w:p>
    <w:p>
      <w:pPr>
        <w:spacing w:after="200" w:line="264"/>
      </w:pPr>
      <w:r>
        <w:rPr>
          <w:rFonts w:ascii="Calibri" w:cs="Calibri" w:eastAsia="Calibri" w:hAnsi="Calibri"/>
          <w:color w:val="1F2933"/>
          <w:sz w:val="22"/>
          <w:szCs w:val="22"/>
        </w:rPr>
        <w:t xml:space="preserve">Postage went from $1,500 to $13,500. A miscellaneous line went from $3,200 to $53,200. From outside the building I can’t tell you why, and there may well be good reasons for every one of these.</w:t>
      </w:r>
    </w:p>
    <w:p>
      <w:pPr>
        <w:spacing w:after="200" w:line="264"/>
      </w:pPr>
      <w:r>
        <w:rPr>
          <w:rFonts w:ascii="Calibri" w:cs="Calibri" w:eastAsia="Calibri" w:hAnsi="Calibri"/>
          <w:color w:val="1F2933"/>
          <w:sz w:val="22"/>
          <w:szCs w:val="22"/>
        </w:rPr>
        <w:t xml:space="preserve">I’m not accusing anyone of anything. I’m saying someone should have to write the reason down before the number becomes next year’s starting point, because once it does, it stops being a decision and starts being a baseline nobody revisits.</w:t>
      </w:r>
    </w:p>
    <w:p>
      <w:pPr>
        <w:spacing w:after="80" w:before="240"/>
      </w:pPr>
      <w:r>
        <w:rPr>
          <w:rFonts w:ascii="Calibri" w:cs="Calibri" w:eastAsia="Calibri" w:hAnsi="Calibri"/>
          <w:b/>
          <w:bCs/>
          <w:color w:val="284A69"/>
          <w:sz w:val="22"/>
          <w:szCs w:val="22"/>
        </w:rPr>
        <w:t xml:space="preserve">Measure 4 — Bring padded lines back to what they actually spend</w:t>
      </w:r>
    </w:p>
    <w:tbl>
      <w:tblPr>
        <w:tblW w:type="dxa" w:w="9360"/>
        <w:tblBorders>
          <w:top w:val="single" w:color="284A69" w:sz="12"/>
          <w:left w:val="none"/>
          <w:bottom w:val="single" w:color="B9C7D4" w:sz="4"/>
          <w:right w:val="none"/>
          <w:insideH w:val="none"/>
          <w:insideV w:val="none"/>
        </w:tblBorders>
      </w:tblPr>
      <w:tblGrid>
        <w:gridCol w:w="2300"/>
        <w:gridCol w:w="7060"/>
      </w:tblGrid>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 am counting</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$828,210, recurring, across 20 lines</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is actually there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$2,358,935 across all 52 qualifying lines</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qualifies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Controllable, non-mandated lines budgeted more than 30 percent above what they have actually been spending</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Why the smaller one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It leaves out capital timing and fuel and energy prices, where cutting the budget is really just guessing at next year’s weather and markets</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The big ones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Scavenger waste disposal $193,194; sewer treatment waste disposal $141,148; accounting professional services $87,675; water lab fees $69,410; public parks contractual $56,646; auditor consultants $54,675</w:t>
            </w:r>
          </w:p>
        </w:tc>
      </w:tr>
      <w:tr>
        <w:tc>
          <w:tcPr>
            <w:tcW w:type="dxa" w:w="2300"/>
            <w:tcBorders>
              <w:top w:val="none"/>
              <w:left w:val="none"/>
              <w:bottom w:val="non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Source</w:t>
            </w:r>
          </w:p>
        </w:tc>
        <w:tc>
          <w:tcPr>
            <w:tcW w:type="dxa" w:w="7060"/>
            <w:tcBorders>
              <w:top w:val="none"/>
              <w:left w:val="none"/>
              <w:bottom w:val="non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2026 Budget Supplement</w:t>
            </w:r>
          </w:p>
        </w:tc>
      </w:tr>
    </w:tbl>
    <w:p>
      <w:pPr>
        <w:spacing w:after="160"/>
      </w:pPr>
      <w:r>
        <w:rPr>
          <w:sz w:val="2"/>
          <w:szCs w:val="2"/>
        </w:rPr>
        <w:t xml:space="preserve"/>
      </w:r>
    </w:p>
    <w:p>
      <w:pPr>
        <w:spacing w:after="200" w:line="264"/>
      </w:pPr>
      <w:r>
        <w:rPr>
          <w:rFonts w:ascii="Calibri" w:cs="Calibri" w:eastAsia="Calibri" w:hAnsi="Calibri"/>
          <w:color w:val="1F2933"/>
          <w:sz w:val="22"/>
          <w:szCs w:val="22"/>
        </w:rPr>
        <w:t xml:space="preserve">The full $2.36 million is real and the Board can go after it. But $828,210 is the part I’d be willing to defend line by line at a public hearing, and I’d rather hand you a number that holds up than a bigger one that doesn’t.</w:t>
      </w:r>
    </w:p>
    <w:p>
      <w:pPr>
        <w:spacing w:after="80" w:before="240"/>
      </w:pPr>
      <w:r>
        <w:rPr>
          <w:rFonts w:ascii="Calibri" w:cs="Calibri" w:eastAsia="Calibri" w:hAnsi="Calibri"/>
          <w:b/>
          <w:bCs/>
          <w:color w:val="284A69"/>
          <w:sz w:val="22"/>
          <w:szCs w:val="22"/>
        </w:rPr>
        <w:t xml:space="preserve">Measure 5 — Use the pension exclusion the cap formula already gives you</w:t>
      </w:r>
    </w:p>
    <w:tbl>
      <w:tblPr>
        <w:tblW w:type="dxa" w:w="9360"/>
        <w:tblBorders>
          <w:top w:val="single" w:color="284A69" w:sz="12"/>
          <w:left w:val="none"/>
          <w:bottom w:val="single" w:color="B9C7D4" w:sz="4"/>
          <w:right w:val="none"/>
          <w:insideH w:val="none"/>
          <w:insideV w:val="none"/>
        </w:tblBorders>
      </w:tblPr>
      <w:tblGrid>
        <w:gridCol w:w="2300"/>
        <w:gridCol w:w="7060"/>
      </w:tblGrid>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Value</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$137,642 of legally excludable levy</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How it works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The cap lets you exclude pension-cost growth above a two-point rise in a retirement system’s contribution rate</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Qualifying</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PFRS, covering PBA and SOA, rose 2.8 points (33.7% to 36.5%) — 0.8 points above the threshold</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Not qualifying</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ERS rose 1.1 points and does not clear the threshold</w:t>
            </w:r>
          </w:p>
        </w:tc>
      </w:tr>
      <w:tr>
        <w:tc>
          <w:tcPr>
            <w:tcW w:type="dxa" w:w="2300"/>
            <w:tcBorders>
              <w:top w:val="none"/>
              <w:left w:val="none"/>
              <w:bottom w:val="singl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What it costs</w:t>
            </w:r>
          </w:p>
        </w:tc>
        <w:tc>
          <w:tcPr>
            <w:tcW w:type="dxa" w:w="7060"/>
            <w:tcBorders>
              <w:top w:val="none"/>
              <w:left w:val="none"/>
              <w:bottom w:val="singl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Nothing. It raises the ceiling instead of cutting the spending</w:t>
            </w:r>
          </w:p>
        </w:tc>
      </w:tr>
      <w:tr>
        <w:tc>
          <w:tcPr>
            <w:tcW w:type="dxa" w:w="2300"/>
            <w:tcBorders>
              <w:top w:val="none"/>
              <w:left w:val="none"/>
              <w:bottom w:val="none" w:color="E2E8F0" w:sz="2"/>
              <w:right w:val="none"/>
            </w:tcBorders>
            <w:tcMar>
              <w:top w:type="dxa" w:w="60"/>
              <w:left w:type="dxa" w:w="120"/>
              <w:bottom w:type="dxa" w:w="60"/>
              <w:right w:type="dxa" w:w="100"/>
            </w:tcMar>
          </w:tcPr>
          <w:p>
            <w:pPr>
              <w:spacing w:after="0" w:line="252"/>
            </w:pPr>
            <w:r>
              <w:rPr>
                <w:rFonts w:ascii="Calibri" w:cs="Calibri" w:eastAsia="Calibri" w:hAnsi="Calibri"/>
                <w:b/>
                <w:bCs/>
                <w:color w:val="3F4A56"/>
                <w:sz w:val="20"/>
                <w:szCs w:val="20"/>
              </w:rPr>
              <w:t xml:space="preserve">Source</w:t>
            </w:r>
          </w:p>
        </w:tc>
        <w:tc>
          <w:tcPr>
            <w:tcW w:type="dxa" w:w="7060"/>
            <w:tcBorders>
              <w:top w:val="none"/>
              <w:left w:val="none"/>
              <w:bottom w:val="none" w:color="E2E8F0" w:sz="2"/>
              <w:right w:val="none"/>
            </w:tcBorders>
            <w:tcMar>
              <w:top w:type="dxa" w:w="60"/>
              <w:left w:type="dxa" w:w="100"/>
              <w:bottom w:type="dxa" w:w="60"/>
              <w:right w:type="dxa" w:w="120"/>
            </w:tcMar>
          </w:tcPr>
          <w:p>
            <w:pPr>
              <w:spacing w:after="0" w:line="252"/>
            </w:pPr>
            <w:r>
              <w:rPr>
                <w:rFonts w:ascii="Calibri" w:cs="Calibri" w:eastAsia="Calibri" w:hAnsi="Calibri"/>
                <w:sz w:val="20"/>
                <w:szCs w:val="20"/>
              </w:rPr>
              <w:t xml:space="preserve">NYS Office of the State Comptroller, employer contribution rates for SFY 2026-27</w:t>
            </w:r>
          </w:p>
        </w:tc>
      </w:tr>
    </w:tbl>
    <w:p>
      <w:pPr>
        <w:spacing w:after="160"/>
      </w:pPr>
      <w:r>
        <w:rPr>
          <w:sz w:val="2"/>
          <w:szCs w:val="2"/>
        </w:rPr>
        <w:t xml:space="preserve"/>
      </w:r>
    </w:p>
    <w:p>
      <w:pPr>
        <w:spacing w:after="200" w:line="264"/>
      </w:pPr>
      <w:r>
        <w:rPr>
          <w:rFonts w:ascii="Calibri" w:cs="Calibri" w:eastAsia="Calibri" w:hAnsi="Calibri"/>
          <w:color w:val="1F2933"/>
          <w:sz w:val="22"/>
          <w:szCs w:val="22"/>
        </w:rPr>
        <w:t xml:space="preserve">This one costs nothing. It is not a cut at all, just a part of the cap formula the Town is entitled to use, and it raises the ceiling rather than lowering the spending. My estimate uses PBA and SOA payroll as a stand-in for the State’s salary base, so the real figure will differ. Your retirement-system bills would settle it in an afternoon.</w:t>
      </w:r>
    </w:p>
    <w:p>
      <w:pPr>
        <w:spacing w:after="140" w:before="300"/>
      </w:pPr>
      <w:r>
        <w:rPr>
          <w:rFonts w:ascii="Calibri" w:cs="Calibri" w:eastAsia="Calibri" w:hAnsi="Calibri"/>
          <w:b/>
          <w:bCs/>
          <w:color w:val="284A69"/>
          <w:sz w:val="23"/>
          <w:szCs w:val="23"/>
        </w:rPr>
        <w:t xml:space="preserve">What it adds up to</w:t>
      </w:r>
    </w:p>
    <w:tbl>
      <w:tblPr>
        <w:tblW w:type="dxa" w:w="9360"/>
        <w:tblBorders>
          <w:top w:val="single" w:color="B9C7D4" w:sz="2"/>
          <w:left w:val="single" w:color="B9C7D4" w:sz="2"/>
          <w:bottom w:val="single" w:color="B9C7D4" w:sz="2"/>
          <w:right w:val="single" w:color="B9C7D4" w:sz="2"/>
          <w:insideH w:val="single" w:color="E2E8F0" w:sz="2"/>
          <w:insideV w:val="single" w:color="E2E8F0" w:sz="2"/>
        </w:tblBorders>
      </w:tblPr>
      <w:tblGrid>
        <w:gridCol w:w="5060"/>
        <w:gridCol w:w="2150"/>
        <w:gridCol w:w="2150"/>
      </w:tblGrid>
      <w:tr>
        <w:trPr>
          <w:tblHeader/>
        </w:trPr>
        <w:tc>
          <w:tcPr>
            <w:tcW w:type="dxa" w:w="5060"/>
            <w:shd w:fill="284A69" w:color="auto" w:val="clear"/>
            <w:tcMar>
              <w:top w:type="dxa" w:w="60"/>
              <w:left w:type="dxa" w:w="110"/>
              <w:bottom w:type="dxa" w:w="60"/>
              <w:right w:type="dxa" w:w="110"/>
            </w:tcMar>
          </w:tcPr>
          <w:p>
            <w:pPr>
              <w:spacing w:after="0" w:line="252"/>
            </w:pPr>
            <w:r>
              <w:rPr>
                <w:rFonts w:ascii="Calibri" w:cs="Calibri" w:eastAsia="Calibri" w:hAnsi="Calibri"/>
                <w:b/>
                <w:bCs/>
                <w:color w:val="FFFFFF"/>
                <w:sz w:val="20"/>
                <w:szCs w:val="20"/>
              </w:rPr>
              <w:t xml:space="preserve">Measure</w:t>
            </w:r>
          </w:p>
        </w:tc>
        <w:tc>
          <w:tcPr>
            <w:tcW w:type="dxa" w:w="215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Low</w:t>
            </w:r>
          </w:p>
        </w:tc>
        <w:tc>
          <w:tcPr>
            <w:tcW w:type="dxa" w:w="2150"/>
            <w:shd w:fill="284A69" w:color="auto" w:val="clear"/>
            <w:tcMar>
              <w:top w:type="dxa" w:w="60"/>
              <w:left w:type="dxa" w:w="110"/>
              <w:bottom w:type="dxa" w:w="60"/>
              <w:right w:type="dxa" w:w="110"/>
            </w:tcMar>
          </w:tcPr>
          <w:p>
            <w:pPr>
              <w:spacing w:after="0" w:line="252"/>
              <w:jc w:val="right"/>
            </w:pPr>
            <w:r>
              <w:rPr>
                <w:rFonts w:ascii="Calibri" w:cs="Calibri" w:eastAsia="Calibri" w:hAnsi="Calibri"/>
                <w:b/>
                <w:bCs/>
                <w:color w:val="FFFFFF"/>
                <w:sz w:val="20"/>
                <w:szCs w:val="20"/>
              </w:rPr>
              <w:t xml:space="preserve">High</w:t>
            </w:r>
          </w:p>
        </w:tc>
      </w:tr>
      <w:tr>
        <w:tc>
          <w:tcPr>
            <w:tcW w:type="dxa" w:w="50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1. Retirement-incentive capture</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$500,000</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$800,000</w:t>
            </w:r>
          </w:p>
        </w:tc>
      </w:tr>
      <w:tr>
        <w:tc>
          <w:tcPr>
            <w:tcW w:type="dxa" w:w="50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2. Personnel and policy package</w:t>
            </w:r>
          </w:p>
        </w:tc>
        <w:tc>
          <w:tcPr>
            <w:tcW w:type="dxa" w:w="21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$640,321</w:t>
            </w:r>
          </w:p>
        </w:tc>
        <w:tc>
          <w:tcPr>
            <w:tcW w:type="dxa" w:w="21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$640,321</w:t>
            </w:r>
          </w:p>
        </w:tc>
      </w:tr>
      <w:tr>
        <w:tc>
          <w:tcPr>
            <w:tcW w:type="dxa" w:w="50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3. Lines audited before baseline</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$627,400</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$627,400</w:t>
            </w:r>
          </w:p>
        </w:tc>
      </w:tr>
      <w:tr>
        <w:tc>
          <w:tcPr>
            <w:tcW w:type="dxa" w:w="5060"/>
            <w:shd w:fill="F5F8FB" w:color="auto" w:val="clear"/>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4. Run-rate trims, firm confidence only</w:t>
            </w:r>
          </w:p>
        </w:tc>
        <w:tc>
          <w:tcPr>
            <w:tcW w:type="dxa" w:w="21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$828,210</w:t>
            </w:r>
          </w:p>
        </w:tc>
        <w:tc>
          <w:tcPr>
            <w:tcW w:type="dxa" w:w="2150"/>
            <w:shd w:fill="F5F8FB" w:color="auto" w:val="clear"/>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$828,210</w:t>
            </w:r>
          </w:p>
        </w:tc>
      </w:tr>
      <w:tr>
        <w:tc>
          <w:tcPr>
            <w:tcW w:type="dxa" w:w="50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5. Pension exclusion claimed</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$137,642</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$137,642</w:t>
            </w:r>
          </w:p>
        </w:tc>
      </w:tr>
      <w:tr>
        <w:tc>
          <w:tcPr>
            <w:tcW w:type="dxa" w:w="5060"/>
            <w:shd w:fill="FDF3DA" w:color="auto" w:val="clear"/>
            <w:tcMar>
              <w:top w:type="dxa" w:w="60"/>
              <w:left w:type="dxa" w:w="110"/>
              <w:bottom w:type="dxa" w:w="60"/>
              <w:right w:type="dxa" w:w="110"/>
            </w:tcMar>
          </w:tcPr>
          <w:p>
            <w:pPr>
              <w:spacing w:after="0" w:line="252"/>
            </w:pPr>
            <w:r>
              <w:rPr>
                <w:rFonts w:ascii="Calibri" w:cs="Calibri" w:eastAsia="Calibri" w:hAnsi="Calibri"/>
                <w:b/>
                <w:bCs/>
                <w:color w:val="1F2933"/>
                <w:sz w:val="20"/>
                <w:szCs w:val="20"/>
              </w:rPr>
              <w:t xml:space="preserve">Total</w:t>
            </w:r>
          </w:p>
        </w:tc>
        <w:tc>
          <w:tcPr>
            <w:tcW w:type="dxa" w:w="21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$2,733,573</w:t>
            </w:r>
          </w:p>
        </w:tc>
        <w:tc>
          <w:tcPr>
            <w:tcW w:type="dxa" w:w="21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$3,033,573</w:t>
            </w:r>
          </w:p>
        </w:tc>
      </w:tr>
      <w:tr>
        <w:tc>
          <w:tcPr>
            <w:tcW w:type="dxa" w:w="5060"/>
            <w:tcMar>
              <w:top w:type="dxa" w:w="60"/>
              <w:left w:type="dxa" w:w="110"/>
              <w:bottom w:type="dxa" w:w="60"/>
              <w:right w:type="dxa" w:w="110"/>
            </w:tcMar>
          </w:tcPr>
          <w:p>
            <w:pPr>
              <w:spacing w:after="0" w:line="252"/>
            </w:pPr>
            <w:r>
              <w:rPr>
                <w:rFonts w:ascii="Calibri" w:cs="Calibri" w:eastAsia="Calibri" w:hAnsi="Calibri"/>
                <w:color w:val="1F2933"/>
                <w:sz w:val="20"/>
                <w:szCs w:val="20"/>
              </w:rPr>
              <w:t xml:space="preserve">Gap to close</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$2,757,133</w:t>
            </w:r>
          </w:p>
        </w:tc>
        <w:tc>
          <w:tcPr>
            <w:tcW w:type="dxa" w:w="2150"/>
            <w:tcMar>
              <w:top w:type="dxa" w:w="60"/>
              <w:left w:type="dxa" w:w="110"/>
              <w:bottom w:type="dxa" w:w="60"/>
              <w:right w:type="dxa" w:w="110"/>
            </w:tcMar>
          </w:tcPr>
          <w:p>
            <w:pPr>
              <w:spacing w:after="0" w:line="252"/>
              <w:jc w:val="right"/>
            </w:pPr>
            <w:r>
              <w:rPr>
                <w:rFonts w:ascii="Calibri" w:cs="Calibri" w:eastAsia="Calibri" w:hAnsi="Calibri"/>
                <w:color w:val="1F2933"/>
                <w:sz w:val="20"/>
                <w:szCs w:val="20"/>
              </w:rPr>
              <w:t xml:space="preserve">$2,757,133</w:t>
            </w:r>
          </w:p>
        </w:tc>
      </w:tr>
      <w:tr>
        <w:tc>
          <w:tcPr>
            <w:tcW w:type="dxa" w:w="5060"/>
            <w:shd w:fill="FDF3DA" w:color="auto" w:val="clear"/>
            <w:tcMar>
              <w:top w:type="dxa" w:w="60"/>
              <w:left w:type="dxa" w:w="110"/>
              <w:bottom w:type="dxa" w:w="60"/>
              <w:right w:type="dxa" w:w="110"/>
            </w:tcMar>
          </w:tcPr>
          <w:p>
            <w:pPr>
              <w:spacing w:after="0" w:line="252"/>
            </w:pPr>
            <w:r>
              <w:rPr>
                <w:rFonts w:ascii="Calibri" w:cs="Calibri" w:eastAsia="Calibri" w:hAnsi="Calibri"/>
                <w:b/>
                <w:bCs/>
                <w:color w:val="1F2933"/>
                <w:sz w:val="20"/>
                <w:szCs w:val="20"/>
              </w:rPr>
              <w:t xml:space="preserve">Share of the gap covered</w:t>
            </w:r>
          </w:p>
        </w:tc>
        <w:tc>
          <w:tcPr>
            <w:tcW w:type="dxa" w:w="21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99%</w:t>
            </w:r>
          </w:p>
        </w:tc>
        <w:tc>
          <w:tcPr>
            <w:tcW w:type="dxa" w:w="2150"/>
            <w:shd w:fill="FDF3DA" w:color="auto" w:val="clear"/>
            <w:tcMar>
              <w:top w:type="dxa" w:w="60"/>
              <w:left w:type="dxa" w:w="110"/>
              <w:bottom w:type="dxa" w:w="60"/>
              <w:right w:type="dxa" w:w="110"/>
            </w:tcMar>
          </w:tcPr>
          <w:p>
            <w:pPr>
              <w:spacing w:after="0" w:line="252"/>
              <w:jc w:val="right"/>
            </w:pPr>
            <w:r>
              <w:rPr>
                <w:rFonts w:ascii="Calibri" w:cs="Calibri" w:eastAsia="Calibri" w:hAnsi="Calibri"/>
                <w:b/>
                <w:bCs/>
                <w:color w:val="1F2933"/>
                <w:sz w:val="20"/>
                <w:szCs w:val="20"/>
              </w:rPr>
              <w:t xml:space="preserve">110%</w:t>
            </w:r>
          </w:p>
        </w:tc>
      </w:tr>
    </w:tbl>
    <w:p>
      <w:pPr>
        <w:spacing w:after="220" w:before="60"/>
      </w:pPr>
      <w:r>
        <w:rPr>
          <w:rFonts w:ascii="Calibri" w:cs="Calibri" w:eastAsia="Calibri" w:hAnsi="Calibri"/>
          <w:color w:val="64748B"/>
          <w:sz w:val="17"/>
          <w:szCs w:val="17"/>
        </w:rPr>
        <w:t xml:space="preserve">Source: Components as cited in the specifications above.</w:t>
      </w:r>
    </w:p>
    <w:p>
      <w:pPr>
        <w:spacing w:after="200" w:line="264"/>
      </w:pPr>
      <w:r>
        <w:rPr>
          <w:rFonts w:ascii="Calibri" w:cs="Calibri" w:eastAsia="Calibri" w:hAnsi="Calibri"/>
          <w:color w:val="1F2933"/>
          <w:sz w:val="22"/>
          <w:szCs w:val="22"/>
        </w:rPr>
        <w:t xml:space="preserve">Assume I’m wrong about a good deal of this. Say half the trims turn out to be unavailable and the retirements come in at the low end. That still leaves about $1.9 million, which turns a $2.76 million override into a much smaller one you could actually explain at a public hearing.</w:t>
      </w:r>
    </w:p>
    <w:p>
      <w:pPr>
        <w:spacing w:after="140" w:before="300"/>
      </w:pPr>
      <w:r>
        <w:rPr>
          <w:rFonts w:ascii="Calibri" w:cs="Calibri" w:eastAsia="Calibri" w:hAnsi="Calibri"/>
          <w:b/>
          <w:bCs/>
          <w:color w:val="284A69"/>
          <w:sz w:val="23"/>
          <w:szCs w:val="23"/>
        </w:rPr>
        <w:t xml:space="preserve">Two things I’d steer you away from</w:t>
      </w:r>
    </w:p>
    <w:p>
      <w:pPr>
        <w:spacing w:after="200" w:line="264"/>
      </w:pPr>
      <w:r>
        <w:rPr>
          <w:rFonts w:ascii="Calibri" w:cs="Calibri" w:eastAsia="Calibri" w:hAnsi="Calibri"/>
          <w:b/>
          <w:bCs/>
          <w:color w:val="1F2933"/>
          <w:sz w:val="22"/>
          <w:szCs w:val="22"/>
        </w:rPr>
        <w:t xml:space="preserve">The across-the-board cut. </w:t>
      </w:r>
      <w:r>
        <w:rPr>
          <w:rFonts w:ascii="Calibri" w:cs="Calibri" w:eastAsia="Calibri" w:hAnsi="Calibri"/>
          <w:color w:val="1F2933"/>
          <w:sz w:val="22"/>
          <w:szCs w:val="22"/>
        </w:rPr>
        <w:t xml:space="preserve">Telling every department to find 2.5 percent sounds fair and it sounds like $1.7 million. It’s neither. Three-quarters of the General Fund is salaries, pensions, debt service, and insurance, none of which move because a memo says so. Apply the 2.5 percent only to what is genuinely controllable and you get about $725,967, less than the targeted items above. You’d also be cutting the departments that budgeted honestly by exactly as much as the ones that padded.</w:t>
      </w:r>
    </w:p>
    <w:p>
      <w:pPr>
        <w:spacing w:after="200" w:line="264"/>
      </w:pPr>
      <w:r>
        <w:rPr>
          <w:rFonts w:ascii="Calibri" w:cs="Calibri" w:eastAsia="Calibri" w:hAnsi="Calibri"/>
          <w:b/>
          <w:bCs/>
          <w:color w:val="1F2933"/>
          <w:sz w:val="22"/>
          <w:szCs w:val="22"/>
        </w:rPr>
        <w:t xml:space="preserve">Paying for it out of fund balance. </w:t>
      </w:r>
      <w:r>
        <w:rPr>
          <w:rFonts w:ascii="Calibri" w:cs="Calibri" w:eastAsia="Calibri" w:hAnsi="Calibri"/>
          <w:color w:val="1F2933"/>
          <w:sz w:val="22"/>
          <w:szCs w:val="22"/>
        </w:rPr>
        <w:t xml:space="preserve">This is the easiest vote in front of you. Nobody’s taxes go up, no service gets cut, no department gets a phone call. But the </w:t>
      </w:r>
      <w:r>
        <w:rPr>
          <w:rFonts w:ascii="Calibri" w:cs="Calibri" w:eastAsia="Calibri" w:hAnsi="Calibri"/>
          <w:color w:val="1F2933"/>
          <w:sz w:val="22"/>
          <w:szCs w:val="22"/>
        </w:rPr>
        <w:t xml:space="preserve">$2,757,133</w:t>
      </w:r>
      <w:r>
        <w:rPr>
          <w:rFonts w:ascii="Calibri" w:cs="Calibri" w:eastAsia="Calibri" w:hAnsi="Calibri"/>
          <w:color w:val="1F2933"/>
          <w:sz w:val="22"/>
          <w:szCs w:val="22"/>
        </w:rPr>
        <w:t xml:space="preserve"> is a bill that comes again every year, and the fund balance is a one-time check. Write it and the same gap is back in 2028 with about 8.3 percent less cushion behind it. Fund balance is the right tool for whatever is left over after the real measures; it’s the wrong tool for the whole thing.</w:t>
      </w:r>
    </w:p>
    <w:p>
      <w:pPr>
        <w:spacing w:after="140" w:before="300"/>
      </w:pPr>
      <w:r>
        <w:rPr>
          <w:rFonts w:ascii="Calibri" w:cs="Calibri" w:eastAsia="Calibri" w:hAnsi="Calibri"/>
          <w:b/>
          <w:bCs/>
          <w:color w:val="284A69"/>
          <w:sz w:val="23"/>
          <w:szCs w:val="23"/>
        </w:rPr>
        <w:t xml:space="preserve">Three other things worth doing this year</w:t>
      </w:r>
    </w:p>
    <w:p>
      <w:pPr>
        <w:spacing w:after="200" w:line="264"/>
      </w:pPr>
      <w:r>
        <w:rPr>
          <w:rFonts w:ascii="Calibri" w:cs="Calibri" w:eastAsia="Calibri" w:hAnsi="Calibri"/>
          <w:color w:val="1F2933"/>
          <w:sz w:val="22"/>
          <w:szCs w:val="22"/>
        </w:rPr>
        <w:t xml:space="preserve">None of these help with the 2027 gap. I’m raising them because this is the time of year they’d get decided, and two of them affect what the Town pays to borrow.</w:t>
      </w:r>
    </w:p>
    <w:p>
      <w:pPr>
        <w:spacing w:after="200" w:line="264"/>
      </w:pPr>
      <w:r>
        <w:rPr>
          <w:rFonts w:ascii="Calibri" w:cs="Calibri" w:eastAsia="Calibri" w:hAnsi="Calibri"/>
          <w:b/>
          <w:bCs/>
          <w:color w:val="1F2933"/>
          <w:sz w:val="22"/>
          <w:szCs w:val="22"/>
        </w:rPr>
        <w:t xml:space="preserve">Retiree health. </w:t>
      </w:r>
      <w:r>
        <w:rPr>
          <w:rFonts w:ascii="Calibri" w:cs="Calibri" w:eastAsia="Calibri" w:hAnsi="Calibri"/>
          <w:color w:val="1F2933"/>
          <w:sz w:val="22"/>
          <w:szCs w:val="22"/>
        </w:rPr>
        <w:t xml:space="preserve">Riverhead carries </w:t>
      </w:r>
      <w:r>
        <w:rPr>
          <w:rFonts w:ascii="Calibri" w:cs="Calibri" w:eastAsia="Calibri" w:hAnsi="Calibri"/>
          <w:color w:val="1F2933"/>
          <w:sz w:val="22"/>
          <w:szCs w:val="22"/>
        </w:rPr>
        <w:t xml:space="preserve">$152,597,117</w:t>
      </w:r>
      <w:r>
        <w:rPr>
          <w:rFonts w:ascii="Calibri" w:cs="Calibri" w:eastAsia="Calibri" w:hAnsi="Calibri"/>
          <w:color w:val="1F2933"/>
          <w:sz w:val="22"/>
          <w:szCs w:val="22"/>
        </w:rPr>
        <w:t xml:space="preserve"> in unfunded retiree health liability, paid year to year out of the operating budget — about </w:t>
      </w:r>
      <w:r>
        <w:rPr>
          <w:rFonts w:ascii="Calibri" w:cs="Calibri" w:eastAsia="Calibri" w:hAnsi="Calibri"/>
          <w:color w:val="1F2933"/>
          <w:sz w:val="22"/>
          <w:szCs w:val="22"/>
        </w:rPr>
        <w:t xml:space="preserve">$13,726</w:t>
      </w:r>
      <w:r>
        <w:rPr>
          <w:rFonts w:ascii="Calibri" w:cs="Calibri" w:eastAsia="Calibri" w:hAnsi="Calibri"/>
          <w:color w:val="1F2933"/>
          <w:sz w:val="22"/>
          <w:szCs w:val="22"/>
        </w:rPr>
        <w:t xml:space="preserve"> per resident, which is fourth highest among the ten Suffolk towns. When Moody’s upgraded the Town in 2021 it named this specifically as a drag. General Municipal Law § 6-r lets a town put that money in a trust and pre-fund it instead. This is worth more than it looks: an unfunded plan has to use a low discount rate, while a funded one can use its expected return, so actually funding the trust shrinks the reported liability rather than just improving how it looks. A first deposit out of surplus would be a real start.</w:t>
      </w:r>
    </w:p>
    <w:p>
      <w:pPr>
        <w:spacing w:after="200" w:line="264"/>
      </w:pPr>
      <w:r>
        <w:rPr>
          <w:rFonts w:ascii="Calibri" w:cs="Calibri" w:eastAsia="Calibri" w:hAnsi="Calibri"/>
          <w:b/>
          <w:bCs/>
          <w:color w:val="1F2933"/>
          <w:sz w:val="22"/>
          <w:szCs w:val="22"/>
        </w:rPr>
        <w:t xml:space="preserve">A written fund-balance policy. </w:t>
      </w:r>
      <w:r>
        <w:rPr>
          <w:rFonts w:ascii="Calibri" w:cs="Calibri" w:eastAsia="Calibri" w:hAnsi="Calibri"/>
          <w:color w:val="1F2933"/>
          <w:sz w:val="22"/>
          <w:szCs w:val="22"/>
        </w:rPr>
        <w:t xml:space="preserve">Unassigned General Fund balance stood at </w:t>
      </w:r>
      <w:r>
        <w:rPr>
          <w:rFonts w:ascii="Calibri" w:cs="Calibri" w:eastAsia="Calibri" w:hAnsi="Calibri"/>
          <w:color w:val="1F2933"/>
          <w:sz w:val="22"/>
          <w:szCs w:val="22"/>
        </w:rPr>
        <w:t xml:space="preserve">$29,671,084</w:t>
      </w:r>
      <w:r>
        <w:rPr>
          <w:rFonts w:ascii="Calibri" w:cs="Calibri" w:eastAsia="Calibri" w:hAnsi="Calibri"/>
          <w:color w:val="1F2933"/>
          <w:sz w:val="22"/>
          <w:szCs w:val="22"/>
        </w:rPr>
        <w:t xml:space="preserve"> at the end of 2025, or about 42.9 percent of General Fund spending. The usual target is 15 to 20 percent; Southampton’s written policy says 17. Having a large cushion is a good thing and the rating agencies reward it. The gap is that Riverhead has no written policy saying what the target is, and the towns rated above it do.</w:t>
      </w:r>
    </w:p>
    <w:p>
      <w:pPr>
        <w:spacing w:after="200" w:line="264"/>
      </w:pPr>
      <w:r>
        <w:rPr>
          <w:rFonts w:ascii="Calibri" w:cs="Calibri" w:eastAsia="Calibri" w:hAnsi="Calibri"/>
          <w:b/>
          <w:bCs/>
          <w:color w:val="1F2933"/>
          <w:sz w:val="22"/>
          <w:szCs w:val="22"/>
        </w:rPr>
        <w:t xml:space="preserve">Community housing. </w:t>
      </w:r>
      <w:r>
        <w:rPr>
          <w:rFonts w:ascii="Calibri" w:cs="Calibri" w:eastAsia="Calibri" w:hAnsi="Calibri"/>
          <w:color w:val="1F2933"/>
          <w:sz w:val="22"/>
          <w:szCs w:val="22"/>
        </w:rPr>
        <w:t xml:space="preserve">Riverhead remains the only one of the five Peconic Bay towns without a community housing fund, and without the community housing plan state law requires before such money may be spent. On the Town’s own audited transfer-tax revenue, the half-percent housing tax the other four levy would have raised roughly </w:t>
      </w:r>
      <w:r>
        <w:rPr>
          <w:rFonts w:ascii="Calibri" w:cs="Calibri" w:eastAsia="Calibri" w:hAnsi="Calibri"/>
          <w:color w:val="1F2933"/>
          <w:sz w:val="22"/>
          <w:szCs w:val="22"/>
        </w:rPr>
        <w:t xml:space="preserve">$5,479,894 to $5,925,486</w:t>
      </w:r>
      <w:r>
        <w:rPr>
          <w:rFonts w:ascii="Calibri" w:cs="Calibri" w:eastAsia="Calibri" w:hAnsi="Calibri"/>
          <w:color w:val="1F2933"/>
          <w:sz w:val="22"/>
          <w:szCs w:val="22"/>
        </w:rPr>
        <w:t xml:space="preserve"> here between 2023 and 2025. Whether Riverhead should join them is a real policy question with arguments on both sides, and I’m not going to pretend otherwise in a budget letter. I would only note that under the statute the tax itself would go to the voters at a referendum, not to the Board. Whatever the answer, it would be better arrived at on purpose than by letting another year pass.</w:t>
      </w:r>
    </w:p>
    <w:p>
      <w:pPr>
        <w:spacing w:after="140" w:before="300"/>
      </w:pPr>
      <w:r>
        <w:rPr>
          <w:rFonts w:ascii="Calibri" w:cs="Calibri" w:eastAsia="Calibri" w:hAnsi="Calibri"/>
          <w:b/>
          <w:bCs/>
          <w:color w:val="284A69"/>
          <w:sz w:val="23"/>
          <w:szCs w:val="23"/>
        </w:rPr>
        <w:t xml:space="preserve">Credit where it’s due</w:t>
      </w:r>
    </w:p>
    <w:p>
      <w:pPr>
        <w:spacing w:after="200" w:line="264"/>
      </w:pPr>
      <w:r>
        <w:rPr>
          <w:rFonts w:ascii="Calibri" w:cs="Calibri" w:eastAsia="Calibri" w:hAnsi="Calibri"/>
          <w:color w:val="1F2933"/>
          <w:sz w:val="22"/>
          <w:szCs w:val="22"/>
        </w:rPr>
        <w:t xml:space="preserve">At the same July 7 meeting, the Board voted unanimously to pay off the remaining Community Preservation Fund land-preservation debt about five years early, using $7.2 million of CPF balance and roughly $92,000 from the General Fund, and saving an estimated $660,000 in interest. That’s exactly the right thing to do with one-time money: kill a recurring bill instead of starting one. It got very little attention and it deserved more.</w:t>
      </w:r>
    </w:p>
    <w:p>
      <w:pPr>
        <w:spacing w:after="200" w:line="264"/>
      </w:pPr>
      <w:r>
        <w:rPr>
          <w:rFonts w:ascii="Calibri" w:cs="Calibri" w:eastAsia="Calibri" w:hAnsi="Calibri"/>
          <w:color w:val="1F2933"/>
          <w:sz w:val="22"/>
          <w:szCs w:val="22"/>
        </w:rPr>
        <w:t xml:space="preserve">Everything above comes from documents the Town has already published, and where I have estimated something rather than read it off a page, I have said so. I’m happy to sit down with your Financial Administrator and go through any of it, or to send the underlying spreadsheets.</w:t>
      </w:r>
    </w:p>
    <w:p>
      <w:pPr>
        <w:spacing w:after="300" w:line="264"/>
      </w:pPr>
      <w:r>
        <w:rPr>
          <w:rFonts w:ascii="Calibri" w:cs="Calibri" w:eastAsia="Calibri" w:hAnsi="Calibri"/>
          <w:color w:val="1F2933"/>
          <w:sz w:val="22"/>
          <w:szCs w:val="22"/>
        </w:rPr>
        <w:t xml:space="preserve">Thank you for reading this far. I know what the next six weeks look like for your office, and I appreciate the time.</w:t>
      </w:r>
    </w:p>
    <w:p>
      <w:pPr>
        <w:spacing w:after="520" w:line="264"/>
      </w:pPr>
      <w:r>
        <w:rPr>
          <w:rFonts w:ascii="Calibri" w:cs="Calibri" w:eastAsia="Calibri" w:hAnsi="Calibri"/>
          <w:color w:val="1F2933"/>
          <w:sz w:val="22"/>
          <w:szCs w:val="22"/>
        </w:rPr>
        <w:t xml:space="preserve">Sincerely,</w:t>
      </w:r>
    </w:p>
    <w:p>
      <w:pPr>
        <w:spacing w:after="0" w:line="264"/>
      </w:pPr>
      <w:r>
        <w:rPr>
          <w:rFonts w:ascii="Calibri" w:cs="Calibri" w:eastAsia="Calibri" w:hAnsi="Calibri"/>
          <w:color w:val="1F2933"/>
          <w:sz w:val="22"/>
          <w:szCs w:val="22"/>
        </w:rPr>
        <w:t xml:space="preserve">[Your Name]</w:t>
      </w:r>
    </w:p>
    <w:p>
      <w:pPr>
        <w:spacing w:after="300" w:line="264"/>
      </w:pPr>
      <w:r>
        <w:rPr>
          <w:rFonts w:ascii="Calibri" w:cs="Calibri" w:eastAsia="Calibri" w:hAnsi="Calibri"/>
          <w:color w:val="1F2933"/>
          <w:sz w:val="22"/>
          <w:szCs w:val="22"/>
        </w:rPr>
        <w:t xml:space="preserve">Riverhead, New York</w:t>
      </w:r>
    </w:p>
    <w:p>
      <w:pPr>
        <w:spacing w:after="120"/>
      </w:pPr>
      <w:r>
        <w:rPr>
          <w:rFonts w:ascii="Calibri" w:cs="Calibri" w:eastAsia="Calibri" w:hAnsi="Calibri"/>
          <w:b/>
          <w:bCs/>
          <w:color w:val="284A69"/>
          <w:sz w:val="21"/>
          <w:szCs w:val="21"/>
        </w:rPr>
        <w:t xml:space="preserve">Enclosures</w:t>
      </w:r>
    </w:p>
    <w:p>
      <w:pPr>
        <w:spacing w:after="0" w:line="264"/>
      </w:pPr>
      <w:r>
        <w:rPr>
          <w:rFonts w:ascii="Calibri" w:cs="Calibri" w:eastAsia="Calibri" w:hAnsi="Calibri"/>
          <w:color w:val="1F2933"/>
          <w:sz w:val="19"/>
          <w:szCs w:val="19"/>
        </w:rPr>
        <w:t xml:space="preserve">1.  Sources — 2026 Adopted Budget; 2026 Budget Supplement; 2025 Annual Financial Report; 2023 Audited Basic Financial Statements; Town Board minutes of July 7, 2026; NYS Comptroller employer contribution rates for SFY 2026-27; Town of Southampton 2026 Adopted Budget.</w:t>
      </w:r>
    </w:p>
    <w:p>
      <w:pPr>
        <w:spacing w:after="200" w:line="264"/>
      </w:pPr>
      <w:r>
        <w:rPr>
          <w:rFonts w:ascii="Calibri" w:cs="Calibri" w:eastAsia="Calibri" w:hAnsi="Calibri"/>
          <w:color w:val="1F2933"/>
          <w:sz w:val="19"/>
          <w:szCs w:val="19"/>
        </w:rPr>
        <w:t xml:space="preserve">2.  Supporting datasets, rike4545.github.io/Riverhead-NY-Budget-Web-App</w:t>
      </w:r>
    </w:p>
    <w:p>
      <w:pPr>
        <w:spacing w:after="200" w:line="264"/>
      </w:pPr>
      <w:r>
        <w:rPr>
          <w:rFonts w:ascii="Calibri" w:cs="Calibri" w:eastAsia="Calibri" w:hAnsi="Calibri"/>
          <w:i/>
          <w:iCs/>
          <w:color w:val="5A6675"/>
          <w:sz w:val="18"/>
          <w:szCs w:val="18"/>
        </w:rPr>
        <w:t xml:space="preserve">A note on method. </w:t>
      </w:r>
      <w:r>
        <w:rPr>
          <w:rFonts w:ascii="Calibri" w:cs="Calibri" w:eastAsia="Calibri" w:hAnsi="Calibri"/>
          <w:i/>
          <w:iCs/>
          <w:color w:val="5A6675"/>
          <w:sz w:val="18"/>
          <w:szCs w:val="18"/>
        </w:rPr>
        <w:t xml:space="preserve">The 2027 projections carry each category forward on each bargaining unit’s own contract terms where a contract exists, and on trailing averages where none does. The PBA and SOA agreements both expire December 31, 2026 with no public successor, so those lines are placeholders rather than forecasts. The cap figure is an estimate — the true ceiling rises somewhat once the tax-base growth factor and all exclusions are applied, which would narrow the gap. Savings figures are modeled, not booked. This letter is the work of a Riverhead resident, carries no audit or legal opinion, and is offered as constructive input to the 2027 budget process.</w:t>
      </w:r>
    </w:p>
    <w:sectPr>
      <w:footerReference w:type="default" r:id="rId7"/>
      <w:pgSz w:w="12240" w:h="15840" w:orient="portrait"/>
      <w:pgMar w:top="1440" w:right="1440" w:bottom="1200" w:left="1440" w:header="708"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94A3B8"/>
        <w:sz w:val="17"/>
        <w:szCs w:val="17"/>
      </w:rPr>
      <w:t xml:space="preserve">Page </w:t>
    </w:r>
    <w:r>
      <w:rPr>
        <w:rFonts w:ascii="Calibri" w:cs="Calibri" w:eastAsia="Calibri" w:hAnsi="Calibri"/>
        <w:color w:val="94A3B8"/>
        <w:sz w:val="17"/>
        <w:szCs w:val="17"/>
      </w:rPr>
      <w:fldChar w:fldCharType="begin"/>
      <w:instrText xml:space="preserve">PAGE</w:instrText>
      <w:fldChar w:fldCharType="separate"/>
      <w:fldChar w:fldCharType="end"/>
    </w:r>
    <w:r>
      <w:rPr>
        <w:rFonts w:ascii="Calibri" w:cs="Calibri" w:eastAsia="Calibri" w:hAnsi="Calibri"/>
        <w:color w:val="94A3B8"/>
        <w:sz w:val="17"/>
        <w:szCs w:val="17"/>
      </w:rPr>
      <w:t xml:space="preserve"> of </w:t>
    </w:r>
    <w:r>
      <w:rPr>
        <w:rFonts w:ascii="Calibri" w:cs="Calibri" w:eastAsia="Calibri" w:hAnsi="Calibri"/>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Supervisor Halpin — Closing the 2027 Tax-Cap Gap</dc:title>
  <dc:creator>Riverhead Budget Live</dc:creator>
  <cp:lastModifiedBy>Un-named</cp:lastModifiedBy>
  <cp:revision>1</cp:revision>
  <dcterms:created xsi:type="dcterms:W3CDTF">2026-08-19T20:03:46.996Z</dcterms:created>
  <dcterms:modified xsi:type="dcterms:W3CDTF">2026-08-19T20:03:46.996Z</dcterms:modified>
</cp:coreProperties>
</file>

<file path=docProps/custom.xml><?xml version="1.0" encoding="utf-8"?>
<Properties xmlns="http://schemas.openxmlformats.org/officeDocument/2006/custom-properties" xmlns:vt="http://schemas.openxmlformats.org/officeDocument/2006/docPropsVTypes"/>
</file>