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rFonts w:ascii="Calibri" w:cs="Calibri" w:eastAsia="Calibri" w:hAnsi="Calibri"/>
          <w:b/>
          <w:bCs/>
          <w:color w:val="9B6B12"/>
          <w:sz w:val="17"/>
          <w:szCs w:val="17"/>
        </w:rPr>
        <w:t xml:space="preserve">RIVERHEAD BUDGET LIVE</w:t>
      </w:r>
    </w:p>
    <w:p>
      <w:pPr>
        <w:spacing w:after="260" w:line="276"/>
      </w:pPr>
      <w:r>
        <w:rPr>
          <w:rFonts w:ascii="Calibri" w:cs="Calibri" w:eastAsia="Calibri" w:hAnsi="Calibri"/>
          <w:i/>
          <w:iCs/>
          <w:color w:val="64748B"/>
          <w:sz w:val="17"/>
          <w:szCs w:val="17"/>
        </w:rPr>
        <w:t xml:space="preserve">An independent, resident-built fiscal analysis project — not an official Town document</w:t>
      </w:r>
    </w:p>
    <w:p>
      <w:pPr>
        <w:pStyle w:val="Title"/>
        <w:spacing w:after="160"/>
      </w:pPr>
      <w:r>
        <w:rPr>
          <w:rFonts w:ascii="Calibri" w:cs="Calibri" w:eastAsia="Calibri" w:hAnsi="Calibri"/>
          <w:b/>
          <w:bCs/>
          <w:color w:val="284A69"/>
          <w:sz w:val="40"/>
          <w:szCs w:val="40"/>
        </w:rPr>
        <w:t xml:space="preserve">Closing the 2027 Tax-Cap Gap Without an Override</w:t>
      </w:r>
    </w:p>
    <w:p>
      <w:pPr>
        <w:spacing w:after="240" w:line="276"/>
      </w:pPr>
      <w:r>
        <w:rPr>
          <w:rFonts w:ascii="Calibri" w:cs="Calibri" w:eastAsia="Calibri" w:hAnsi="Calibri"/>
          <w:color w:val="475569"/>
          <w:sz w:val="24"/>
          <w:szCs w:val="24"/>
        </w:rPr>
        <w:t xml:space="preserve">Five budget measures that together cover a projected $2.76 million gap — built from the Town’s own adopted budget, budget supplement, and audited financial reports.</w:t>
      </w:r>
    </w:p>
    <w:p>
      <w:pPr>
        <w:pBdr>
          <w:bottom w:val="single" w:color="9B6B12" w:sz="6"/>
        </w:pBdr>
        <w:spacing w:after="160" w:before="60"/>
      </w:pPr>
      <w:r>
        <w:rPr>
          <w:sz w:val="2"/>
          <w:szCs w:val="2"/>
        </w:rPr>
        <w:t xml:space="preserve"/>
      </w:r>
    </w:p>
    <w:tbl>
      <w:tblPr>
        <w:tblW w:type="dxa" w:w="9360"/>
        <w:tblBorders>
          <w:top w:val="single" w:color="C8D3DE" w:sz="2"/>
          <w:left w:val="single" w:color="C8D3DE" w:sz="2"/>
          <w:bottom w:val="single" w:color="C8D3DE" w:sz="2"/>
          <w:right w:val="single" w:color="C8D3DE" w:sz="2"/>
          <w:insideH w:val="single" w:color="DCE4EC" w:sz="2"/>
          <w:insideV w:val="single" w:color="DCE4EC" w:sz="2"/>
        </w:tblBorders>
      </w:tblPr>
      <w:tblGrid>
        <w:gridCol w:w="1900"/>
        <w:gridCol w:w="7460"/>
      </w:tblGrid>
      <w:tr>
        <w:tc>
          <w:tcPr>
            <w:tcW w:type="dxa" w:w="190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Prepared for</w:t>
            </w:r>
          </w:p>
        </w:tc>
        <w:tc>
          <w:tcPr>
            <w:tcW w:type="dxa" w:w="74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Supervisor Jerry Halpin, Town of Riverhead</w:t>
            </w:r>
          </w:p>
        </w:tc>
      </w:tr>
      <w:tr>
        <w:tc>
          <w:tcPr>
            <w:tcW w:type="dxa" w:w="190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Copy to</w:t>
            </w:r>
          </w:p>
        </w:tc>
        <w:tc>
          <w:tcPr>
            <w:tcW w:type="dxa" w:w="74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Councilwoman Denise Merrifield · Councilwoman Joann Waski · Councilman Kenneth Rothwell · Councilman Robert Kern</w:t>
            </w:r>
          </w:p>
        </w:tc>
      </w:tr>
      <w:tr>
        <w:tc>
          <w:tcPr>
            <w:tcW w:type="dxa" w:w="190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Prepared by</w:t>
            </w:r>
          </w:p>
        </w:tc>
        <w:tc>
          <w:tcPr>
            <w:tcW w:type="dxa" w:w="74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[Your name], Riverhead resident — rike4545.github.io/Riverhead-NY-Budget-Web-App</w:t>
            </w:r>
          </w:p>
        </w:tc>
      </w:tr>
      <w:tr>
        <w:tc>
          <w:tcPr>
            <w:tcW w:type="dxa" w:w="190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Date</w:t>
            </w:r>
          </w:p>
        </w:tc>
        <w:tc>
          <w:tcPr>
            <w:tcW w:type="dxa" w:w="74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August 2026</w:t>
            </w:r>
          </w:p>
        </w:tc>
      </w:tr>
      <w:tr>
        <w:tc>
          <w:tcPr>
            <w:tcW w:type="dxa" w:w="190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Subject</w:t>
            </w:r>
          </w:p>
        </w:tc>
        <w:tc>
          <w:tcPr>
            <w:tcW w:type="dxa" w:w="74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Recommendations for the 2027 tentative budget, due to the Town Clerk by September 30</w:t>
            </w:r>
          </w:p>
        </w:tc>
      </w:tr>
    </w:tbl>
    <w:p>
      <w:pPr>
        <w:spacing w:after="60" w:line="276"/>
      </w:pPr>
      <w:r>
        <w:rPr>
          <w:rFonts w:ascii="Calibri" w:cs="Calibri" w:eastAsia="Calibri" w:hAnsi="Calibri"/>
          <w:color w:val="1F2933"/>
          <w:sz w:val="21"/>
          <w:szCs w:val="21"/>
        </w:rPr>
        <w:t xml:space="preserve"/>
      </w:r>
    </w:p>
    <w:p>
      <w:pPr>
        <w:pStyle w:val="Heading1"/>
        <w:spacing w:after="140" w:before="340"/>
      </w:pPr>
      <w:r>
        <w:rPr>
          <w:rFonts w:ascii="Calibri" w:cs="Calibri" w:eastAsia="Calibri" w:hAnsi="Calibri"/>
          <w:b/>
          <w:bCs/>
          <w:color w:val="284A69"/>
          <w:sz w:val="28"/>
          <w:szCs w:val="28"/>
        </w:rPr>
        <w:t xml:space="preserve">Summary</w:t>
      </w:r>
    </w:p>
    <w:p>
      <w:pPr>
        <w:spacing w:after="120" w:line="276"/>
      </w:pPr>
      <w:r>
        <w:rPr>
          <w:rFonts w:ascii="Calibri" w:cs="Calibri" w:eastAsia="Calibri" w:hAnsi="Calibri"/>
          <w:color w:val="1F2933"/>
          <w:sz w:val="21"/>
          <w:szCs w:val="21"/>
        </w:rPr>
        <w:t xml:space="preserve">On current trend the 2027 budget pierces the state tax cap by about </w:t>
      </w:r>
      <w:r>
        <w:rPr>
          <w:rFonts w:ascii="Calibri" w:cs="Calibri" w:eastAsia="Calibri" w:hAnsi="Calibri"/>
          <w:b/>
          <w:bCs/>
          <w:color w:val="1F2933"/>
          <w:sz w:val="21"/>
          <w:szCs w:val="21"/>
        </w:rPr>
        <w:t xml:space="preserve">$2,757,133</w:t>
      </w:r>
      <w:r>
        <w:rPr>
          <w:rFonts w:ascii="Calibri" w:cs="Calibri" w:eastAsia="Calibri" w:hAnsi="Calibri"/>
          <w:color w:val="1F2933"/>
          <w:sz w:val="21"/>
          <w:szCs w:val="21"/>
        </w:rPr>
        <w:t xml:space="preserve">. This memo identifies </w:t>
      </w:r>
      <w:r>
        <w:rPr>
          <w:rFonts w:ascii="Calibri" w:cs="Calibri" w:eastAsia="Calibri" w:hAnsi="Calibri"/>
          <w:b/>
          <w:bCs/>
          <w:color w:val="1F2933"/>
          <w:sz w:val="21"/>
          <w:szCs w:val="21"/>
        </w:rPr>
        <w:t xml:space="preserve">$2,733,573–$3,033,573</w:t>
      </w:r>
      <w:r>
        <w:rPr>
          <w:rFonts w:ascii="Calibri" w:cs="Calibri" w:eastAsia="Calibri" w:hAnsi="Calibri"/>
          <w:color w:val="1F2933"/>
          <w:sz w:val="21"/>
          <w:szCs w:val="21"/>
        </w:rPr>
        <w:t xml:space="preserve"> of measures that close it — without an override, without a service reduction, and without spending one-time reserves on recurring cost.</w:t>
      </w:r>
    </w:p>
    <w:p>
      <w:pPr>
        <w:spacing w:after="120" w:line="276"/>
      </w:pPr>
      <w:r>
        <w:rPr>
          <w:rFonts w:ascii="Calibri" w:cs="Calibri" w:eastAsia="Calibri" w:hAnsi="Calibri"/>
          <w:color w:val="1F2933"/>
          <w:sz w:val="21"/>
          <w:szCs w:val="21"/>
        </w:rPr>
        <w:t xml:space="preserve">The package is deliberately built from the least contestable material available:</w:t>
      </w:r>
    </w:p>
    <w:p>
      <w:pPr>
        <w:pStyle w:val="ListParagraph"/>
        <w:numPr>
          <w:ilvl w:val="0"/>
          <w:numId w:val="2"/>
        </w:numPr>
        <w:spacing w:after="90" w:line="276"/>
      </w:pPr>
      <w:r>
        <w:rPr>
          <w:rFonts w:ascii="Calibri" w:cs="Calibri" w:eastAsia="Calibri" w:hAnsi="Calibri"/>
          <w:sz w:val="21"/>
          <w:szCs w:val="21"/>
        </w:rPr>
        <w:t xml:space="preserve">Savings the Board has already voted for unanimously — the July 2026 retirement incentives.</w:t>
      </w:r>
    </w:p>
    <w:p>
      <w:pPr>
        <w:pStyle w:val="ListParagraph"/>
        <w:numPr>
          <w:ilvl w:val="0"/>
          <w:numId w:val="2"/>
        </w:numPr>
        <w:spacing w:after="90" w:line="276"/>
      </w:pPr>
      <w:r>
        <w:rPr>
          <w:rFonts w:ascii="Calibri" w:cs="Calibri" w:eastAsia="Calibri" w:hAnsi="Calibri"/>
          <w:sz w:val="21"/>
          <w:szCs w:val="21"/>
        </w:rPr>
        <w:t xml:space="preserve">Personnel and policy choices that require a Board resolution, not a labor negotiation.</w:t>
      </w:r>
    </w:p>
    <w:p>
      <w:pPr>
        <w:pStyle w:val="ListParagraph"/>
        <w:numPr>
          <w:ilvl w:val="0"/>
          <w:numId w:val="2"/>
        </w:numPr>
        <w:spacing w:after="90" w:line="276"/>
      </w:pPr>
      <w:r>
        <w:rPr>
          <w:rFonts w:ascii="Calibri" w:cs="Calibri" w:eastAsia="Calibri" w:hAnsi="Calibri"/>
          <w:sz w:val="21"/>
          <w:szCs w:val="21"/>
        </w:rPr>
        <w:t xml:space="preserve">Budget lines the Town’s own 2026 Budget Supplement shows growing far faster than their own trailing actuals — including one that rose 800% and another 1,563%.</w:t>
      </w:r>
    </w:p>
    <w:p>
      <w:pPr>
        <w:pStyle w:val="ListParagraph"/>
        <w:numPr>
          <w:ilvl w:val="0"/>
          <w:numId w:val="2"/>
        </w:numPr>
        <w:spacing w:after="90" w:line="276"/>
      </w:pPr>
      <w:r>
        <w:rPr>
          <w:rFonts w:ascii="Calibri" w:cs="Calibri" w:eastAsia="Calibri" w:hAnsi="Calibri"/>
          <w:sz w:val="21"/>
          <w:szCs w:val="21"/>
        </w:rPr>
        <w:t xml:space="preserve">A tax-cap exclusion the Town is legally entitled to claim and should not leave on the table.</w:t>
      </w:r>
    </w:p>
    <w:p>
      <w:pPr>
        <w:spacing w:after="200" w:line="276"/>
      </w:pPr>
      <w:r>
        <w:rPr>
          <w:rFonts w:ascii="Calibri" w:cs="Calibri" w:eastAsia="Calibri" w:hAnsi="Calibri"/>
          <w:color w:val="1F2933"/>
          <w:sz w:val="21"/>
          <w:szCs w:val="21"/>
        </w:rPr>
        <w:t xml:space="preserve">Nothing here requires reopening a union contract. The single largest item — the retirement incentive — is already adopted; the work is banking the savings rather than refilling every vacated post at the same step.</w:t>
      </w:r>
    </w:p>
    <w:p>
      <w:pPr>
        <w:pStyle w:val="Heading1"/>
        <w:spacing w:after="140" w:before="340"/>
      </w:pPr>
      <w:r>
        <w:rPr>
          <w:rFonts w:ascii="Calibri" w:cs="Calibri" w:eastAsia="Calibri" w:hAnsi="Calibri"/>
          <w:b/>
          <w:bCs/>
          <w:color w:val="284A69"/>
          <w:sz w:val="28"/>
          <w:szCs w:val="28"/>
        </w:rPr>
        <w:t xml:space="preserve">1. The constraint</w:t>
      </w:r>
    </w:p>
    <w:p>
      <w:pPr>
        <w:spacing w:after="120" w:line="276"/>
      </w:pPr>
      <w:r>
        <w:rPr>
          <w:rFonts w:ascii="Calibri" w:cs="Calibri" w:eastAsia="Calibri" w:hAnsi="Calibri"/>
          <w:color w:val="1F2933"/>
          <w:sz w:val="21"/>
          <w:szCs w:val="21"/>
        </w:rPr>
        <w:t xml:space="preserve">Riverhead’s 2027 spending plan, projected forward from the adopted 2026 budget and each bargaining unit’s own contract terms, grows faster than the levy the cap allows.</w:t>
      </w:r>
    </w:p>
    <w:tbl>
      <w:tblPr>
        <w:tblW w:type="dxa" w:w="9360"/>
        <w:tblBorders>
          <w:top w:val="single" w:color="C8D3DE" w:sz="2"/>
          <w:left w:val="single" w:color="C8D3DE" w:sz="2"/>
          <w:bottom w:val="single" w:color="C8D3DE" w:sz="2"/>
          <w:right w:val="single" w:color="C8D3DE" w:sz="2"/>
          <w:insideH w:val="single" w:color="DCE4EC" w:sz="2"/>
          <w:insideV w:val="single" w:color="DCE4EC" w:sz="2"/>
        </w:tblBorders>
      </w:tblPr>
      <w:tblGrid>
        <w:gridCol w:w="4260"/>
        <w:gridCol w:w="2550"/>
        <w:gridCol w:w="2550"/>
      </w:tblGrid>
      <w:tr>
        <w:trPr>
          <w:tblHeader/>
        </w:trPr>
        <w:tc>
          <w:tcPr>
            <w:tcW w:type="dxa" w:w="4260"/>
            <w:shd w:fill="284A6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2550"/>
            <w:shd w:fill="284A6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Amount</w:t>
            </w:r>
          </w:p>
        </w:tc>
        <w:tc>
          <w:tcPr>
            <w:tcW w:type="dxa" w:w="2550"/>
            <w:shd w:fill="284A6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Change</w:t>
            </w:r>
          </w:p>
        </w:tc>
      </w:tr>
      <w:tr>
        <w:tc>
          <w:tcPr>
            <w:tcW w:type="dxa" w:w="42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2026 adopted appropriations (all funds)</w:t>
            </w:r>
          </w:p>
        </w:tc>
        <w:tc>
          <w:tcPr>
            <w:tcW w:type="dxa" w:w="25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$121,110,904</w:t>
            </w:r>
          </w:p>
        </w:tc>
        <w:tc>
          <w:tcPr>
            <w:tcW w:type="dxa" w:w="25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w:t>
            </w:r>
          </w:p>
        </w:tc>
      </w:tr>
      <w:tr>
        <w:tc>
          <w:tcPr>
            <w:tcW w:type="dxa" w:w="42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2027 projected appropriations</w:t>
            </w:r>
          </w:p>
        </w:tc>
        <w:tc>
          <w:tcPr>
            <w:tcW w:type="dxa" w:w="255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$126,290,255</w:t>
            </w:r>
          </w:p>
        </w:tc>
        <w:tc>
          <w:tcPr>
            <w:tcW w:type="dxa" w:w="255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+$5,179,351 (+4.28%)</w:t>
            </w:r>
          </w:p>
        </w:tc>
      </w:tr>
      <w:tr>
        <w:tc>
          <w:tcPr>
            <w:tcW w:type="dxa" w:w="42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2026 town-wide levy</w:t>
            </w:r>
          </w:p>
        </w:tc>
        <w:tc>
          <w:tcPr>
            <w:tcW w:type="dxa" w:w="25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$65,343,939</w:t>
            </w:r>
          </w:p>
        </w:tc>
        <w:tc>
          <w:tcPr>
            <w:tcW w:type="dxa" w:w="25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w:t>
            </w:r>
          </w:p>
        </w:tc>
      </w:tr>
      <w:tr>
        <w:tc>
          <w:tcPr>
            <w:tcW w:type="dxa" w:w="42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2027 projected levy</w:t>
            </w:r>
          </w:p>
        </w:tc>
        <w:tc>
          <w:tcPr>
            <w:tcW w:type="dxa" w:w="255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$69,407,951</w:t>
            </w:r>
          </w:p>
        </w:tc>
        <w:tc>
          <w:tcPr>
            <w:tcW w:type="dxa" w:w="255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+6.2%</w:t>
            </w:r>
          </w:p>
        </w:tc>
      </w:tr>
      <w:tr>
        <w:tc>
          <w:tcPr>
            <w:tcW w:type="dxa" w:w="42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Levy the 2% cap allows</w:t>
            </w:r>
          </w:p>
        </w:tc>
        <w:tc>
          <w:tcPr>
            <w:tcW w:type="dxa" w:w="25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$66,650,818</w:t>
            </w:r>
          </w:p>
        </w:tc>
        <w:tc>
          <w:tcPr>
            <w:tcW w:type="dxa" w:w="25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w:t>
            </w:r>
          </w:p>
        </w:tc>
      </w:tr>
      <w:tr>
        <w:tc>
          <w:tcPr>
            <w:tcW w:type="dxa" w:w="4260"/>
            <w:shd w:fill="FDF3DA" w:color="auto" w:val="clear"/>
            <w:tcMar>
              <w:top w:type="dxa" w:w="70"/>
              <w:left w:type="dxa" w:w="110"/>
              <w:bottom w:type="dxa" w:w="70"/>
              <w:right w:type="dxa" w:w="110"/>
            </w:tcMar>
          </w:tcPr>
          <w:p>
            <w:pPr>
              <w:spacing w:after="0" w:line="250"/>
            </w:pPr>
            <w:r>
              <w:rPr>
                <w:rFonts w:ascii="Calibri" w:cs="Calibri" w:eastAsia="Calibri" w:hAnsi="Calibri"/>
                <w:b/>
                <w:bCs/>
                <w:color w:val="1F2933"/>
                <w:sz w:val="19"/>
                <w:szCs w:val="19"/>
              </w:rPr>
              <w:t xml:space="preserve">Projected gap above the cap</w:t>
            </w:r>
          </w:p>
        </w:tc>
        <w:tc>
          <w:tcPr>
            <w:tcW w:type="dxa" w:w="2550"/>
            <w:shd w:fill="FDF3DA" w:color="auto" w:val="clear"/>
            <w:tcMar>
              <w:top w:type="dxa" w:w="70"/>
              <w:left w:type="dxa" w:w="110"/>
              <w:bottom w:type="dxa" w:w="70"/>
              <w:right w:type="dxa" w:w="110"/>
            </w:tcMar>
          </w:tcPr>
          <w:p>
            <w:pPr>
              <w:spacing w:after="0" w:line="250"/>
              <w:jc w:val="right"/>
            </w:pPr>
            <w:r>
              <w:rPr>
                <w:rFonts w:ascii="Calibri" w:cs="Calibri" w:eastAsia="Calibri" w:hAnsi="Calibri"/>
                <w:b/>
                <w:bCs/>
                <w:color w:val="1F2933"/>
                <w:sz w:val="19"/>
                <w:szCs w:val="19"/>
              </w:rPr>
              <w:t xml:space="preserve">$2,757,133</w:t>
            </w:r>
          </w:p>
        </w:tc>
        <w:tc>
          <w:tcPr>
            <w:tcW w:type="dxa" w:w="2550"/>
            <w:shd w:fill="FDF3DA" w:color="auto" w:val="clear"/>
            <w:tcMar>
              <w:top w:type="dxa" w:w="70"/>
              <w:left w:type="dxa" w:w="110"/>
              <w:bottom w:type="dxa" w:w="70"/>
              <w:right w:type="dxa" w:w="110"/>
            </w:tcMar>
          </w:tcPr>
          <w:p>
            <w:pPr>
              <w:spacing w:after="0" w:line="250"/>
              <w:jc w:val="right"/>
            </w:pPr>
            <w:r>
              <w:rPr>
                <w:rFonts w:ascii="Calibri" w:cs="Calibri" w:eastAsia="Calibri" w:hAnsi="Calibri"/>
                <w:b/>
                <w:bCs/>
                <w:color w:val="1F2933"/>
                <w:sz w:val="19"/>
                <w:szCs w:val="19"/>
              </w:rPr>
              <w:t xml:space="preserve">to be closed</w:t>
            </w:r>
          </w:p>
        </w:tc>
      </w:tr>
    </w:tbl>
    <w:p>
      <w:pPr>
        <w:spacing w:after="100" w:line="276"/>
      </w:pPr>
      <w:r>
        <w:rPr>
          <w:rFonts w:ascii="Calibri" w:cs="Calibri" w:eastAsia="Calibri" w:hAnsi="Calibri"/>
          <w:color w:val="1F2933"/>
          <w:sz w:val="21"/>
          <w:szCs w:val="21"/>
        </w:rPr>
        <w:t xml:space="preserve"/>
      </w:r>
    </w:p>
    <w:p>
      <w:pPr>
        <w:spacing w:after="120" w:line="276"/>
      </w:pPr>
      <w:r>
        <w:rPr>
          <w:rFonts w:ascii="Calibri" w:cs="Calibri" w:eastAsia="Calibri" w:hAnsi="Calibri"/>
          <w:color w:val="1F2933"/>
          <w:sz w:val="21"/>
          <w:szCs w:val="21"/>
        </w:rPr>
        <w:t xml:space="preserve">About </w:t>
      </w:r>
      <w:r>
        <w:rPr>
          <w:rFonts w:ascii="Calibri" w:cs="Calibri" w:eastAsia="Calibri" w:hAnsi="Calibri"/>
          <w:b/>
          <w:bCs/>
          <w:color w:val="1F2933"/>
          <w:sz w:val="21"/>
          <w:szCs w:val="21"/>
        </w:rPr>
        <w:t xml:space="preserve">$936,727</w:t>
      </w:r>
      <w:r>
        <w:rPr>
          <w:rFonts w:ascii="Calibri" w:cs="Calibri" w:eastAsia="Calibri" w:hAnsi="Calibri"/>
          <w:color w:val="1F2933"/>
          <w:sz w:val="21"/>
          <w:szCs w:val="21"/>
        </w:rPr>
        <w:t xml:space="preserve"> of the pressure is contractual and automatic — it exists before a single new program is funded: PBA </w:t>
      </w:r>
      <w:r>
        <w:rPr>
          <w:rFonts w:ascii="Calibri" w:cs="Calibri" w:eastAsia="Calibri" w:hAnsi="Calibri"/>
          <w:color w:val="1F2933"/>
          <w:sz w:val="21"/>
          <w:szCs w:val="21"/>
        </w:rPr>
        <w:t xml:space="preserve">$354,690</w:t>
      </w:r>
      <w:r>
        <w:rPr>
          <w:rFonts w:ascii="Calibri" w:cs="Calibri" w:eastAsia="Calibri" w:hAnsi="Calibri"/>
          <w:color w:val="1F2933"/>
          <w:sz w:val="21"/>
          <w:szCs w:val="21"/>
        </w:rPr>
        <w:t xml:space="preserve">, CSEA </w:t>
      </w:r>
      <w:r>
        <w:rPr>
          <w:rFonts w:ascii="Calibri" w:cs="Calibri" w:eastAsia="Calibri" w:hAnsi="Calibri"/>
          <w:color w:val="1F2933"/>
          <w:sz w:val="21"/>
          <w:szCs w:val="21"/>
        </w:rPr>
        <w:t xml:space="preserve">$484,395</w:t>
      </w:r>
      <w:r>
        <w:rPr>
          <w:rFonts w:ascii="Calibri" w:cs="Calibri" w:eastAsia="Calibri" w:hAnsi="Calibri"/>
          <w:color w:val="1F2933"/>
          <w:sz w:val="21"/>
          <w:szCs w:val="21"/>
        </w:rPr>
        <w:t xml:space="preserve">, SOA </w:t>
      </w:r>
      <w:r>
        <w:rPr>
          <w:rFonts w:ascii="Calibri" w:cs="Calibri" w:eastAsia="Calibri" w:hAnsi="Calibri"/>
          <w:color w:val="1F2933"/>
          <w:sz w:val="21"/>
          <w:szCs w:val="21"/>
        </w:rPr>
        <w:t xml:space="preserve">$68,773</w:t>
      </w:r>
      <w:r>
        <w:rPr>
          <w:rFonts w:ascii="Calibri" w:cs="Calibri" w:eastAsia="Calibri" w:hAnsi="Calibri"/>
          <w:color w:val="1F2933"/>
          <w:sz w:val="21"/>
          <w:szCs w:val="21"/>
        </w:rPr>
        <w:t xml:space="preserve">, and non-contract staff </w:t>
      </w:r>
      <w:r>
        <w:rPr>
          <w:rFonts w:ascii="Calibri" w:cs="Calibri" w:eastAsia="Calibri" w:hAnsi="Calibri"/>
          <w:color w:val="1F2933"/>
          <w:sz w:val="21"/>
          <w:szCs w:val="21"/>
        </w:rPr>
        <w:t xml:space="preserve">$28,869</w:t>
      </w:r>
      <w:r>
        <w:rPr>
          <w:rFonts w:ascii="Calibri" w:cs="Calibri" w:eastAsia="Calibri" w:hAnsi="Calibri"/>
          <w:color w:val="1F2933"/>
          <w:sz w:val="21"/>
          <w:szCs w:val="21"/>
        </w:rPr>
        <w:t xml:space="preserve">. That portion is not a lever. The recommendations below target everything that is.</w:t>
      </w:r>
    </w:p>
    <w:p>
      <w:pPr>
        <w:spacing w:after="120" w:line="276"/>
      </w:pPr>
      <w:r>
        <w:rPr>
          <w:rFonts w:ascii="Calibri" w:cs="Calibri" w:eastAsia="Calibri" w:hAnsi="Calibri"/>
          <w:i/>
          <w:iCs/>
          <w:color w:val="475569"/>
          <w:sz w:val="21"/>
          <w:szCs w:val="21"/>
        </w:rPr>
        <w:t xml:space="preserve">Context worth stating plainly: the Town has overridden the cap in 2023, 2024, and 2026, and the town-wide levy rose 7.74% in 2026 and 4.86% in 2024. A fourth override in five years is a legitimate choice the Board may make — but it should be the option of last resort, not the path of least resistance.</w:t>
      </w:r>
    </w:p>
    <w:p>
      <w:pPr>
        <w:pStyle w:val="Heading1"/>
        <w:spacing w:after="140" w:before="340"/>
      </w:pPr>
      <w:r>
        <w:rPr>
          <w:rFonts w:ascii="Calibri" w:cs="Calibri" w:eastAsia="Calibri" w:hAnsi="Calibri"/>
          <w:b/>
          <w:bCs/>
          <w:color w:val="284A69"/>
          <w:sz w:val="28"/>
          <w:szCs w:val="28"/>
        </w:rPr>
        <w:t xml:space="preserve">2. Recommendations</w:t>
      </w:r>
    </w:p>
    <w:p>
      <w:pPr>
        <w:pStyle w:val="Heading2"/>
        <w:spacing w:after="100" w:before="240"/>
      </w:pPr>
      <w:r>
        <w:rPr>
          <w:rFonts w:ascii="Calibri" w:cs="Calibri" w:eastAsia="Calibri" w:hAnsi="Calibri"/>
          <w:b/>
          <w:bCs/>
          <w:color w:val="284A69"/>
          <w:sz w:val="23"/>
          <w:szCs w:val="23"/>
        </w:rPr>
        <w:t xml:space="preserve">Recommendation 1 — Bank the retirement-incentive savings the Board already approved</w:t>
      </w:r>
    </w:p>
    <w:p>
      <w:pPr>
        <w:spacing w:after="120" w:line="276"/>
      </w:pPr>
      <w:r>
        <w:rPr>
          <w:rFonts w:ascii="Calibri" w:cs="Calibri" w:eastAsia="Calibri" w:hAnsi="Calibri"/>
          <w:color w:val="1F2933"/>
          <w:sz w:val="21"/>
          <w:szCs w:val="21"/>
        </w:rPr>
        <w:t xml:space="preserve">On July 7, 2026 the Board adopted three retirement incentives unanimously (Resolutions 2026-678 CSEA, 2026-679 SOA, 2026-680 PBA), covering 53 eligible employees. The Town’s own projection is </w:t>
      </w:r>
      <w:r>
        <w:rPr>
          <w:rFonts w:ascii="Calibri" w:cs="Calibri" w:eastAsia="Calibri" w:hAnsi="Calibri"/>
          <w:b/>
          <w:bCs/>
          <w:color w:val="1F2933"/>
          <w:sz w:val="21"/>
          <w:szCs w:val="21"/>
        </w:rPr>
        <w:t xml:space="preserve">$500,000–$800,000</w:t>
      </w:r>
      <w:r>
        <w:rPr>
          <w:rFonts w:ascii="Calibri" w:cs="Calibri" w:eastAsia="Calibri" w:hAnsi="Calibri"/>
          <w:color w:val="1F2933"/>
          <w:sz w:val="21"/>
          <w:szCs w:val="21"/>
        </w:rPr>
        <w:t xml:space="preserve"> in savings across the remainder of 2026 and the 2027 budget year.</w:t>
      </w:r>
    </w:p>
    <w:p>
      <w:pPr>
        <w:spacing w:after="120" w:line="276"/>
      </w:pPr>
      <w:r>
        <w:rPr>
          <w:rFonts w:ascii="Calibri" w:cs="Calibri" w:eastAsia="Calibri" w:hAnsi="Calibri"/>
          <w:color w:val="1F2933"/>
          <w:sz w:val="21"/>
          <w:szCs w:val="21"/>
        </w:rPr>
        <w:t xml:space="preserve">The savings are not automatic. They are realized only if vacated positions are refilled at entry step, consolidated, or left unfilled. The recommendation is narrow: adopt a refill policy for the 2027 budget that requires written justification before any vacated post is refilled above entry step, and hold the resulting salary-line reduction in the tentative budget rather than re-budgeting the vacated positions at their former cost.</w:t>
      </w:r>
    </w:p>
    <w:p>
      <w:pPr>
        <w:spacing w:after="120" w:line="276"/>
      </w:pPr>
      <w:r>
        <w:rPr>
          <w:rFonts w:ascii="Calibri" w:cs="Calibri" w:eastAsia="Calibri" w:hAnsi="Calibri"/>
          <w:i/>
          <w:iCs/>
          <w:color w:val="475569"/>
          <w:sz w:val="21"/>
          <w:szCs w:val="21"/>
        </w:rPr>
        <w:t xml:space="preserve">The election deadline is September 1, 2026, with retirement by October 1 — so the actual number of retirements will be known before the tentative budget is filed, and can be budgeted precisely rather than estimated.</w:t>
      </w:r>
    </w:p>
    <w:p>
      <w:pPr>
        <w:pStyle w:val="Heading2"/>
        <w:spacing w:after="100" w:before="240"/>
      </w:pPr>
      <w:r>
        <w:rPr>
          <w:rFonts w:ascii="Calibri" w:cs="Calibri" w:eastAsia="Calibri" w:hAnsi="Calibri"/>
          <w:b/>
          <w:bCs/>
          <w:color w:val="284A69"/>
          <w:sz w:val="23"/>
          <w:szCs w:val="23"/>
        </w:rPr>
        <w:t xml:space="preserve">Recommendation 2 — A personnel and policy package the Board can adopt by resolution</w:t>
      </w:r>
    </w:p>
    <w:p>
      <w:pPr>
        <w:spacing w:after="120" w:line="276"/>
      </w:pPr>
      <w:r>
        <w:rPr>
          <w:rFonts w:ascii="Calibri" w:cs="Calibri" w:eastAsia="Calibri" w:hAnsi="Calibri"/>
          <w:color w:val="1F2933"/>
          <w:sz w:val="21"/>
          <w:szCs w:val="21"/>
        </w:rPr>
        <w:t xml:space="preserve">These six items require Board action, not union concessions. None reduces headcount below current staffing.</w:t>
      </w:r>
    </w:p>
    <w:tbl>
      <w:tblPr>
        <w:tblW w:type="dxa" w:w="9360"/>
        <w:tblBorders>
          <w:top w:val="single" w:color="C8D3DE" w:sz="2"/>
          <w:left w:val="single" w:color="C8D3DE" w:sz="2"/>
          <w:bottom w:val="single" w:color="C8D3DE" w:sz="2"/>
          <w:right w:val="single" w:color="C8D3DE" w:sz="2"/>
          <w:insideH w:val="single" w:color="DCE4EC" w:sz="2"/>
          <w:insideV w:val="single" w:color="DCE4EC" w:sz="2"/>
        </w:tblBorders>
      </w:tblPr>
      <w:tblGrid>
        <w:gridCol w:w="4560"/>
        <w:gridCol w:w="1900"/>
        <w:gridCol w:w="2900"/>
      </w:tblGrid>
      <w:tr>
        <w:trPr>
          <w:tblHeader/>
        </w:trPr>
        <w:tc>
          <w:tcPr>
            <w:tcW w:type="dxa" w:w="4560"/>
            <w:shd w:fill="284A6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Measure</w:t>
            </w:r>
          </w:p>
        </w:tc>
        <w:tc>
          <w:tcPr>
            <w:tcW w:type="dxa" w:w="1900"/>
            <w:shd w:fill="284A6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Annual value</w:t>
            </w:r>
          </w:p>
        </w:tc>
        <w:tc>
          <w:tcPr>
            <w:tcW w:type="dxa" w:w="2900"/>
            <w:shd w:fill="284A6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What it takes</w:t>
            </w:r>
          </w:p>
        </w:tc>
      </w:tr>
      <w:tr>
        <w:tc>
          <w:tcPr>
            <w:tcW w:type="dxa" w:w="45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20% healthcare premium contribution for exempt and elected positions</w:t>
            </w:r>
          </w:p>
        </w:tc>
        <w:tc>
          <w:tcPr>
            <w:tcW w:type="dxa" w:w="1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$85,085</w:t>
            </w:r>
          </w:p>
        </w:tc>
        <w:tc>
          <w:tcPr>
            <w:tcW w:type="dxa" w:w="2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Board policy adoption (22 positions)</w:t>
            </w:r>
          </w:p>
        </w:tc>
      </w:tr>
      <w:tr>
        <w:tc>
          <w:tcPr>
            <w:tcW w:type="dxa" w:w="45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Police uniform overtime, normalized to the regional peer rate</w:t>
            </w:r>
          </w:p>
        </w:tc>
        <w:tc>
          <w:tcPr>
            <w:tcW w:type="dxa" w:w="1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$94,404</w:t>
            </w:r>
          </w:p>
        </w:tc>
        <w:tc>
          <w:tcPr>
            <w:tcW w:type="dxa" w:w="2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Scheduling audit; targets only the excess above Southampton’s per-officer rate</w:t>
            </w:r>
          </w:p>
        </w:tc>
      </w:tr>
      <w:tr>
        <w:tc>
          <w:tcPr>
            <w:tcW w:type="dxa" w:w="45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Targeted retirement and refill control</w:t>
            </w:r>
          </w:p>
        </w:tc>
        <w:tc>
          <w:tcPr>
            <w:tcW w:type="dxa" w:w="1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$291,300</w:t>
            </w:r>
          </w:p>
        </w:tc>
        <w:tc>
          <w:tcPr>
            <w:tcW w:type="dxa" w:w="2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Three modeled senior departures, two lower-cost backfills</w:t>
            </w:r>
          </w:p>
        </w:tc>
      </w:tr>
      <w:tr>
        <w:tc>
          <w:tcPr>
            <w:tcW w:type="dxa" w:w="45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1% civilian vacancy factor</w:t>
            </w:r>
          </w:p>
        </w:tc>
        <w:tc>
          <w:tcPr>
            <w:tcW w:type="dxa" w:w="1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$124,158</w:t>
            </w:r>
          </w:p>
        </w:tc>
        <w:tc>
          <w:tcPr>
            <w:tcW w:type="dxa" w:w="2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Budgeting convention, not a headcount cut</w:t>
            </w:r>
          </w:p>
        </w:tc>
      </w:tr>
      <w:tr>
        <w:tc>
          <w:tcPr>
            <w:tcW w:type="dxa" w:w="45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Hold exempt discretionary raises</w:t>
            </w:r>
          </w:p>
        </w:tc>
        <w:tc>
          <w:tcPr>
            <w:tcW w:type="dxa" w:w="1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$23,095</w:t>
            </w:r>
          </w:p>
        </w:tc>
        <w:tc>
          <w:tcPr>
            <w:tcW w:type="dxa" w:w="2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Board choice each cycle</w:t>
            </w:r>
          </w:p>
        </w:tc>
      </w:tr>
      <w:tr>
        <w:tc>
          <w:tcPr>
            <w:tcW w:type="dxa" w:w="45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Hold elected salary growth</w:t>
            </w:r>
          </w:p>
        </w:tc>
        <w:tc>
          <w:tcPr>
            <w:tcW w:type="dxa" w:w="1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$22,279</w:t>
            </w:r>
          </w:p>
        </w:tc>
        <w:tc>
          <w:tcPr>
            <w:tcW w:type="dxa" w:w="2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Separately stated Board action</w:t>
            </w:r>
          </w:p>
        </w:tc>
      </w:tr>
      <w:tr>
        <w:tc>
          <w:tcPr>
            <w:tcW w:type="dxa" w:w="4560"/>
            <w:shd w:fill="FDF3DA" w:color="auto" w:val="clear"/>
            <w:tcMar>
              <w:top w:type="dxa" w:w="70"/>
              <w:left w:type="dxa" w:w="110"/>
              <w:bottom w:type="dxa" w:w="70"/>
              <w:right w:type="dxa" w:w="110"/>
            </w:tcMar>
          </w:tcPr>
          <w:p>
            <w:pPr>
              <w:spacing w:after="0" w:line="250"/>
            </w:pPr>
            <w:r>
              <w:rPr>
                <w:rFonts w:ascii="Calibri" w:cs="Calibri" w:eastAsia="Calibri" w:hAnsi="Calibri"/>
                <w:b/>
                <w:bCs/>
                <w:color w:val="1F2933"/>
                <w:sz w:val="19"/>
                <w:szCs w:val="19"/>
              </w:rPr>
              <w:t xml:space="preserve">Subtotal</w:t>
            </w:r>
          </w:p>
        </w:tc>
        <w:tc>
          <w:tcPr>
            <w:tcW w:type="dxa" w:w="1900"/>
            <w:shd w:fill="FDF3DA" w:color="auto" w:val="clear"/>
            <w:tcMar>
              <w:top w:type="dxa" w:w="70"/>
              <w:left w:type="dxa" w:w="110"/>
              <w:bottom w:type="dxa" w:w="70"/>
              <w:right w:type="dxa" w:w="110"/>
            </w:tcMar>
          </w:tcPr>
          <w:p>
            <w:pPr>
              <w:spacing w:after="0" w:line="250"/>
              <w:jc w:val="right"/>
            </w:pPr>
            <w:r>
              <w:rPr>
                <w:rFonts w:ascii="Calibri" w:cs="Calibri" w:eastAsia="Calibri" w:hAnsi="Calibri"/>
                <w:b/>
                <w:bCs/>
                <w:color w:val="1F2933"/>
                <w:sz w:val="19"/>
                <w:szCs w:val="19"/>
              </w:rPr>
              <w:t xml:space="preserve">$640,321</w:t>
            </w:r>
          </w:p>
        </w:tc>
        <w:tc>
          <w:tcPr>
            <w:tcW w:type="dxa" w:w="2900"/>
            <w:shd w:fill="FDF3DA" w:color="auto" w:val="clear"/>
            <w:tcMar>
              <w:top w:type="dxa" w:w="70"/>
              <w:left w:type="dxa" w:w="110"/>
              <w:bottom w:type="dxa" w:w="70"/>
              <w:right w:type="dxa" w:w="110"/>
            </w:tcMar>
          </w:tcPr>
          <w:p>
            <w:pPr>
              <w:spacing w:after="0" w:line="250"/>
              <w:jc w:val="right"/>
            </w:pPr>
            <w:r>
              <w:rPr>
                <w:rFonts w:ascii="Calibri" w:cs="Calibri" w:eastAsia="Calibri" w:hAnsi="Calibri"/>
                <w:b/>
                <w:bCs/>
                <w:color w:val="1F2933"/>
                <w:sz w:val="19"/>
                <w:szCs w:val="19"/>
              </w:rPr>
              <w:t xml:space="preserve">recurring</w:t>
            </w:r>
          </w:p>
        </w:tc>
      </w:tr>
    </w:tbl>
    <w:p>
      <w:pPr>
        <w:spacing w:after="120" w:line="276"/>
      </w:pPr>
      <w:r>
        <w:rPr>
          <w:rFonts w:ascii="Calibri" w:cs="Calibri" w:eastAsia="Calibri" w:hAnsi="Calibri"/>
          <w:color w:val="475569"/>
          <w:sz w:val="19"/>
          <w:szCs w:val="19"/>
        </w:rPr>
        <w:t xml:space="preserve">The overtime figure deserves a note in the Town’s favor: Riverhead’s 2024 police uniform overtime ran $1,401,354 against a $1,000,000 budget. Benchmarked against Southampton’s 2026 adopted rate of $13,069.50 per officer, roughly $1.31 million of that is regionally normal coverage cost, not waste. Only the residual is treated as recoverable here, and the budgeted figure should be raised to something honest regardless.</w:t>
      </w:r>
    </w:p>
    <w:p>
      <w:pPr>
        <w:pStyle w:val="Heading2"/>
        <w:spacing w:after="100" w:before="240"/>
      </w:pPr>
      <w:r>
        <w:rPr>
          <w:rFonts w:ascii="Calibri" w:cs="Calibri" w:eastAsia="Calibri" w:hAnsi="Calibri"/>
          <w:b/>
          <w:bCs/>
          <w:color w:val="284A69"/>
          <w:sz w:val="23"/>
          <w:szCs w:val="23"/>
        </w:rPr>
        <w:t xml:space="preserve">Recommendation 3 — Audit seven line items before carrying them into the 2027 baseline</w:t>
      </w:r>
    </w:p>
    <w:p>
      <w:pPr>
        <w:spacing w:after="120" w:line="276"/>
      </w:pPr>
      <w:r>
        <w:rPr>
          <w:rFonts w:ascii="Calibri" w:cs="Calibri" w:eastAsia="Calibri" w:hAnsi="Calibri"/>
          <w:color w:val="1F2933"/>
          <w:sz w:val="21"/>
          <w:szCs w:val="21"/>
        </w:rPr>
        <w:t xml:space="preserve">Each of these grew sharply in the 2026 adopted budget. None is alleged to be improper — the recommendation is that each be justified in writing before it becomes permanent baseline, and trimmed to its documented need if it cannot be.</w:t>
      </w:r>
    </w:p>
    <w:tbl>
      <w:tblPr>
        <w:tblW w:type="dxa" w:w="9360"/>
        <w:tblBorders>
          <w:top w:val="single" w:color="C8D3DE" w:sz="2"/>
          <w:left w:val="single" w:color="C8D3DE" w:sz="2"/>
          <w:bottom w:val="single" w:color="C8D3DE" w:sz="2"/>
          <w:right w:val="single" w:color="C8D3DE" w:sz="2"/>
          <w:insideH w:val="single" w:color="DCE4EC" w:sz="2"/>
          <w:insideV w:val="single" w:color="DCE4EC" w:sz="2"/>
        </w:tblBorders>
      </w:tblPr>
      <w:tblGrid>
        <w:gridCol w:w="4560"/>
        <w:gridCol w:w="1900"/>
        <w:gridCol w:w="2900"/>
      </w:tblGrid>
      <w:tr>
        <w:trPr>
          <w:tblHeader/>
        </w:trPr>
        <w:tc>
          <w:tcPr>
            <w:tcW w:type="dxa" w:w="4560"/>
            <w:shd w:fill="284A6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Line</w:t>
            </w:r>
          </w:p>
        </w:tc>
        <w:tc>
          <w:tcPr>
            <w:tcW w:type="dxa" w:w="1900"/>
            <w:shd w:fill="284A6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At issue</w:t>
            </w:r>
          </w:p>
        </w:tc>
        <w:tc>
          <w:tcPr>
            <w:tcW w:type="dxa" w:w="2900"/>
            <w:shd w:fill="284A6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Growth 2025 → 2026</w:t>
            </w:r>
          </w:p>
        </w:tc>
      </w:tr>
      <w:tr>
        <w:tc>
          <w:tcPr>
            <w:tcW w:type="dxa" w:w="45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Police holiday pay</w:t>
            </w:r>
          </w:p>
        </w:tc>
        <w:tc>
          <w:tcPr>
            <w:tcW w:type="dxa" w:w="1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$190,600</w:t>
            </w:r>
          </w:p>
        </w:tc>
        <w:tc>
          <w:tcPr>
            <w:tcW w:type="dxa" w:w="2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$752,400 → $943,000 (+25.3%)</w:t>
            </w:r>
          </w:p>
        </w:tc>
      </w:tr>
      <w:tr>
        <w:tc>
          <w:tcPr>
            <w:tcW w:type="dxa" w:w="45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Police health insurance buy-back</w:t>
            </w:r>
          </w:p>
        </w:tc>
        <w:tc>
          <w:tcPr>
            <w:tcW w:type="dxa" w:w="1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$112,000</w:t>
            </w:r>
          </w:p>
        </w:tc>
        <w:tc>
          <w:tcPr>
            <w:tcW w:type="dxa" w:w="2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$389,000 → $501,000 (+28.8%)</w:t>
            </w:r>
          </w:p>
        </w:tc>
      </w:tr>
      <w:tr>
        <w:tc>
          <w:tcPr>
            <w:tcW w:type="dxa" w:w="45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Scavenger waste disposal (ES5)</w:t>
            </w:r>
          </w:p>
        </w:tc>
        <w:tc>
          <w:tcPr>
            <w:tcW w:type="dxa" w:w="1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$187,000</w:t>
            </w:r>
          </w:p>
        </w:tc>
        <w:tc>
          <w:tcPr>
            <w:tcW w:type="dxa" w:w="2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$490,000 → $677,000 (+38.2%)</w:t>
            </w:r>
          </w:p>
        </w:tc>
      </w:tr>
      <w:tr>
        <w:tc>
          <w:tcPr>
            <w:tcW w:type="dxa" w:w="45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Other General Government — Miscellaneous</w:t>
            </w:r>
          </w:p>
        </w:tc>
        <w:tc>
          <w:tcPr>
            <w:tcW w:type="dxa" w:w="1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$50,000</w:t>
            </w:r>
          </w:p>
        </w:tc>
        <w:tc>
          <w:tcPr>
            <w:tcW w:type="dxa" w:w="2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$3,200 → $53,200 (+1,563%)</w:t>
            </w:r>
          </w:p>
        </w:tc>
      </w:tr>
      <w:tr>
        <w:tc>
          <w:tcPr>
            <w:tcW w:type="dxa" w:w="45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Community Development — Special Events</w:t>
            </w:r>
          </w:p>
        </w:tc>
        <w:tc>
          <w:tcPr>
            <w:tcW w:type="dxa" w:w="1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$43,200</w:t>
            </w:r>
          </w:p>
        </w:tc>
        <w:tc>
          <w:tcPr>
            <w:tcW w:type="dxa" w:w="2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$0 → $43,200 (new line)</w:t>
            </w:r>
          </w:p>
        </w:tc>
      </w:tr>
      <w:tr>
        <w:tc>
          <w:tcPr>
            <w:tcW w:type="dxa" w:w="45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Town Attorney — management buy-back</w:t>
            </w:r>
          </w:p>
        </w:tc>
        <w:tc>
          <w:tcPr>
            <w:tcW w:type="dxa" w:w="1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$32,600</w:t>
            </w:r>
          </w:p>
        </w:tc>
        <w:tc>
          <w:tcPr>
            <w:tcW w:type="dxa" w:w="290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$104,700 → $137,300 (+31.1%)</w:t>
            </w:r>
          </w:p>
        </w:tc>
      </w:tr>
      <w:tr>
        <w:tc>
          <w:tcPr>
            <w:tcW w:type="dxa" w:w="45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Tax collection postage</w:t>
            </w:r>
          </w:p>
        </w:tc>
        <w:tc>
          <w:tcPr>
            <w:tcW w:type="dxa" w:w="1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$12,000</w:t>
            </w:r>
          </w:p>
        </w:tc>
        <w:tc>
          <w:tcPr>
            <w:tcW w:type="dxa" w:w="290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$1,500 → $13,500 (+800%)</w:t>
            </w:r>
          </w:p>
        </w:tc>
      </w:tr>
      <w:tr>
        <w:tc>
          <w:tcPr>
            <w:tcW w:type="dxa" w:w="4560"/>
            <w:shd w:fill="FDF3DA" w:color="auto" w:val="clear"/>
            <w:tcMar>
              <w:top w:type="dxa" w:w="70"/>
              <w:left w:type="dxa" w:w="110"/>
              <w:bottom w:type="dxa" w:w="70"/>
              <w:right w:type="dxa" w:w="110"/>
            </w:tcMar>
          </w:tcPr>
          <w:p>
            <w:pPr>
              <w:spacing w:after="0" w:line="250"/>
            </w:pPr>
            <w:r>
              <w:rPr>
                <w:rFonts w:ascii="Calibri" w:cs="Calibri" w:eastAsia="Calibri" w:hAnsi="Calibri"/>
                <w:b/>
                <w:bCs/>
                <w:color w:val="1F2933"/>
                <w:sz w:val="19"/>
                <w:szCs w:val="19"/>
              </w:rPr>
              <w:t xml:space="preserve">Subtotal</w:t>
            </w:r>
          </w:p>
        </w:tc>
        <w:tc>
          <w:tcPr>
            <w:tcW w:type="dxa" w:w="1900"/>
            <w:shd w:fill="FDF3DA" w:color="auto" w:val="clear"/>
            <w:tcMar>
              <w:top w:type="dxa" w:w="70"/>
              <w:left w:type="dxa" w:w="110"/>
              <w:bottom w:type="dxa" w:w="70"/>
              <w:right w:type="dxa" w:w="110"/>
            </w:tcMar>
          </w:tcPr>
          <w:p>
            <w:pPr>
              <w:spacing w:after="0" w:line="250"/>
              <w:jc w:val="right"/>
            </w:pPr>
            <w:r>
              <w:rPr>
                <w:rFonts w:ascii="Calibri" w:cs="Calibri" w:eastAsia="Calibri" w:hAnsi="Calibri"/>
                <w:b/>
                <w:bCs/>
                <w:color w:val="1F2933"/>
                <w:sz w:val="19"/>
                <w:szCs w:val="19"/>
              </w:rPr>
              <w:t xml:space="preserve">$627,400</w:t>
            </w:r>
          </w:p>
        </w:tc>
        <w:tc>
          <w:tcPr>
            <w:tcW w:type="dxa" w:w="2900"/>
            <w:shd w:fill="FDF3DA" w:color="auto" w:val="clear"/>
            <w:tcMar>
              <w:top w:type="dxa" w:w="70"/>
              <w:left w:type="dxa" w:w="110"/>
              <w:bottom w:type="dxa" w:w="70"/>
              <w:right w:type="dxa" w:w="110"/>
            </w:tcMar>
          </w:tcPr>
          <w:p>
            <w:pPr>
              <w:spacing w:after="0" w:line="250"/>
              <w:jc w:val="right"/>
            </w:pPr>
            <w:r>
              <w:rPr>
                <w:rFonts w:ascii="Calibri" w:cs="Calibri" w:eastAsia="Calibri" w:hAnsi="Calibri"/>
                <w:b/>
                <w:bCs/>
                <w:color w:val="1F2933"/>
                <w:sz w:val="19"/>
                <w:szCs w:val="19"/>
              </w:rPr>
              <w:t xml:space="preserve">recurring</w:t>
            </w:r>
          </w:p>
        </w:tc>
      </w:tr>
    </w:tbl>
    <w:p>
      <w:pPr>
        <w:pStyle w:val="Heading2"/>
        <w:spacing w:after="100" w:before="240"/>
      </w:pPr>
      <w:r>
        <w:rPr>
          <w:rFonts w:ascii="Calibri" w:cs="Calibri" w:eastAsia="Calibri" w:hAnsi="Calibri"/>
          <w:b/>
          <w:bCs/>
          <w:color w:val="284A69"/>
          <w:sz w:val="23"/>
          <w:szCs w:val="23"/>
        </w:rPr>
        <w:t xml:space="preserve">Recommendation 4 — Trim controllable lines back to their own trailing run-rate</w:t>
      </w:r>
    </w:p>
    <w:p>
      <w:pPr>
        <w:spacing w:after="120" w:line="276"/>
      </w:pPr>
      <w:r>
        <w:rPr>
          <w:rFonts w:ascii="Calibri" w:cs="Calibri" w:eastAsia="Calibri" w:hAnsi="Calibri"/>
          <w:color w:val="1F2933"/>
          <w:sz w:val="21"/>
          <w:szCs w:val="21"/>
        </w:rPr>
        <w:t xml:space="preserve">The 2026 Budget Supplement contains 52 controllable, non-mandated lines budgeted more than 30% above their trailing actuals, worth </w:t>
      </w:r>
      <w:r>
        <w:rPr>
          <w:rFonts w:ascii="Calibri" w:cs="Calibri" w:eastAsia="Calibri" w:hAnsi="Calibri"/>
          <w:b/>
          <w:bCs/>
          <w:color w:val="1F2933"/>
          <w:sz w:val="21"/>
          <w:szCs w:val="21"/>
        </w:rPr>
        <w:t xml:space="preserve">$2,358,935</w:t>
      </w:r>
      <w:r>
        <w:rPr>
          <w:rFonts w:ascii="Calibri" w:cs="Calibri" w:eastAsia="Calibri" w:hAnsi="Calibri"/>
          <w:color w:val="1F2933"/>
          <w:sz w:val="21"/>
          <w:szCs w:val="21"/>
        </w:rPr>
        <w:t xml:space="preserve"> in total. This memo counts only the </w:t>
      </w:r>
      <w:r>
        <w:rPr>
          <w:rFonts w:ascii="Calibri" w:cs="Calibri" w:eastAsia="Calibri" w:hAnsi="Calibri"/>
          <w:b/>
          <w:bCs/>
          <w:color w:val="1F2933"/>
          <w:sz w:val="21"/>
          <w:szCs w:val="21"/>
        </w:rPr>
        <w:t xml:space="preserve">20 firm-confidence lines</w:t>
      </w:r>
      <w:r>
        <w:rPr>
          <w:rFonts w:ascii="Calibri" w:cs="Calibri" w:eastAsia="Calibri" w:hAnsi="Calibri"/>
          <w:color w:val="1F2933"/>
          <w:sz w:val="21"/>
          <w:szCs w:val="21"/>
        </w:rPr>
        <w:t xml:space="preserve"> — operating and professional-services accounts, excluding capital timing and price-driven fuel and energy — for </w:t>
      </w:r>
      <w:r>
        <w:rPr>
          <w:rFonts w:ascii="Calibri" w:cs="Calibri" w:eastAsia="Calibri" w:hAnsi="Calibri"/>
          <w:b/>
          <w:bCs/>
          <w:color w:val="1F2933"/>
          <w:sz w:val="21"/>
          <w:szCs w:val="21"/>
        </w:rPr>
        <w:t xml:space="preserve">$828,210</w:t>
      </w:r>
      <w:r>
        <w:rPr>
          <w:rFonts w:ascii="Calibri" w:cs="Calibri" w:eastAsia="Calibri" w:hAnsi="Calibri"/>
          <w:color w:val="1F2933"/>
          <w:sz w:val="21"/>
          <w:szCs w:val="21"/>
        </w:rPr>
        <w:t xml:space="preserve">. The larger figure is available if the Board wants it; the smaller one is the defensible floor.</w:t>
      </w:r>
    </w:p>
    <w:tbl>
      <w:tblPr>
        <w:tblW w:type="dxa" w:w="9360"/>
        <w:tblBorders>
          <w:top w:val="single" w:color="C8D3DE" w:sz="2"/>
          <w:left w:val="single" w:color="C8D3DE" w:sz="2"/>
          <w:bottom w:val="single" w:color="C8D3DE" w:sz="2"/>
          <w:right w:val="single" w:color="C8D3DE" w:sz="2"/>
          <w:insideH w:val="single" w:color="DCE4EC" w:sz="2"/>
          <w:insideV w:val="single" w:color="DCE4EC" w:sz="2"/>
        </w:tblBorders>
      </w:tblPr>
      <w:tblGrid>
        <w:gridCol w:w="5460"/>
        <w:gridCol w:w="1950"/>
        <w:gridCol w:w="1950"/>
      </w:tblGrid>
      <w:tr>
        <w:trPr>
          <w:tblHeader/>
        </w:trPr>
        <w:tc>
          <w:tcPr>
            <w:tcW w:type="dxa" w:w="5460"/>
            <w:shd w:fill="284A6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Largest firm-confidence trims</w:t>
            </w:r>
          </w:p>
        </w:tc>
        <w:tc>
          <w:tcPr>
            <w:tcW w:type="dxa" w:w="1950"/>
            <w:shd w:fill="284A6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Fund</w:t>
            </w:r>
          </w:p>
        </w:tc>
        <w:tc>
          <w:tcPr>
            <w:tcW w:type="dxa" w:w="1950"/>
            <w:shd w:fill="284A6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Target</w:t>
            </w:r>
          </w:p>
        </w:tc>
      </w:tr>
      <w:tr>
        <w:tc>
          <w:tcPr>
            <w:tcW w:type="dxa" w:w="54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Scavenger waste — waste disposal</w:t>
            </w:r>
          </w:p>
        </w:tc>
        <w:tc>
          <w:tcPr>
            <w:tcW w:type="dxa" w:w="195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Scavenger Waste</w:t>
            </w:r>
          </w:p>
        </w:tc>
        <w:tc>
          <w:tcPr>
            <w:tcW w:type="dxa" w:w="19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$193,194</w:t>
            </w:r>
          </w:p>
        </w:tc>
      </w:tr>
      <w:tr>
        <w:tc>
          <w:tcPr>
            <w:tcW w:type="dxa" w:w="54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Sewer treatment — waste disposal</w:t>
            </w:r>
          </w:p>
        </w:tc>
        <w:tc>
          <w:tcPr>
            <w:tcW w:type="dxa" w:w="195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Sewer</w:t>
            </w:r>
          </w:p>
        </w:tc>
        <w:tc>
          <w:tcPr>
            <w:tcW w:type="dxa" w:w="195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$141,148</w:t>
            </w:r>
          </w:p>
        </w:tc>
      </w:tr>
      <w:tr>
        <w:tc>
          <w:tcPr>
            <w:tcW w:type="dxa" w:w="54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Accounting — professional services, other</w:t>
            </w:r>
          </w:p>
        </w:tc>
        <w:tc>
          <w:tcPr>
            <w:tcW w:type="dxa" w:w="195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General Fund</w:t>
            </w:r>
          </w:p>
        </w:tc>
        <w:tc>
          <w:tcPr>
            <w:tcW w:type="dxa" w:w="19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$87,675</w:t>
            </w:r>
          </w:p>
        </w:tc>
      </w:tr>
      <w:tr>
        <w:tc>
          <w:tcPr>
            <w:tcW w:type="dxa" w:w="54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Water — professional services, lab fees</w:t>
            </w:r>
          </w:p>
        </w:tc>
        <w:tc>
          <w:tcPr>
            <w:tcW w:type="dxa" w:w="195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Water</w:t>
            </w:r>
          </w:p>
        </w:tc>
        <w:tc>
          <w:tcPr>
            <w:tcW w:type="dxa" w:w="195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$69,410</w:t>
            </w:r>
          </w:p>
        </w:tc>
      </w:tr>
      <w:tr>
        <w:tc>
          <w:tcPr>
            <w:tcW w:type="dxa" w:w="54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Public parks — contractual</w:t>
            </w:r>
          </w:p>
        </w:tc>
        <w:tc>
          <w:tcPr>
            <w:tcW w:type="dxa" w:w="195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Street</w:t>
            </w:r>
          </w:p>
        </w:tc>
        <w:tc>
          <w:tcPr>
            <w:tcW w:type="dxa" w:w="19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$56,646</w:t>
            </w:r>
          </w:p>
        </w:tc>
      </w:tr>
      <w:tr>
        <w:tc>
          <w:tcPr>
            <w:tcW w:type="dxa" w:w="54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Auditor — professional services, consultants</w:t>
            </w:r>
          </w:p>
        </w:tc>
        <w:tc>
          <w:tcPr>
            <w:tcW w:type="dxa" w:w="195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General Fund</w:t>
            </w:r>
          </w:p>
        </w:tc>
        <w:tc>
          <w:tcPr>
            <w:tcW w:type="dxa" w:w="195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$54,675</w:t>
            </w:r>
          </w:p>
        </w:tc>
      </w:tr>
      <w:tr>
        <w:tc>
          <w:tcPr>
            <w:tcW w:type="dxa" w:w="5460"/>
            <w:shd w:fill="FDF3DA" w:color="auto" w:val="clear"/>
            <w:tcMar>
              <w:top w:type="dxa" w:w="70"/>
              <w:left w:type="dxa" w:w="110"/>
              <w:bottom w:type="dxa" w:w="70"/>
              <w:right w:type="dxa" w:w="110"/>
            </w:tcMar>
          </w:tcPr>
          <w:p>
            <w:pPr>
              <w:spacing w:after="0" w:line="250"/>
            </w:pPr>
            <w:r>
              <w:rPr>
                <w:rFonts w:ascii="Calibri" w:cs="Calibri" w:eastAsia="Calibri" w:hAnsi="Calibri"/>
                <w:b/>
                <w:bCs/>
                <w:color w:val="1F2933"/>
                <w:sz w:val="19"/>
                <w:szCs w:val="19"/>
              </w:rPr>
              <w:t xml:space="preserve">All 20 firm-confidence lines</w:t>
            </w:r>
          </w:p>
        </w:tc>
        <w:tc>
          <w:tcPr>
            <w:tcW w:type="dxa" w:w="1950"/>
            <w:shd w:fill="FDF3DA" w:color="auto" w:val="clear"/>
            <w:tcMar>
              <w:top w:type="dxa" w:w="70"/>
              <w:left w:type="dxa" w:w="110"/>
              <w:bottom w:type="dxa" w:w="70"/>
              <w:right w:type="dxa" w:w="110"/>
            </w:tcMar>
          </w:tcPr>
          <w:p>
            <w:pPr>
              <w:spacing w:after="0" w:line="250"/>
            </w:pPr>
            <w:r>
              <w:rPr>
                <w:rFonts w:ascii="Calibri" w:cs="Calibri" w:eastAsia="Calibri" w:hAnsi="Calibri"/>
                <w:b/>
                <w:bCs/>
                <w:color w:val="1F2933"/>
                <w:sz w:val="19"/>
                <w:szCs w:val="19"/>
              </w:rPr>
              <w:t xml:space="preserve"/>
            </w:r>
          </w:p>
        </w:tc>
        <w:tc>
          <w:tcPr>
            <w:tcW w:type="dxa" w:w="1950"/>
            <w:shd w:fill="FDF3DA" w:color="auto" w:val="clear"/>
            <w:tcMar>
              <w:top w:type="dxa" w:w="70"/>
              <w:left w:type="dxa" w:w="110"/>
              <w:bottom w:type="dxa" w:w="70"/>
              <w:right w:type="dxa" w:w="110"/>
            </w:tcMar>
          </w:tcPr>
          <w:p>
            <w:pPr>
              <w:spacing w:after="0" w:line="250"/>
              <w:jc w:val="right"/>
            </w:pPr>
            <w:r>
              <w:rPr>
                <w:rFonts w:ascii="Calibri" w:cs="Calibri" w:eastAsia="Calibri" w:hAnsi="Calibri"/>
                <w:b/>
                <w:bCs/>
                <w:color w:val="1F2933"/>
                <w:sz w:val="19"/>
                <w:szCs w:val="19"/>
              </w:rPr>
              <w:t xml:space="preserve">$828,210</w:t>
            </w:r>
          </w:p>
        </w:tc>
      </w:tr>
    </w:tbl>
    <w:p>
      <w:pPr>
        <w:pStyle w:val="Heading2"/>
        <w:spacing w:after="100" w:before="240"/>
      </w:pPr>
      <w:r>
        <w:rPr>
          <w:rFonts w:ascii="Calibri" w:cs="Calibri" w:eastAsia="Calibri" w:hAnsi="Calibri"/>
          <w:b/>
          <w:bCs/>
          <w:color w:val="284A69"/>
          <w:sz w:val="23"/>
          <w:szCs w:val="23"/>
        </w:rPr>
        <w:t xml:space="preserve">Recommendation 5 — Claim the pension exclusion the cap formula allows</w:t>
      </w:r>
    </w:p>
    <w:p>
      <w:pPr>
        <w:spacing w:after="120" w:line="276"/>
      </w:pPr>
      <w:r>
        <w:rPr>
          <w:rFonts w:ascii="Calibri" w:cs="Calibri" w:eastAsia="Calibri" w:hAnsi="Calibri"/>
          <w:color w:val="1F2933"/>
          <w:sz w:val="21"/>
          <w:szCs w:val="21"/>
        </w:rPr>
        <w:t xml:space="preserve">The tax cap excludes pension-cost growth above a two-percentage-point rise in a retirement system’s own contribution rate. For 2027, PFRS — covering PBA and SOA — rose 2.8 points (33.7% to 36.5%), which is 0.8 points over the threshold and worth an estimated </w:t>
      </w:r>
      <w:r>
        <w:rPr>
          <w:rFonts w:ascii="Calibri" w:cs="Calibri" w:eastAsia="Calibri" w:hAnsi="Calibri"/>
          <w:b/>
          <w:bCs/>
          <w:color w:val="1F2933"/>
          <w:sz w:val="21"/>
          <w:szCs w:val="21"/>
        </w:rPr>
        <w:t xml:space="preserve">$137,642</w:t>
      </w:r>
      <w:r>
        <w:rPr>
          <w:rFonts w:ascii="Calibri" w:cs="Calibri" w:eastAsia="Calibri" w:hAnsi="Calibri"/>
          <w:color w:val="1F2933"/>
          <w:sz w:val="21"/>
          <w:szCs w:val="21"/>
        </w:rPr>
        <w:t xml:space="preserve"> of legally excludable levy. ERS rose 1.1 points and does not qualify.</w:t>
      </w:r>
    </w:p>
    <w:p>
      <w:pPr>
        <w:spacing w:after="120" w:line="276"/>
      </w:pPr>
      <w:r>
        <w:rPr>
          <w:rFonts w:ascii="Calibri" w:cs="Calibri" w:eastAsia="Calibri" w:hAnsi="Calibri"/>
          <w:color w:val="1F2933"/>
          <w:sz w:val="21"/>
          <w:szCs w:val="21"/>
        </w:rPr>
        <w:t xml:space="preserve">This raises the legal ceiling rather than cutting spending. It is the mirror image of the 2018–2022 period, when the ceiling was miscalculated in the other direction. The Town’s own ERS/PFRS billing detail would sharpen the estimate.</w:t>
      </w:r>
    </w:p>
    <w:p>
      <w:pPr>
        <w:pStyle w:val="Heading1"/>
        <w:spacing w:after="140" w:before="340"/>
      </w:pPr>
      <w:r>
        <w:rPr>
          <w:rFonts w:ascii="Calibri" w:cs="Calibri" w:eastAsia="Calibri" w:hAnsi="Calibri"/>
          <w:b/>
          <w:bCs/>
          <w:color w:val="284A69"/>
          <w:sz w:val="28"/>
          <w:szCs w:val="28"/>
        </w:rPr>
        <w:t xml:space="preserve">3. What the package adds up to</w:t>
      </w:r>
    </w:p>
    <w:tbl>
      <w:tblPr>
        <w:tblW w:type="dxa" w:w="9360"/>
        <w:tblBorders>
          <w:top w:val="single" w:color="C8D3DE" w:sz="2"/>
          <w:left w:val="single" w:color="C8D3DE" w:sz="2"/>
          <w:bottom w:val="single" w:color="C8D3DE" w:sz="2"/>
          <w:right w:val="single" w:color="C8D3DE" w:sz="2"/>
          <w:insideH w:val="single" w:color="DCE4EC" w:sz="2"/>
          <w:insideV w:val="single" w:color="DCE4EC" w:sz="2"/>
        </w:tblBorders>
      </w:tblPr>
      <w:tblGrid>
        <w:gridCol w:w="5060"/>
        <w:gridCol w:w="2150"/>
        <w:gridCol w:w="2150"/>
      </w:tblGrid>
      <w:tr>
        <w:trPr>
          <w:tblHeader/>
        </w:trPr>
        <w:tc>
          <w:tcPr>
            <w:tcW w:type="dxa" w:w="5060"/>
            <w:shd w:fill="284A6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Measure</w:t>
            </w:r>
          </w:p>
        </w:tc>
        <w:tc>
          <w:tcPr>
            <w:tcW w:type="dxa" w:w="2150"/>
            <w:shd w:fill="284A6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Low</w:t>
            </w:r>
          </w:p>
        </w:tc>
        <w:tc>
          <w:tcPr>
            <w:tcW w:type="dxa" w:w="2150"/>
            <w:shd w:fill="284A6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High</w:t>
            </w:r>
          </w:p>
        </w:tc>
      </w:tr>
      <w:tr>
        <w:tc>
          <w:tcPr>
            <w:tcW w:type="dxa" w:w="50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Personnel and policy package (Rec. 2)</w:t>
            </w:r>
          </w:p>
        </w:tc>
        <w:tc>
          <w:tcPr>
            <w:tcW w:type="dxa" w:w="21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$640,321</w:t>
            </w:r>
          </w:p>
        </w:tc>
        <w:tc>
          <w:tcPr>
            <w:tcW w:type="dxa" w:w="21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$640,321</w:t>
            </w:r>
          </w:p>
        </w:tc>
      </w:tr>
      <w:tr>
        <w:tc>
          <w:tcPr>
            <w:tcW w:type="dxa" w:w="50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Line items audited before baseline (Rec. 3)</w:t>
            </w:r>
          </w:p>
        </w:tc>
        <w:tc>
          <w:tcPr>
            <w:tcW w:type="dxa" w:w="215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$627,400</w:t>
            </w:r>
          </w:p>
        </w:tc>
        <w:tc>
          <w:tcPr>
            <w:tcW w:type="dxa" w:w="215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$627,400</w:t>
            </w:r>
          </w:p>
        </w:tc>
      </w:tr>
      <w:tr>
        <w:tc>
          <w:tcPr>
            <w:tcW w:type="dxa" w:w="50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Firm-confidence run-rate trims (Rec. 4)</w:t>
            </w:r>
          </w:p>
        </w:tc>
        <w:tc>
          <w:tcPr>
            <w:tcW w:type="dxa" w:w="21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$828,210</w:t>
            </w:r>
          </w:p>
        </w:tc>
        <w:tc>
          <w:tcPr>
            <w:tcW w:type="dxa" w:w="21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$828,210</w:t>
            </w:r>
          </w:p>
        </w:tc>
      </w:tr>
      <w:tr>
        <w:tc>
          <w:tcPr>
            <w:tcW w:type="dxa" w:w="50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Retirement-incentive savings, already adopted (Rec. 1)</w:t>
            </w:r>
          </w:p>
        </w:tc>
        <w:tc>
          <w:tcPr>
            <w:tcW w:type="dxa" w:w="215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$500,000</w:t>
            </w:r>
          </w:p>
        </w:tc>
        <w:tc>
          <w:tcPr>
            <w:tcW w:type="dxa" w:w="2150"/>
            <w:shd w:fill="F4F7FA"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$800,000</w:t>
            </w:r>
          </w:p>
        </w:tc>
      </w:tr>
      <w:tr>
        <w:tc>
          <w:tcPr>
            <w:tcW w:type="dxa" w:w="50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Pension exclusion correctly claimed (Rec. 5)</w:t>
            </w:r>
          </w:p>
        </w:tc>
        <w:tc>
          <w:tcPr>
            <w:tcW w:type="dxa" w:w="21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$137,642</w:t>
            </w:r>
          </w:p>
        </w:tc>
        <w:tc>
          <w:tcPr>
            <w:tcW w:type="dxa" w:w="2150"/>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$137,642</w:t>
            </w:r>
          </w:p>
        </w:tc>
      </w:tr>
      <w:tr>
        <w:tc>
          <w:tcPr>
            <w:tcW w:type="dxa" w:w="5060"/>
            <w:shd w:fill="FDF3DA" w:color="auto" w:val="clear"/>
            <w:tcMar>
              <w:top w:type="dxa" w:w="70"/>
              <w:left w:type="dxa" w:w="110"/>
              <w:bottom w:type="dxa" w:w="70"/>
              <w:right w:type="dxa" w:w="110"/>
            </w:tcMar>
          </w:tcPr>
          <w:p>
            <w:pPr>
              <w:spacing w:after="0" w:line="250"/>
            </w:pPr>
            <w:r>
              <w:rPr>
                <w:rFonts w:ascii="Calibri" w:cs="Calibri" w:eastAsia="Calibri" w:hAnsi="Calibri"/>
                <w:b/>
                <w:bCs/>
                <w:color w:val="1F2933"/>
                <w:sz w:val="19"/>
                <w:szCs w:val="19"/>
              </w:rPr>
              <w:t xml:space="preserve">Total</w:t>
            </w:r>
          </w:p>
        </w:tc>
        <w:tc>
          <w:tcPr>
            <w:tcW w:type="dxa" w:w="2150"/>
            <w:shd w:fill="FDF3DA" w:color="auto" w:val="clear"/>
            <w:tcMar>
              <w:top w:type="dxa" w:w="70"/>
              <w:left w:type="dxa" w:w="110"/>
              <w:bottom w:type="dxa" w:w="70"/>
              <w:right w:type="dxa" w:w="110"/>
            </w:tcMar>
          </w:tcPr>
          <w:p>
            <w:pPr>
              <w:spacing w:after="0" w:line="250"/>
              <w:jc w:val="right"/>
            </w:pPr>
            <w:r>
              <w:rPr>
                <w:rFonts w:ascii="Calibri" w:cs="Calibri" w:eastAsia="Calibri" w:hAnsi="Calibri"/>
                <w:b/>
                <w:bCs/>
                <w:color w:val="1F2933"/>
                <w:sz w:val="19"/>
                <w:szCs w:val="19"/>
              </w:rPr>
              <w:t xml:space="preserve">$2,733,573</w:t>
            </w:r>
          </w:p>
        </w:tc>
        <w:tc>
          <w:tcPr>
            <w:tcW w:type="dxa" w:w="2150"/>
            <w:shd w:fill="FDF3DA" w:color="auto" w:val="clear"/>
            <w:tcMar>
              <w:top w:type="dxa" w:w="70"/>
              <w:left w:type="dxa" w:w="110"/>
              <w:bottom w:type="dxa" w:w="70"/>
              <w:right w:type="dxa" w:w="110"/>
            </w:tcMar>
          </w:tcPr>
          <w:p>
            <w:pPr>
              <w:spacing w:after="0" w:line="250"/>
              <w:jc w:val="right"/>
            </w:pPr>
            <w:r>
              <w:rPr>
                <w:rFonts w:ascii="Calibri" w:cs="Calibri" w:eastAsia="Calibri" w:hAnsi="Calibri"/>
                <w:b/>
                <w:bCs/>
                <w:color w:val="1F2933"/>
                <w:sz w:val="19"/>
                <w:szCs w:val="19"/>
              </w:rPr>
              <w:t xml:space="preserve">$3,033,573</w:t>
            </w:r>
          </w:p>
        </w:tc>
      </w:tr>
      <w:tr>
        <w:tc>
          <w:tcPr>
            <w:tcW w:type="dxa" w:w="5060"/>
            <w:shd w:fill="EEF6FF"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Gap to close</w:t>
            </w:r>
          </w:p>
        </w:tc>
        <w:tc>
          <w:tcPr>
            <w:tcW w:type="dxa" w:w="2150"/>
            <w:shd w:fill="EEF6FF"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$2,757,133</w:t>
            </w:r>
          </w:p>
        </w:tc>
        <w:tc>
          <w:tcPr>
            <w:tcW w:type="dxa" w:w="2150"/>
            <w:shd w:fill="EEF6FF" w:color="auto" w:val="clear"/>
            <w:tcMar>
              <w:top w:type="dxa" w:w="70"/>
              <w:left w:type="dxa" w:w="110"/>
              <w:bottom w:type="dxa" w:w="70"/>
              <w:right w:type="dxa" w:w="110"/>
            </w:tcMar>
          </w:tcPr>
          <w:p>
            <w:pPr>
              <w:spacing w:after="0" w:line="250"/>
              <w:jc w:val="right"/>
            </w:pPr>
            <w:r>
              <w:rPr>
                <w:rFonts w:ascii="Calibri" w:cs="Calibri" w:eastAsia="Calibri" w:hAnsi="Calibri"/>
                <w:color w:val="1F2933"/>
                <w:sz w:val="19"/>
                <w:szCs w:val="19"/>
              </w:rPr>
              <w:t xml:space="preserve">$2,757,133</w:t>
            </w:r>
          </w:p>
        </w:tc>
      </w:tr>
      <w:tr>
        <w:tc>
          <w:tcPr>
            <w:tcW w:type="dxa" w:w="5060"/>
            <w:shd w:fill="EEF6FF" w:color="auto" w:val="clear"/>
            <w:tcMar>
              <w:top w:type="dxa" w:w="70"/>
              <w:left w:type="dxa" w:w="110"/>
              <w:bottom w:type="dxa" w:w="70"/>
              <w:right w:type="dxa" w:w="110"/>
            </w:tcMar>
          </w:tcPr>
          <w:p>
            <w:pPr>
              <w:spacing w:after="0" w:line="250"/>
            </w:pPr>
            <w:r>
              <w:rPr>
                <w:rFonts w:ascii="Calibri" w:cs="Calibri" w:eastAsia="Calibri" w:hAnsi="Calibri"/>
                <w:b/>
                <w:bCs/>
                <w:color w:val="1F2933"/>
                <w:sz w:val="19"/>
                <w:szCs w:val="19"/>
              </w:rPr>
              <w:t xml:space="preserve">Share of the gap covered</w:t>
            </w:r>
          </w:p>
        </w:tc>
        <w:tc>
          <w:tcPr>
            <w:tcW w:type="dxa" w:w="2150"/>
            <w:shd w:fill="EEF6FF" w:color="auto" w:val="clear"/>
            <w:tcMar>
              <w:top w:type="dxa" w:w="70"/>
              <w:left w:type="dxa" w:w="110"/>
              <w:bottom w:type="dxa" w:w="70"/>
              <w:right w:type="dxa" w:w="110"/>
            </w:tcMar>
          </w:tcPr>
          <w:p>
            <w:pPr>
              <w:spacing w:after="0" w:line="250"/>
              <w:jc w:val="right"/>
            </w:pPr>
            <w:r>
              <w:rPr>
                <w:rFonts w:ascii="Calibri" w:cs="Calibri" w:eastAsia="Calibri" w:hAnsi="Calibri"/>
                <w:b/>
                <w:bCs/>
                <w:color w:val="1F2933"/>
                <w:sz w:val="19"/>
                <w:szCs w:val="19"/>
              </w:rPr>
              <w:t xml:space="preserve">99%</w:t>
            </w:r>
          </w:p>
        </w:tc>
        <w:tc>
          <w:tcPr>
            <w:tcW w:type="dxa" w:w="2150"/>
            <w:shd w:fill="EEF6FF" w:color="auto" w:val="clear"/>
            <w:tcMar>
              <w:top w:type="dxa" w:w="70"/>
              <w:left w:type="dxa" w:w="110"/>
              <w:bottom w:type="dxa" w:w="70"/>
              <w:right w:type="dxa" w:w="110"/>
            </w:tcMar>
          </w:tcPr>
          <w:p>
            <w:pPr>
              <w:spacing w:after="0" w:line="250"/>
              <w:jc w:val="right"/>
            </w:pPr>
            <w:r>
              <w:rPr>
                <w:rFonts w:ascii="Calibri" w:cs="Calibri" w:eastAsia="Calibri" w:hAnsi="Calibri"/>
                <w:b/>
                <w:bCs/>
                <w:color w:val="1F2933"/>
                <w:sz w:val="19"/>
                <w:szCs w:val="19"/>
              </w:rPr>
              <w:t xml:space="preserve">110%</w:t>
            </w:r>
          </w:p>
        </w:tc>
      </w:tr>
    </w:tbl>
    <w:p>
      <w:pPr>
        <w:spacing w:after="100" w:line="276"/>
      </w:pPr>
      <w:r>
        <w:rPr>
          <w:rFonts w:ascii="Calibri" w:cs="Calibri" w:eastAsia="Calibri" w:hAnsi="Calibri"/>
          <w:color w:val="1F2933"/>
          <w:sz w:val="21"/>
          <w:szCs w:val="21"/>
        </w:rPr>
        <w:t xml:space="preserve"/>
      </w:r>
    </w:p>
    <w:p>
      <w:pPr>
        <w:spacing w:after="120" w:line="276"/>
      </w:pPr>
      <w:r>
        <w:rPr>
          <w:rFonts w:ascii="Calibri" w:cs="Calibri" w:eastAsia="Calibri" w:hAnsi="Calibri"/>
          <w:color w:val="1F2933"/>
          <w:sz w:val="21"/>
          <w:szCs w:val="21"/>
        </w:rPr>
        <w:t xml:space="preserve">At the low end the package covers essentially the entire gap; at the high end it covers the gap with room to spare. Even discounted heavily — if half the trims prove unavailable and retirements land at the bottom of the range — it changes the size and character of any override the Board might still need.</w:t>
      </w:r>
    </w:p>
    <w:p>
      <w:pPr>
        <w:pStyle w:val="Heading1"/>
        <w:spacing w:after="140" w:before="340"/>
      </w:pPr>
      <w:r>
        <w:rPr>
          <w:rFonts w:ascii="Calibri" w:cs="Calibri" w:eastAsia="Calibri" w:hAnsi="Calibri"/>
          <w:b/>
          <w:bCs/>
          <w:color w:val="284A69"/>
          <w:sz w:val="28"/>
          <w:szCs w:val="28"/>
        </w:rPr>
        <w:t xml:space="preserve">4. Two approaches I would not recommend</w:t>
      </w:r>
    </w:p>
    <w:p>
      <w:pPr>
        <w:pStyle w:val="Heading2"/>
        <w:spacing w:after="100" w:before="240"/>
      </w:pPr>
      <w:r>
        <w:rPr>
          <w:rFonts w:ascii="Calibri" w:cs="Calibri" w:eastAsia="Calibri" w:hAnsi="Calibri"/>
          <w:b/>
          <w:bCs/>
          <w:color w:val="284A69"/>
          <w:sz w:val="23"/>
          <w:szCs w:val="23"/>
        </w:rPr>
        <w:t xml:space="preserve">An across-the-board percentage cut</w:t>
      </w:r>
    </w:p>
    <w:p>
      <w:pPr>
        <w:spacing w:after="120" w:line="276"/>
      </w:pPr>
      <w:r>
        <w:rPr>
          <w:rFonts w:ascii="Calibri" w:cs="Calibri" w:eastAsia="Calibri" w:hAnsi="Calibri"/>
          <w:color w:val="1F2933"/>
          <w:sz w:val="21"/>
          <w:szCs w:val="21"/>
        </w:rPr>
        <w:t xml:space="preserve">A flat 2.5% General Fund directive appears to yield about </w:t>
      </w:r>
      <w:r>
        <w:rPr>
          <w:rFonts w:ascii="Calibri" w:cs="Calibri" w:eastAsia="Calibri" w:hAnsi="Calibri"/>
          <w:b/>
          <w:bCs/>
          <w:color w:val="1F2933"/>
          <w:sz w:val="21"/>
          <w:szCs w:val="21"/>
        </w:rPr>
        <w:t xml:space="preserve">$1,723,635</w:t>
      </w:r>
      <w:r>
        <w:rPr>
          <w:rFonts w:ascii="Calibri" w:cs="Calibri" w:eastAsia="Calibri" w:hAnsi="Calibri"/>
          <w:color w:val="1F2933"/>
          <w:sz w:val="21"/>
          <w:szCs w:val="21"/>
        </w:rPr>
        <w:t xml:space="preserve">. It does not. Roughly three-quarters of the base is personnel and mandated cost — pension, debt service, insurance — that a directive cannot touch. Applied only to genuinely controllable lines, 2.5% yields about </w:t>
      </w:r>
      <w:r>
        <w:rPr>
          <w:rFonts w:ascii="Calibri" w:cs="Calibri" w:eastAsia="Calibri" w:hAnsi="Calibri"/>
          <w:b/>
          <w:bCs/>
          <w:color w:val="1F2933"/>
          <w:sz w:val="21"/>
          <w:szCs w:val="21"/>
        </w:rPr>
        <w:t xml:space="preserve">$725,967</w:t>
      </w:r>
      <w:r>
        <w:rPr>
          <w:rFonts w:ascii="Calibri" w:cs="Calibri" w:eastAsia="Calibri" w:hAnsi="Calibri"/>
          <w:color w:val="1F2933"/>
          <w:sz w:val="21"/>
          <w:szCs w:val="21"/>
        </w:rPr>
        <w:t xml:space="preserve"> — less than the targeted package in Recommendations 2 through 4, while cutting well-run departments and poorly-run ones by the same percentage.</w:t>
      </w:r>
    </w:p>
    <w:p>
      <w:pPr>
        <w:pStyle w:val="Heading2"/>
        <w:spacing w:after="100" w:before="240"/>
      </w:pPr>
      <w:r>
        <w:rPr>
          <w:rFonts w:ascii="Calibri" w:cs="Calibri" w:eastAsia="Calibri" w:hAnsi="Calibri"/>
          <w:b/>
          <w:bCs/>
          <w:color w:val="284A69"/>
          <w:sz w:val="23"/>
          <w:szCs w:val="23"/>
        </w:rPr>
        <w:t xml:space="preserve">Filling the gap from fund balance</w:t>
      </w:r>
    </w:p>
    <w:p>
      <w:pPr>
        <w:spacing w:after="120" w:line="276"/>
      </w:pPr>
      <w:r>
        <w:rPr>
          <w:rFonts w:ascii="Calibri" w:cs="Calibri" w:eastAsia="Calibri" w:hAnsi="Calibri"/>
          <w:color w:val="1F2933"/>
          <w:sz w:val="21"/>
          <w:szCs w:val="21"/>
        </w:rPr>
        <w:t xml:space="preserve">Appropriating the full </w:t>
      </w:r>
      <w:r>
        <w:rPr>
          <w:rFonts w:ascii="Calibri" w:cs="Calibri" w:eastAsia="Calibri" w:hAnsi="Calibri"/>
          <w:color w:val="1F2933"/>
          <w:sz w:val="21"/>
          <w:szCs w:val="21"/>
        </w:rPr>
        <w:t xml:space="preserve">$2,757,133</w:t>
      </w:r>
      <w:r>
        <w:rPr>
          <w:rFonts w:ascii="Calibri" w:cs="Calibri" w:eastAsia="Calibri" w:hAnsi="Calibri"/>
          <w:color w:val="1F2933"/>
          <w:sz w:val="21"/>
          <w:szCs w:val="21"/>
        </w:rPr>
        <w:t xml:space="preserve"> from reserves is the easiest vote available — no tax increase, no service cut. It also spends one-time money on a recurring obligation, which means the same gap returns in 2028 having consumed roughly 8.3% of the cushion. Fund balance is the right tool for the residual after the recurring measures are taken, not for the whole gap.</w:t>
      </w:r>
    </w:p>
    <w:p>
      <w:pPr>
        <w:pStyle w:val="Heading1"/>
        <w:spacing w:after="140" w:before="340"/>
      </w:pPr>
      <w:r>
        <w:rPr>
          <w:rFonts w:ascii="Calibri" w:cs="Calibri" w:eastAsia="Calibri" w:hAnsi="Calibri"/>
          <w:b/>
          <w:bCs/>
          <w:color w:val="284A69"/>
          <w:sz w:val="28"/>
          <w:szCs w:val="28"/>
        </w:rPr>
        <w:t xml:space="preserve">5. Three balance-sheet moves worth the same budget cycle</w:t>
      </w:r>
    </w:p>
    <w:p>
      <w:pPr>
        <w:spacing w:after="120" w:line="276"/>
      </w:pPr>
      <w:r>
        <w:rPr>
          <w:rFonts w:ascii="Calibri" w:cs="Calibri" w:eastAsia="Calibri" w:hAnsi="Calibri"/>
          <w:color w:val="1F2933"/>
          <w:sz w:val="21"/>
          <w:szCs w:val="21"/>
        </w:rPr>
        <w:t xml:space="preserve">These do not close the 2027 gap, but each is timely and two of them bear directly on the Town’s credit rating.</w:t>
      </w:r>
    </w:p>
    <w:p>
      <w:pPr>
        <w:pStyle w:val="Heading2"/>
        <w:spacing w:after="100" w:before="240"/>
      </w:pPr>
      <w:r>
        <w:rPr>
          <w:rFonts w:ascii="Calibri" w:cs="Calibri" w:eastAsia="Calibri" w:hAnsi="Calibri"/>
          <w:b/>
          <w:bCs/>
          <w:color w:val="284A69"/>
          <w:sz w:val="23"/>
          <w:szCs w:val="23"/>
        </w:rPr>
        <w:t xml:space="preserve">Begin pre-funding OPEB through a General Municipal Law §6-r trust</w:t>
      </w:r>
    </w:p>
    <w:p>
      <w:pPr>
        <w:spacing w:after="120" w:line="276"/>
      </w:pPr>
      <w:r>
        <w:rPr>
          <w:rFonts w:ascii="Calibri" w:cs="Calibri" w:eastAsia="Calibri" w:hAnsi="Calibri"/>
          <w:color w:val="1F2933"/>
          <w:sz w:val="21"/>
          <w:szCs w:val="21"/>
        </w:rPr>
        <w:t xml:space="preserve">Riverhead carries </w:t>
      </w:r>
      <w:r>
        <w:rPr>
          <w:rFonts w:ascii="Calibri" w:cs="Calibri" w:eastAsia="Calibri" w:hAnsi="Calibri"/>
          <w:b/>
          <w:bCs/>
          <w:color w:val="1F2933"/>
          <w:sz w:val="21"/>
          <w:szCs w:val="21"/>
        </w:rPr>
        <w:t xml:space="preserve">$152,597,117</w:t>
      </w:r>
      <w:r>
        <w:rPr>
          <w:rFonts w:ascii="Calibri" w:cs="Calibri" w:eastAsia="Calibri" w:hAnsi="Calibri"/>
          <w:color w:val="1F2933"/>
          <w:sz w:val="21"/>
          <w:szCs w:val="21"/>
        </w:rPr>
        <w:t xml:space="preserve"> in unfunded retiree health liability (2023 audit), paid year to year out of the operating budget — about </w:t>
      </w:r>
      <w:r>
        <w:rPr>
          <w:rFonts w:ascii="Calibri" w:cs="Calibri" w:eastAsia="Calibri" w:hAnsi="Calibri"/>
          <w:color w:val="1F2933"/>
          <w:sz w:val="21"/>
          <w:szCs w:val="21"/>
        </w:rPr>
        <w:t xml:space="preserve">$13,726</w:t>
      </w:r>
      <w:r>
        <w:rPr>
          <w:rFonts w:ascii="Calibri" w:cs="Calibri" w:eastAsia="Calibri" w:hAnsi="Calibri"/>
          <w:color w:val="1F2933"/>
          <w:sz w:val="21"/>
          <w:szCs w:val="21"/>
        </w:rPr>
        <w:t xml:space="preserve"> per resident, fourth-highest among ten Suffolk towns. Moody’s named “elevated OPEB liability” explicitly in its 2021 upgrade language. Because GASB 75 requires an unfunded plan to discount at a low municipal-bond rate while a funded trust may use its expected return, seeding a trust can reduce the reported liability itself — not merely the appearance of it. A first deposit from surplus reserves would be a concrete, board-actionable step.</w:t>
      </w:r>
    </w:p>
    <w:p>
      <w:pPr>
        <w:pStyle w:val="Heading2"/>
        <w:spacing w:after="100" w:before="240"/>
      </w:pPr>
      <w:r>
        <w:rPr>
          <w:rFonts w:ascii="Calibri" w:cs="Calibri" w:eastAsia="Calibri" w:hAnsi="Calibri"/>
          <w:b/>
          <w:bCs/>
          <w:color w:val="284A69"/>
          <w:sz w:val="23"/>
          <w:szCs w:val="23"/>
        </w:rPr>
        <w:t xml:space="preserve">Adopt a written fund-balance policy</w:t>
      </w:r>
    </w:p>
    <w:p>
      <w:pPr>
        <w:spacing w:after="120" w:line="276"/>
      </w:pPr>
      <w:r>
        <w:rPr>
          <w:rFonts w:ascii="Calibri" w:cs="Calibri" w:eastAsia="Calibri" w:hAnsi="Calibri"/>
          <w:color w:val="1F2933"/>
          <w:sz w:val="21"/>
          <w:szCs w:val="21"/>
        </w:rPr>
        <w:t xml:space="preserve">Unassigned General Fund balance stood at </w:t>
      </w:r>
      <w:r>
        <w:rPr>
          <w:rFonts w:ascii="Calibri" w:cs="Calibri" w:eastAsia="Calibri" w:hAnsi="Calibri"/>
          <w:b/>
          <w:bCs/>
          <w:color w:val="1F2933"/>
          <w:sz w:val="21"/>
          <w:szCs w:val="21"/>
        </w:rPr>
        <w:t xml:space="preserve">$29,671,084</w:t>
      </w:r>
      <w:r>
        <w:rPr>
          <w:rFonts w:ascii="Calibri" w:cs="Calibri" w:eastAsia="Calibri" w:hAnsi="Calibri"/>
          <w:color w:val="1F2933"/>
          <w:sz w:val="21"/>
          <w:szCs w:val="21"/>
        </w:rPr>
        <w:t xml:space="preserve"> at the close of 2025 — about 42.9% of General Fund appropriations, against a 15–20% policy range and a Southampton benchmark of 17%. Holding a strong cushion is a genuine strength that rating agencies reward. Holding one without a written policy stating the target is a governance gap that peer towns with higher ratings do not have.</w:t>
      </w:r>
    </w:p>
    <w:p>
      <w:pPr>
        <w:pStyle w:val="Heading2"/>
        <w:spacing w:after="100" w:before="240"/>
      </w:pPr>
      <w:r>
        <w:rPr>
          <w:rFonts w:ascii="Calibri" w:cs="Calibri" w:eastAsia="Calibri" w:hAnsi="Calibri"/>
          <w:b/>
          <w:bCs/>
          <w:color w:val="284A69"/>
          <w:sz w:val="23"/>
          <w:szCs w:val="23"/>
        </w:rPr>
        <w:t xml:space="preserve">Decide the community housing question deliberately</w:t>
      </w:r>
    </w:p>
    <w:p>
      <w:pPr>
        <w:spacing w:after="120" w:line="276"/>
      </w:pPr>
      <w:r>
        <w:rPr>
          <w:rFonts w:ascii="Calibri" w:cs="Calibri" w:eastAsia="Calibri" w:hAnsi="Calibri"/>
          <w:color w:val="1F2933"/>
          <w:sz w:val="21"/>
          <w:szCs w:val="21"/>
        </w:rPr>
        <w:t xml:space="preserve">Riverhead is the only one of the five Peconic Bay towns without a community housing fund and the community housing plan state law requires before that money can be spent. On the Town’s own audited transfer-tax revenue, the 0.5% housing tax the other four towns levy would have raised roughly </w:t>
      </w:r>
      <w:r>
        <w:rPr>
          <w:rFonts w:ascii="Calibri" w:cs="Calibri" w:eastAsia="Calibri" w:hAnsi="Calibri"/>
          <w:b/>
          <w:bCs/>
          <w:color w:val="1F2933"/>
          <w:sz w:val="21"/>
          <w:szCs w:val="21"/>
        </w:rPr>
        <w:t xml:space="preserve">$5,479,894–$5,925,486</w:t>
      </w:r>
      <w:r>
        <w:rPr>
          <w:rFonts w:ascii="Calibri" w:cs="Calibri" w:eastAsia="Calibri" w:hAnsi="Calibri"/>
          <w:color w:val="1F2933"/>
          <w:sz w:val="21"/>
          <w:szCs w:val="21"/>
        </w:rPr>
        <w:t xml:space="preserve"> here between 2023 and 2025. Whether to pursue it is a policy judgment — and under the statute the tax itself would be decided by the voters at a mandatory referendum, not by the Board. The recommendation is only that the 2027 cycle include an explicit decision on the record rather than a lapse by default.</w:t>
      </w:r>
    </w:p>
    <w:p>
      <w:pPr>
        <w:pStyle w:val="Heading1"/>
        <w:spacing w:after="140" w:before="340"/>
      </w:pPr>
      <w:r>
        <w:rPr>
          <w:rFonts w:ascii="Calibri" w:cs="Calibri" w:eastAsia="Calibri" w:hAnsi="Calibri"/>
          <w:b/>
          <w:bCs/>
          <w:color w:val="284A69"/>
          <w:sz w:val="28"/>
          <w:szCs w:val="28"/>
        </w:rPr>
        <w:t xml:space="preserve">6. Two decisions this Board got right</w:t>
      </w:r>
    </w:p>
    <w:p>
      <w:pPr>
        <w:spacing w:after="120" w:line="276"/>
      </w:pPr>
      <w:r>
        <w:rPr>
          <w:rFonts w:ascii="Calibri" w:cs="Calibri" w:eastAsia="Calibri" w:hAnsi="Calibri"/>
          <w:color w:val="1F2933"/>
          <w:sz w:val="21"/>
          <w:szCs w:val="21"/>
        </w:rPr>
        <w:t xml:space="preserve">Any critique should acknowledge what worked. On July 7, 2026 the Board voted unanimously (Resolution 2026-642) to retire the remaining Community Preservation Fund land-preservation debt about five years early, using $7.2 million of CPF balance plus roughly $92,000 from the General Fund, saving an estimated $660,000 in future interest. That is precisely the right use of one-time money — retiring a recurring obligation rather than funding one.</w:t>
      </w:r>
    </w:p>
    <w:p>
      <w:pPr>
        <w:spacing w:after="120" w:line="276"/>
      </w:pPr>
      <w:r>
        <w:rPr>
          <w:rFonts w:ascii="Calibri" w:cs="Calibri" w:eastAsia="Calibri" w:hAnsi="Calibri"/>
          <w:color w:val="1F2933"/>
          <w:sz w:val="21"/>
          <w:szCs w:val="21"/>
        </w:rPr>
        <w:t xml:space="preserve">The same meeting adopted the three retirement incentives, unanimously, across a politically divided board. Recommendation 1 asks only that the savings be captured in the tentative budget rather than absorbed.</w:t>
      </w:r>
    </w:p>
    <w:p>
      <w:pPr>
        <w:pStyle w:val="Heading1"/>
        <w:spacing w:after="140" w:before="340"/>
      </w:pPr>
      <w:r>
        <w:rPr>
          <w:rFonts w:ascii="Calibri" w:cs="Calibri" w:eastAsia="Calibri" w:hAnsi="Calibri"/>
          <w:b/>
          <w:bCs/>
          <w:color w:val="284A69"/>
          <w:sz w:val="28"/>
          <w:szCs w:val="28"/>
        </w:rPr>
        <w:t xml:space="preserve">Sources and method</w:t>
      </w:r>
    </w:p>
    <w:p>
      <w:pPr>
        <w:spacing w:after="120" w:line="276"/>
      </w:pPr>
      <w:r>
        <w:rPr>
          <w:rFonts w:ascii="Calibri" w:cs="Calibri" w:eastAsia="Calibri" w:hAnsi="Calibri"/>
          <w:color w:val="1F2933"/>
          <w:sz w:val="21"/>
          <w:szCs w:val="21"/>
        </w:rPr>
        <w:t xml:space="preserve">Every figure above traces to a public document. Where a number is an estimate rather than an audited figure, it is labeled as such in the text.</w:t>
      </w:r>
    </w:p>
    <w:tbl>
      <w:tblPr>
        <w:tblW w:type="dxa" w:w="9360"/>
        <w:tblBorders>
          <w:top w:val="single" w:color="C8D3DE" w:sz="2"/>
          <w:left w:val="single" w:color="C8D3DE" w:sz="2"/>
          <w:bottom w:val="single" w:color="C8D3DE" w:sz="2"/>
          <w:right w:val="single" w:color="C8D3DE" w:sz="2"/>
          <w:insideH w:val="single" w:color="DCE4EC" w:sz="2"/>
          <w:insideV w:val="single" w:color="DCE4EC" w:sz="2"/>
        </w:tblBorders>
      </w:tblPr>
      <w:tblGrid>
        <w:gridCol w:w="3260"/>
        <w:gridCol w:w="6100"/>
      </w:tblGrid>
      <w:tr>
        <w:trPr>
          <w:tblHeader/>
        </w:trPr>
        <w:tc>
          <w:tcPr>
            <w:tcW w:type="dxa" w:w="3260"/>
            <w:shd w:fill="284A6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Source</w:t>
            </w:r>
          </w:p>
        </w:tc>
        <w:tc>
          <w:tcPr>
            <w:tcW w:type="dxa" w:w="6100"/>
            <w:shd w:fill="284A6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supports</w:t>
            </w:r>
          </w:p>
        </w:tc>
      </w:tr>
      <w:tr>
        <w:tc>
          <w:tcPr>
            <w:tcW w:type="dxa" w:w="32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Town of Riverhead 2026 Adopted Budget and 2026 Budget Supplement</w:t>
            </w:r>
          </w:p>
        </w:tc>
        <w:tc>
          <w:tcPr>
            <w:tcW w:type="dxa" w:w="610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Appropriations, line-item growth, the 52 controllable lines above trailing run-rate</w:t>
            </w:r>
          </w:p>
        </w:tc>
      </w:tr>
      <w:tr>
        <w:tc>
          <w:tcPr>
            <w:tcW w:type="dxa" w:w="32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Town of Riverhead 2025 Annual Financial Report</w:t>
            </w:r>
          </w:p>
        </w:tc>
        <w:tc>
          <w:tcPr>
            <w:tcW w:type="dxa" w:w="610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Fund balance ($33,407,251 General Fund; $29,671,084 unassigned), debt ($38,423,858 bonded, $21,975,000 in notes)</w:t>
            </w:r>
          </w:p>
        </w:tc>
      </w:tr>
      <w:tr>
        <w:tc>
          <w:tcPr>
            <w:tcW w:type="dxa" w:w="32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Town of Riverhead 2023 Audited Basic Financial Statements</w:t>
            </w:r>
          </w:p>
        </w:tc>
        <w:tc>
          <w:tcPr>
            <w:tcW w:type="dxa" w:w="610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OPEB liability ($152,597,117); constitutional debt-limit metrics</w:t>
            </w:r>
          </w:p>
        </w:tc>
      </w:tr>
      <w:tr>
        <w:tc>
          <w:tcPr>
            <w:tcW w:type="dxa" w:w="32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Town Board minutes, July 7, 2026</w:t>
            </w:r>
          </w:p>
        </w:tc>
        <w:tc>
          <w:tcPr>
            <w:tcW w:type="dxa" w:w="610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Resolutions 2026-642, 2026-678, 2026-679, 2026-680 — all unanimous</w:t>
            </w:r>
          </w:p>
        </w:tc>
      </w:tr>
      <w:tr>
        <w:tc>
          <w:tcPr>
            <w:tcW w:type="dxa" w:w="32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NYS Comptroller, employer contribution rates for SFY 2026-27</w:t>
            </w:r>
          </w:p>
        </w:tc>
        <w:tc>
          <w:tcPr>
            <w:tcW w:type="dxa" w:w="610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PFRS 33.7% → 36.5%; ERS 16.5% → 17.6% — the pension-exclusion calculation</w:t>
            </w:r>
          </w:p>
        </w:tc>
      </w:tr>
      <w:tr>
        <w:tc>
          <w:tcPr>
            <w:tcW w:type="dxa" w:w="326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Town of Southampton 2026 Adopted Budget</w:t>
            </w:r>
          </w:p>
        </w:tc>
        <w:tc>
          <w:tcPr>
            <w:tcW w:type="dxa" w:w="6100"/>
            <w:shd w:fill="F4F7FA" w:color="auto" w:val="clear"/>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Police overtime peer benchmark ($13,069.50 per officer)</w:t>
            </w:r>
          </w:p>
        </w:tc>
      </w:tr>
      <w:tr>
        <w:tc>
          <w:tcPr>
            <w:tcW w:type="dxa" w:w="326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Peconic Bay CPF financial statements; NY Town Law § 64-k</w:t>
            </w:r>
          </w:p>
        </w:tc>
        <w:tc>
          <w:tcPr>
            <w:tcW w:type="dxa" w:w="6100"/>
            <w:tcMar>
              <w:top w:type="dxa" w:w="70"/>
              <w:left w:type="dxa" w:w="110"/>
              <w:bottom w:type="dxa" w:w="70"/>
              <w:right w:type="dxa" w:w="110"/>
            </w:tcMar>
          </w:tcPr>
          <w:p>
            <w:pPr>
              <w:spacing w:after="0" w:line="250"/>
            </w:pPr>
            <w:r>
              <w:rPr>
                <w:rFonts w:ascii="Calibri" w:cs="Calibri" w:eastAsia="Calibri" w:hAnsi="Calibri"/>
                <w:color w:val="1F2933"/>
                <w:sz w:val="19"/>
                <w:szCs w:val="19"/>
              </w:rPr>
              <w:t xml:space="preserve">Transfer-tax revenue history and the community housing fund provisions</w:t>
            </w:r>
          </w:p>
        </w:tc>
      </w:tr>
    </w:tbl>
    <w:p>
      <w:pPr>
        <w:spacing w:after="80" w:line="276"/>
      </w:pPr>
      <w:r>
        <w:rPr>
          <w:rFonts w:ascii="Calibri" w:cs="Calibri" w:eastAsia="Calibri" w:hAnsi="Calibri"/>
          <w:color w:val="1F2933"/>
          <w:sz w:val="21"/>
          <w:szCs w:val="21"/>
        </w:rPr>
        <w:t xml:space="preserve"/>
      </w:r>
    </w:p>
    <w:p>
      <w:pPr>
        <w:spacing w:after="120" w:line="276"/>
      </w:pPr>
      <w:r>
        <w:rPr>
          <w:rFonts w:ascii="Calibri" w:cs="Calibri" w:eastAsia="Calibri" w:hAnsi="Calibri"/>
          <w:color w:val="475569"/>
          <w:sz w:val="19"/>
          <w:szCs w:val="19"/>
        </w:rPr>
        <w:t xml:space="preserve">Method and caveats. The 2027 appropriation and levy projections carry each category forward using each bargaining unit’s own contract terms where a contract exists, and trailing averages where one does not — PBA and SOA agreements both expire December 31, 2026 with no public successor, so those lines are placeholders, not forecasts. The cap-gap figure is an estimate: the true ceiling is somewhat higher once the tax-base-growth factor and all exclusions are applied, which would narrow the gap. Savings estimates are modeled, not booked, and each depends on decisions that have not been made. The Town’s own ledgers would sharpen all of it, and any figure here that the Financial Administrator’s office can correct should be corrected.</w:t>
      </w:r>
    </w:p>
    <w:p>
      <w:pPr>
        <w:spacing w:after="60" w:line="276"/>
      </w:pPr>
      <w:r>
        <w:rPr>
          <w:rFonts w:ascii="Calibri" w:cs="Calibri" w:eastAsia="Calibri" w:hAnsi="Calibri"/>
          <w:color w:val="1F2933"/>
          <w:sz w:val="21"/>
          <w:szCs w:val="21"/>
        </w:rPr>
        <w:t xml:space="preserve"/>
      </w:r>
    </w:p>
    <w:p>
      <w:pPr>
        <w:spacing w:after="120" w:line="276"/>
      </w:pPr>
      <w:r>
        <w:rPr>
          <w:rFonts w:ascii="Calibri" w:cs="Calibri" w:eastAsia="Calibri" w:hAnsi="Calibri"/>
          <w:i/>
          <w:iCs/>
          <w:color w:val="64748B"/>
          <w:sz w:val="19"/>
          <w:szCs w:val="19"/>
        </w:rPr>
        <w:t xml:space="preserve">This document was prepared by a Riverhead resident using published Town records and state data. It is not an official Town document, carries no professional audit or legal opinion, and is offered as constructive input to the 2027 budget process.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Riverhead 2027 Budget — Options to Close the Tax-Cap Gap</dc:title>
  <dc:creator>Riverhead Budget Live</dc:creator>
  <dc:description>A resident-prepared budget proposal for the 2027 Town of Riverhead budget cycle.</dc:description>
  <cp:lastModifiedBy>Un-named</cp:lastModifiedBy>
  <cp:revision>1</cp:revision>
  <dcterms:created xsi:type="dcterms:W3CDTF">2026-08-19T00:22:51.786Z</dcterms:created>
  <dcterms:modified xsi:type="dcterms:W3CDTF">2026-08-19T00:22:51.787Z</dcterms:modified>
</cp:coreProperties>
</file>

<file path=docProps/custom.xml><?xml version="1.0" encoding="utf-8"?>
<Properties xmlns="http://schemas.openxmlformats.org/officeDocument/2006/custom-properties" xmlns:vt="http://schemas.openxmlformats.org/officeDocument/2006/docPropsVTypes"/>
</file>