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32"/>
        </w:rPr>
        <w:t>CAPSTONE FUAS</w:t>
      </w:r>
    </w:p>
    <w:p>
      <w:pPr>
        <w:jc w:val="center"/>
      </w:pPr>
      <w:r>
        <w:rPr>
          <w:b/>
          <w:color w:val="17365D"/>
          <w:sz w:val="54"/>
        </w:rPr>
        <w:t>Resumen integral del proyecto</w:t>
      </w:r>
    </w:p>
    <w:p>
      <w:pPr>
        <w:jc w:val="center"/>
      </w:pPr>
      <w:r>
        <w:rPr>
          <w:color w:val="595959"/>
          <w:sz w:val="28"/>
        </w:rPr>
        <w:t>Plataforma analítica para estimación y análisis histórico de beneficios de educación superior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040"/>
          </w:tcPr>
          <w:p>
            <w:r>
              <w:t>Capstone FUAS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5040"/>
          </w:tcPr>
          <w:p>
            <w:r>
              <w:t>Ingeniería en Informática - Duoc UC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040"/>
          </w:tcPr>
          <w:p>
            <w:r>
              <w:t>MVP funcional, versionado y desplegado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Despliegue</w:t>
            </w:r>
          </w:p>
        </w:tc>
        <w:tc>
          <w:tcPr>
            <w:tcW w:type="dxa" w:w="5040"/>
          </w:tcPr>
          <w:p>
            <w:r>
              <w:t>https://capstone-fuas.onrender.com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Fecha de actualización</w:t>
            </w:r>
          </w:p>
        </w:tc>
        <w:tc>
          <w:tcPr>
            <w:tcW w:type="dxa" w:w="5040"/>
          </w:tcPr>
          <w:p>
            <w:r>
              <w:t>18 de septiembre de 2026</w:t>
            </w:r>
          </w:p>
        </w:tc>
      </w:tr>
    </w:tbl>
    <w:p>
      <w:pPr>
        <w:spacing w:before="500"/>
        <w:jc w:val="center"/>
      </w:pPr>
      <w:r>
        <w:rPr>
          <w:i/>
          <w:color w:val="646464"/>
          <w:sz w:val="20"/>
        </w:rPr>
        <w:t>Documento de consolidación técnica y funcional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Objetivo general. </w:t>
      </w:r>
      <w:r>
        <w:t>El proyecto transforma un trabajo previo de minería de datos sobre FUAS y asignación de beneficios en una solución de software reproducible, explicable y desplegable. La plataforma permite estimar, de forma orientativa, la probabilidad de obtener al menos un beneficio estatal reconocido y complementar esa estimación con explicaciones SHAP y un dashboard histórico 2008-2025.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Estado actual: </w:t>
            </w:r>
            <w:r>
              <w:t>La construcción técnica principal está prácticamente cerrada. El MVP incluye pipeline, modelo, API, frontend, explicabilidad, dashboard histórico, pruebas automatizadas, controles de seguridad, versionado en GitHub y despliegue público en Render.</w:t>
            </w:r>
          </w:p>
        </w:tc>
      </w:tr>
    </w:tbl>
    <w:p/>
    <w:p>
      <w:pPr>
        <w:pStyle w:val="ListBullet"/>
        <w:spacing w:after="40"/>
      </w:pPr>
      <w:r>
        <w:rPr>
          <w:b/>
        </w:rPr>
        <w:t xml:space="preserve">Modelo final: </w:t>
      </w:r>
      <w:r>
        <w:t>RandomForestClassifier congelado, desarrollado con 2024 y evaluado temporalmente con 2025.</w:t>
      </w:r>
    </w:p>
    <w:p>
      <w:pPr>
        <w:pStyle w:val="ListBullet"/>
        <w:spacing w:after="40"/>
      </w:pPr>
      <w:r>
        <w:rPr>
          <w:b/>
        </w:rPr>
        <w:t xml:space="preserve">Variables finales: </w:t>
      </w:r>
      <w:r>
        <w:t>NEM, QUINTIL_SE4, COD_DEPE, EDAD, GENERO y NACIONALIDAD.</w:t>
      </w:r>
    </w:p>
    <w:p>
      <w:pPr>
        <w:pStyle w:val="ListBullet"/>
        <w:spacing w:after="40"/>
      </w:pPr>
      <w:r>
        <w:rPr>
          <w:b/>
        </w:rPr>
        <w:t xml:space="preserve">Umbral: </w:t>
      </w:r>
      <w:r>
        <w:t>0,42.</w:t>
      </w:r>
    </w:p>
    <w:p>
      <w:pPr>
        <w:pStyle w:val="ListBullet"/>
        <w:spacing w:after="40"/>
      </w:pPr>
      <w:r>
        <w:rPr>
          <w:b/>
        </w:rPr>
        <w:t xml:space="preserve">Explicabilidad: </w:t>
      </w:r>
      <w:r>
        <w:t>SHAP individual y global, con dirección e intensidad relativa del impacto.</w:t>
      </w:r>
    </w:p>
    <w:p>
      <w:pPr>
        <w:pStyle w:val="ListBullet"/>
        <w:spacing w:after="40"/>
      </w:pPr>
      <w:r>
        <w:rPr>
          <w:b/>
        </w:rPr>
        <w:t xml:space="preserve">Aplicación: </w:t>
      </w:r>
      <w:r>
        <w:t>React + FastAPI en un mismo servicio.</w:t>
      </w:r>
    </w:p>
    <w:p>
      <w:pPr>
        <w:pStyle w:val="ListBullet"/>
        <w:spacing w:after="40"/>
      </w:pPr>
      <w:r>
        <w:rPr>
          <w:b/>
        </w:rPr>
        <w:t xml:space="preserve">Dashboard: </w:t>
      </w:r>
      <w:r>
        <w:t>análisis histórico 2008-2025 con postulantes, beneficiarios, tasas, género, quintil y edad.</w:t>
      </w:r>
    </w:p>
    <w:p>
      <w:pPr>
        <w:pStyle w:val="ListBullet"/>
        <w:spacing w:after="40"/>
      </w:pPr>
      <w:r>
        <w:rPr>
          <w:b/>
        </w:rPr>
        <w:t xml:space="preserve">Seguridad: </w:t>
      </w:r>
      <w:r>
        <w:t>validaciones, minimización de datos, rechazo de campos extra, sin RUT/RUN/MRUN en el contrato público de la API.</w:t>
      </w:r>
    </w:p>
    <w:p>
      <w:pPr>
        <w:pStyle w:val="ListBullet"/>
        <w:spacing w:after="40"/>
      </w:pPr>
      <w:r>
        <w:rPr>
          <w:b/>
        </w:rPr>
        <w:t xml:space="preserve">Calidad: </w:t>
      </w:r>
      <w:r>
        <w:t>16 pruebas automatizadas aprobadas.</w:t>
      </w:r>
    </w:p>
    <w:p>
      <w:pPr>
        <w:pStyle w:val="ListBullet"/>
        <w:spacing w:after="40"/>
      </w:pPr>
      <w:r>
        <w:rPr>
          <w:b/>
        </w:rPr>
        <w:t xml:space="preserve">Despliegue: </w:t>
      </w:r>
      <w:r>
        <w:t>Render, con health check y endpoints públicos de modelo/dashboard.</w:t>
      </w:r>
    </w:p>
    <w:p>
      <w:pPr>
        <w:pStyle w:val="Heading1"/>
      </w:pPr>
      <w:r>
        <w:t>2. Problema, enfoque y alcance</w:t>
      </w:r>
    </w:p>
    <w:p>
      <w:r>
        <w:t>Las publicaciones FUAS y de Asignaciones del Ministerio de Educación se encuentran separadas por año y requieren integración, limpieza y transformación para realizar análisis consistentes. El proyecto no plantea que “no exista información”, sino que la información publicada necesita procesamiento técnico para convertirse en una base analítica reproducible.</w:t>
      </w:r>
    </w:p>
    <w:p>
      <w:r>
        <w:rPr>
          <w:b/>
        </w:rPr>
        <w:t xml:space="preserve">Reencuadre del objetivo. </w:t>
      </w:r>
      <w:r>
        <w:t>El sistema no busca predecir de manera determinística una decisión oficial, sino identificar patrones asociados a la asignación y entregar una estimación orientativa y explicable.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Incluye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No incluye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ETL reproducible FUAS/Asignaciones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Determinación oficial de beneficios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Modelo predictivo y validación temporal</w:t>
            </w:r>
          </w:p>
        </w:tc>
        <w:tc>
          <w:tcPr>
            <w:tcW w:type="dxa" w:w="5040"/>
            <w:vAlign w:val="center"/>
          </w:tcPr>
          <w:p>
            <w:r>
              <w:t>Garantías de adjudicación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Explicaciones SHAP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Inferencias causales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Dashboard descriptivo 2008-2025</w:t>
            </w:r>
          </w:p>
        </w:tc>
        <w:tc>
          <w:tcPr>
            <w:tcW w:type="dxa" w:w="5040"/>
            <w:vAlign w:val="center"/>
          </w:tcPr>
          <w:p>
            <w:r>
              <w:t>Reentrenamiento con el dashboard histórico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API, frontend y despliegue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Uso de RUT/RUN/MRUN en el frontend/modelo</w:t>
            </w:r>
          </w:p>
        </w:tc>
      </w:tr>
    </w:tbl>
    <w:p/>
    <w:p>
      <w:pPr>
        <w:pStyle w:val="Heading1"/>
      </w:pPr>
      <w:r>
        <w:t>3. Datos y fuentes</w:t>
      </w:r>
    </w:p>
    <w:p>
      <w:r>
        <w:t>Se trabajó con 36 archivos CSV históricos: 18 de Postulaciones/FUAS y 18 de Asignaciones, cubriendo los años 2008 a 2025. Los archivos presentan variaciones de esquema, nombres de columnas, encoding y disponibilidad de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6912"/>
            <w:shd w:fill="1F4E78"/>
            <w:vAlign w:val="center"/>
          </w:tcPr>
          <w:p>
            <w:r>
              <w:rPr>
                <w:b/>
                <w:color w:val="FFFFFF"/>
              </w:rPr>
              <w:t>Cobertura observada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5F8FB"/>
          </w:tcPr>
          <w:p>
            <w:r>
              <w:t>MRUN</w:t>
            </w:r>
          </w:p>
        </w:tc>
        <w:tc>
          <w:tcPr>
            <w:tcW w:type="dxa" w:w="6912"/>
            <w:vAlign w:val="center"/>
            <w:shd w:fill="F5F8FB"/>
          </w:tcPr>
          <w:p>
            <w:r>
              <w:t>2008-2025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r>
              <w:t>PROCESO</w:t>
            </w:r>
          </w:p>
        </w:tc>
        <w:tc>
          <w:tcPr>
            <w:tcW w:type="dxa" w:w="6912"/>
            <w:vAlign w:val="center"/>
          </w:tcPr>
          <w:p>
            <w:r>
              <w:t>2008-2025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5F8FB"/>
          </w:tcPr>
          <w:p>
            <w:r>
              <w:t>EDAD</w:t>
            </w:r>
          </w:p>
        </w:tc>
        <w:tc>
          <w:tcPr>
            <w:tcW w:type="dxa" w:w="6912"/>
            <w:vAlign w:val="center"/>
            <w:shd w:fill="F5F8FB"/>
          </w:tcPr>
          <w:p>
            <w:r>
              <w:t>2008-2025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r>
              <w:t>GENERO</w:t>
            </w:r>
          </w:p>
        </w:tc>
        <w:tc>
          <w:tcPr>
            <w:tcW w:type="dxa" w:w="6912"/>
            <w:vAlign w:val="center"/>
          </w:tcPr>
          <w:p>
            <w:r>
              <w:t>2008-2025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5F8FB"/>
          </w:tcPr>
          <w:p>
            <w:r>
              <w:t>QUINTIL_SE4</w:t>
            </w:r>
          </w:p>
        </w:tc>
        <w:tc>
          <w:tcPr>
            <w:tcW w:type="dxa" w:w="6912"/>
            <w:vAlign w:val="center"/>
            <w:shd w:fill="F5F8FB"/>
          </w:tcPr>
          <w:p>
            <w:r>
              <w:t>2013-2018 y 2022-2025; no disponible 2019-2021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r>
              <w:t>NEM</w:t>
            </w:r>
          </w:p>
        </w:tc>
        <w:tc>
          <w:tcPr>
            <w:tcW w:type="dxa" w:w="6912"/>
            <w:vAlign w:val="center"/>
          </w:tcPr>
          <w:p>
            <w:r>
              <w:t>2022-2025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5F8FB"/>
          </w:tcPr>
          <w:p>
            <w:r>
              <w:t>COD_DEPE</w:t>
            </w:r>
          </w:p>
        </w:tc>
        <w:tc>
          <w:tcPr>
            <w:tcW w:type="dxa" w:w="6912"/>
            <w:vAlign w:val="center"/>
            <w:shd w:fill="F5F8FB"/>
          </w:tcPr>
          <w:p>
            <w:r>
              <w:t>2022-2025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r>
              <w:t>NACIONALIDAD</w:t>
            </w:r>
          </w:p>
        </w:tc>
        <w:tc>
          <w:tcPr>
            <w:tcW w:type="dxa" w:w="6912"/>
            <w:vAlign w:val="center"/>
          </w:tcPr>
          <w:p>
            <w:r>
              <w:t>2022-2025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5F8FB"/>
          </w:tcPr>
          <w:p>
            <w:r>
              <w:t>ETNIA</w:t>
            </w:r>
          </w:p>
        </w:tc>
        <w:tc>
          <w:tcPr>
            <w:tcW w:type="dxa" w:w="6912"/>
            <w:vAlign w:val="center"/>
            <w:shd w:fill="F5F8FB"/>
          </w:tcPr>
          <w:p>
            <w:r>
              <w:t>2022-2025, con interpretación semántica no confirmada</w:t>
            </w:r>
          </w:p>
        </w:tc>
      </w:tr>
    </w:tbl>
    <w:p/>
    <w:p>
      <w:r>
        <w:rPr>
          <w:b/>
        </w:rPr>
        <w:t xml:space="preserve">Clave técnica. </w:t>
      </w:r>
      <w:r>
        <w:t>MRUN se utiliza únicamente para joins entre fuentes y se elimina de la capa analítica destinada a modelado.</w:t>
      </w:r>
    </w:p>
    <w:p>
      <w:pPr>
        <w:pStyle w:val="Heading1"/>
      </w:pPr>
      <w:r>
        <w:t>4. Normalización de beneficios</w:t>
      </w:r>
    </w:p>
    <w:p>
      <w:r>
        <w:t>El proyecto mantiene un catálogo explícito de beneficios reconocidos. Las siglas se normalizan con strip + upper y se agrupan por MRUN. Los casos con siglas no catalogadas se mantienen separados para evitar forzar una etiqueta incorrecta.</w:t>
      </w:r>
    </w:p>
    <w:p>
      <w:pPr>
        <w:pStyle w:val="ListBullet"/>
        <w:spacing w:after="40"/>
      </w:pPr>
      <w:r>
        <w:rPr>
          <w:b/>
        </w:rPr>
        <w:t xml:space="preserve">Beneficio válido: </w:t>
      </w:r>
      <w:r>
        <w:t>al menos una sigla reconocida por el catálogo del proyecto.</w:t>
      </w:r>
    </w:p>
    <w:p>
      <w:pPr>
        <w:pStyle w:val="ListBullet"/>
        <w:spacing w:after="40"/>
      </w:pPr>
      <w:r>
        <w:rPr>
          <w:b/>
        </w:rPr>
        <w:t xml:space="preserve">Sin beneficio válido: </w:t>
      </w:r>
      <w:r>
        <w:t>sin registro válido asociado al MRUN.</w:t>
      </w:r>
    </w:p>
    <w:p>
      <w:pPr>
        <w:pStyle w:val="ListBullet"/>
        <w:spacing w:after="40"/>
      </w:pPr>
      <w:r>
        <w:rPr>
          <w:b/>
        </w:rPr>
        <w:t xml:space="preserve">Solo desconocido: </w:t>
      </w:r>
      <w:r>
        <w:t>registro únicamente con siglas no catalogadas; se trata como estado no resuelto y se excluye del target final.</w:t>
      </w:r>
    </w:p>
    <w:p>
      <w:pPr>
        <w:pStyle w:val="ListBullet"/>
        <w:spacing w:after="40"/>
      </w:pPr>
      <w:r>
        <w:rPr>
          <w:b/>
        </w:rPr>
        <w:t xml:space="preserve">Siglas en revisión: </w:t>
      </w:r>
      <w:r>
        <w:t>BSA y BPDT; aparecen entre 2022 y 2025 y no se fuerzan a 0 ni a 1.</w:t>
      </w:r>
    </w:p>
    <w:p>
      <w:pPr>
        <w:pStyle w:val="Heading1"/>
      </w:pPr>
      <w:r>
        <w:t>5. Pipeline ETL y capas de datos</w:t>
      </w:r>
    </w:p>
    <w:p>
      <w:r>
        <w:t>La arquitectura de datos separa raw, staging y analytic. Staging conserva MRUN y campos de auditoría; analytic elimina MRUN y excluye casos con target no resuelto.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Raw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Fuentes originales por año, sin modificación conceptual.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Staging</w:t>
            </w:r>
          </w:p>
        </w:tc>
        <w:tc>
          <w:tcPr>
            <w:tcW w:type="dxa" w:w="5040"/>
            <w:vAlign w:val="center"/>
          </w:tcPr>
          <w:p>
            <w:r>
              <w:t>Limpieza, normalización, join por MRUN, flags y auditoría.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Analytic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Base sin identificador técnico, target resuelto y predictores permitidos.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Métrica ETL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2025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  <w:shd w:fill="F5F8FB"/>
          </w:tcPr>
          <w:p>
            <w:r>
              <w:t>FUAS / población final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636.676 FUAS; 636.667 analytic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637.766 FUAS; 637.756 analytic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</w:tcPr>
          <w:p>
            <w:r>
              <w:t>Beneficio válido</w:t>
            </w:r>
          </w:p>
        </w:tc>
        <w:tc>
          <w:tcPr>
            <w:tcW w:type="dxa" w:w="3360"/>
            <w:vAlign w:val="center"/>
          </w:tcPr>
          <w:p>
            <w:r>
              <w:t>285.546</w:t>
            </w:r>
          </w:p>
        </w:tc>
        <w:tc>
          <w:tcPr>
            <w:tcW w:type="dxa" w:w="3360"/>
            <w:vAlign w:val="center"/>
          </w:tcPr>
          <w:p>
            <w:r>
              <w:t>281.825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  <w:shd w:fill="F5F8FB"/>
          </w:tcPr>
          <w:p>
            <w:r>
              <w:t>Sin beneficio válido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351.121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355.931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</w:tcPr>
          <w:p>
            <w:r>
              <w:t>Solo desconocido excluido</w:t>
            </w:r>
          </w:p>
        </w:tc>
        <w:tc>
          <w:tcPr>
            <w:tcW w:type="dxa" w:w="3360"/>
            <w:vAlign w:val="center"/>
          </w:tcPr>
          <w:p>
            <w:r>
              <w:t>9</w:t>
            </w:r>
          </w:p>
        </w:tc>
        <w:tc>
          <w:tcPr>
            <w:tcW w:type="dxa" w:w="3360"/>
            <w:vAlign w:val="center"/>
          </w:tcPr>
          <w:p>
            <w:r>
              <w:t>10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  <w:shd w:fill="F5F8FB"/>
          </w:tcPr>
          <w:p>
            <w:r>
              <w:t>Tasa positiva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44,8501%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44,1901%</w:t>
            </w:r>
          </w:p>
        </w:tc>
      </w:tr>
    </w:tbl>
    <w:p/>
    <w:p>
      <w:pPr>
        <w:pStyle w:val="Heading1"/>
      </w:pPr>
      <w:r>
        <w:t>6. Análisis exploratorio 2024</w:t>
      </w:r>
    </w:p>
    <w:p>
      <w:r>
        <w:t>El EDA se limitó deliberadamente a 2024 para evitar mirar 2025 antes de la evaluación temporal. Se analizaron distribución del target, variables numéricas, categóricas y fuerza de separación descriptiva.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Resultado 2024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Target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55,15% no beneficio / 44,85% beneficio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NEM medio</w:t>
            </w:r>
          </w:p>
        </w:tc>
        <w:tc>
          <w:tcPr>
            <w:tcW w:type="dxa" w:w="5040"/>
            <w:vAlign w:val="center"/>
          </w:tcPr>
          <w:p>
            <w:r>
              <w:t>574,92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NEM medio sin / con beneficio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567,88 / 583,56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Edad media</w:t>
            </w:r>
          </w:p>
        </w:tc>
        <w:tc>
          <w:tcPr>
            <w:tcW w:type="dxa" w:w="5040"/>
            <w:vAlign w:val="center"/>
          </w:tcPr>
          <w:p>
            <w:r>
              <w:t>24,85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Edad media sin / con beneficio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26,45 / 22,89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Spearman quintil vs target</w:t>
            </w:r>
          </w:p>
        </w:tc>
        <w:tc>
          <w:tcPr>
            <w:tcW w:type="dxa" w:w="5040"/>
            <w:vAlign w:val="center"/>
          </w:tcPr>
          <w:p>
            <w:r>
              <w:t>-0,3853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Spearman edad vs target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-0,2423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Spearman NEM vs target</w:t>
            </w:r>
          </w:p>
        </w:tc>
        <w:tc>
          <w:tcPr>
            <w:tcW w:type="dxa" w:w="5040"/>
            <w:vAlign w:val="center"/>
          </w:tcPr>
          <w:p>
            <w:r>
              <w:t>+0,1435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Quintil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Tasa de beneficio 2024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1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92,03%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55,28%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3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53,23%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4</w:t>
            </w:r>
          </w:p>
        </w:tc>
        <w:tc>
          <w:tcPr>
            <w:tcW w:type="dxa" w:w="5040"/>
            <w:vAlign w:val="center"/>
          </w:tcPr>
          <w:p>
            <w:r>
              <w:t>21,42%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5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3,82%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Interpretación: </w:t>
            </w:r>
            <w:r>
              <w:t>Los patrones son descriptivos y no implican causalidad. La tasa observada dentro de una categoría no equivale a una explicación causal de adjudicación.</w:t>
            </w:r>
          </w:p>
        </w:tc>
      </w:tr>
    </w:tbl>
    <w:p/>
    <w:p>
      <w:pPr>
        <w:pStyle w:val="Heading1"/>
      </w:pPr>
      <w:r>
        <w:t>7. Comparación de modelos y selección</w:t>
      </w:r>
    </w:p>
    <w:p>
      <w:r>
        <w:t>Se compararon Logistic Regression, Decision Tree, Random Forest, GaussianNB y DummyClassifier. Random Forest fue seleccionado por su equilibrio global entre discriminación, sensibilidad y estabilidad, no por una sola métrica.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Resultado aproximado / observación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Random Forest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AUC ~0,80; mejor equilibrio global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Decision Tree</w:t>
            </w:r>
          </w:p>
        </w:tc>
        <w:tc>
          <w:tcPr>
            <w:tcW w:type="dxa" w:w="5040"/>
            <w:vAlign w:val="center"/>
          </w:tcPr>
          <w:p>
            <w:r>
              <w:t>AUC ~0,799; rendimiento cercano pero menor robustez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Logistic Regression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AUC ~0,775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GaussianNB</w:t>
            </w:r>
          </w:p>
        </w:tc>
        <w:tc>
          <w:tcPr>
            <w:tcW w:type="dxa" w:w="5040"/>
            <w:vAlign w:val="center"/>
          </w:tcPr>
          <w:p>
            <w:r>
              <w:t>AUC ~0,740; recall alto, precisión menor y más falsos positivos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DummyClassifier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AUC y balanced accuracy ~0,50</w:t>
            </w:r>
          </w:p>
        </w:tc>
      </w:tr>
    </w:tbl>
    <w:p/>
    <w:p>
      <w:r>
        <w:rPr>
          <w:b/>
        </w:rPr>
        <w:t xml:space="preserve">Modelo congelado. </w:t>
      </w:r>
      <w:r>
        <w:t>RandomForestClassifier con n_estimators=160, max_depth=12, min_samples_leaf=10, min_samples_split=2, max_features="sqrt", class_weight="balanced_subsample", random_state=42 y umbral de decisión 0,42.</w:t>
      </w:r>
    </w:p>
    <w:p>
      <w:pPr>
        <w:pStyle w:val="Heading1"/>
      </w:pPr>
      <w:r>
        <w:t>8. Métricas del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Validación 2024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Holdout temporal 2025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  <w:shd w:fill="F5F8FB"/>
          </w:tcPr>
          <w:p>
            <w:r>
              <w:t>ROC AUC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0,80066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0,78802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</w:tcPr>
          <w:p>
            <w:r>
              <w:t>Balanced Accuracy</w:t>
            </w:r>
          </w:p>
        </w:tc>
        <w:tc>
          <w:tcPr>
            <w:tcW w:type="dxa" w:w="3360"/>
            <w:vAlign w:val="center"/>
          </w:tcPr>
          <w:p>
            <w:r>
              <w:t>0,71687</w:t>
            </w:r>
          </w:p>
        </w:tc>
        <w:tc>
          <w:tcPr>
            <w:tcW w:type="dxa" w:w="3360"/>
            <w:vAlign w:val="center"/>
          </w:tcPr>
          <w:p>
            <w:r>
              <w:t>0,70952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  <w:shd w:fill="F5F8FB"/>
          </w:tcPr>
          <w:p>
            <w:r>
              <w:t>Recall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0,84854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0,85130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</w:tcPr>
          <w:p>
            <w:r>
              <w:t>Precision</w:t>
            </w:r>
          </w:p>
        </w:tc>
        <w:tc>
          <w:tcPr>
            <w:tcW w:type="dxa" w:w="3360"/>
            <w:vAlign w:val="center"/>
          </w:tcPr>
          <w:p>
            <w:r>
              <w:t>0,62457</w:t>
            </w:r>
          </w:p>
        </w:tc>
        <w:tc>
          <w:tcPr>
            <w:tcW w:type="dxa" w:w="3360"/>
            <w:vAlign w:val="center"/>
          </w:tcPr>
          <w:p>
            <w:r>
              <w:t>0,60929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  <w:shd w:fill="F5F8FB"/>
          </w:tcPr>
          <w:p>
            <w:r>
              <w:t>F1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0,71953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0,71024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</w:tcPr>
          <w:p>
            <w:r>
              <w:t>FNR</w:t>
            </w:r>
          </w:p>
        </w:tc>
        <w:tc>
          <w:tcPr>
            <w:tcW w:type="dxa" w:w="3360"/>
            <w:vAlign w:val="center"/>
          </w:tcPr>
          <w:p>
            <w:r>
              <w:t>0,15146</w:t>
            </w:r>
          </w:p>
        </w:tc>
        <w:tc>
          <w:tcPr>
            <w:tcW w:type="dxa" w:w="3360"/>
            <w:vAlign w:val="center"/>
          </w:tcPr>
          <w:p>
            <w:r>
              <w:t>0,14870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  <w:shd w:fill="F5F8FB"/>
          </w:tcPr>
          <w:p>
            <w:r>
              <w:t>Accuracy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0,70331</w:t>
            </w:r>
          </w:p>
        </w:tc>
        <w:tc>
          <w:tcPr>
            <w:tcW w:type="dxa" w:w="3360"/>
            <w:vAlign w:val="center"/>
            <w:shd w:fill="F5F8FB"/>
          </w:tcPr>
          <w:p>
            <w:r>
              <w:t>0,69305</w:t>
            </w:r>
          </w:p>
        </w:tc>
      </w:tr>
      <w:tr>
        <w:trPr>
          <w:cantSplit w:val="true"/>
        </w:trPr>
        <w:tc>
          <w:tcPr>
            <w:tcW w:type="dxa" w:w="3360"/>
            <w:vAlign w:val="center"/>
          </w:tcPr>
          <w:p>
            <w:r>
              <w:t>Average Precision</w:t>
            </w:r>
          </w:p>
        </w:tc>
        <w:tc>
          <w:tcPr>
            <w:tcW w:type="dxa" w:w="3360"/>
            <w:vAlign w:val="center"/>
          </w:tcPr>
          <w:p>
            <w:r>
              <w:t>0,74475</w:t>
            </w:r>
          </w:p>
        </w:tc>
        <w:tc>
          <w:tcPr>
            <w:tcW w:type="dxa" w:w="3360"/>
            <w:vAlign w:val="center"/>
          </w:tcPr>
          <w:p>
            <w:r>
              <w:t>0,71695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Matriz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TN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FP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FN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TP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5F8FB"/>
          </w:tcPr>
          <w:p>
            <w:r>
              <w:t>2024 validación</w:t>
            </w:r>
          </w:p>
        </w:tc>
        <w:tc>
          <w:tcPr>
            <w:tcW w:type="dxa" w:w="2016"/>
            <w:vAlign w:val="center"/>
            <w:shd w:fill="F5F8FB"/>
          </w:tcPr>
          <w:p>
            <w:r>
              <w:t>41.096</w:t>
            </w:r>
          </w:p>
        </w:tc>
        <w:tc>
          <w:tcPr>
            <w:tcW w:type="dxa" w:w="2016"/>
            <w:vAlign w:val="center"/>
            <w:shd w:fill="F5F8FB"/>
          </w:tcPr>
          <w:p>
            <w:r>
              <w:t>29.129</w:t>
            </w:r>
          </w:p>
        </w:tc>
        <w:tc>
          <w:tcPr>
            <w:tcW w:type="dxa" w:w="2016"/>
            <w:vAlign w:val="center"/>
            <w:shd w:fill="F5F8FB"/>
          </w:tcPr>
          <w:p>
            <w:r>
              <w:t>8.650</w:t>
            </w:r>
          </w:p>
        </w:tc>
        <w:tc>
          <w:tcPr>
            <w:tcW w:type="dxa" w:w="2016"/>
            <w:vAlign w:val="center"/>
            <w:shd w:fill="F5F8FB"/>
          </w:tcPr>
          <w:p>
            <w:r>
              <w:t>48.459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r>
              <w:t>2025 temporal</w:t>
            </w:r>
          </w:p>
        </w:tc>
        <w:tc>
          <w:tcPr>
            <w:tcW w:type="dxa" w:w="2016"/>
            <w:vAlign w:val="center"/>
          </w:tcPr>
          <w:p>
            <w:r>
              <w:t>202.080</w:t>
            </w:r>
          </w:p>
        </w:tc>
        <w:tc>
          <w:tcPr>
            <w:tcW w:type="dxa" w:w="2016"/>
            <w:vAlign w:val="center"/>
          </w:tcPr>
          <w:p>
            <w:r>
              <w:t>153.851</w:t>
            </w:r>
          </w:p>
        </w:tc>
        <w:tc>
          <w:tcPr>
            <w:tcW w:type="dxa" w:w="2016"/>
            <w:vAlign w:val="center"/>
          </w:tcPr>
          <w:p>
            <w:r>
              <w:t>41.908</w:t>
            </w:r>
          </w:p>
        </w:tc>
        <w:tc>
          <w:tcPr>
            <w:tcW w:type="dxa" w:w="2016"/>
            <w:vAlign w:val="center"/>
          </w:tcPr>
          <w:p>
            <w:r>
              <w:t>239.917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Control metodológico: </w:t>
            </w:r>
            <w:r>
              <w:t>2025 se reservó como prueba temporal final y no se utilizó para reajustar el modelo después de observar los resultados.</w:t>
            </w:r>
          </w:p>
        </w:tc>
      </w:tr>
    </w:tbl>
    <w:p/>
    <w:p>
      <w:pPr>
        <w:pStyle w:val="Heading1"/>
      </w:pPr>
      <w:r>
        <w:t>9. Explicabilidad SHAP</w:t>
      </w:r>
    </w:p>
    <w:p>
      <w:r>
        <w:t>Se implementó TreeExplainer sobre el Random Forest. Las variables one-hot se reagruparon a las seis variables originales para entregar explicaciones comprensibles al usuario.</w:t>
      </w:r>
    </w:p>
    <w:p>
      <w:pPr>
        <w:pStyle w:val="ListBullet"/>
        <w:spacing w:after="40"/>
      </w:pPr>
      <w:r>
        <w:rPr>
          <w:b/>
        </w:rPr>
        <w:t xml:space="preserve">Variables explicadas: </w:t>
      </w:r>
      <w:r>
        <w:t>NEM, quintil, dependencia, edad, género y nacionalidad.</w:t>
      </w:r>
    </w:p>
    <w:p>
      <w:pPr>
        <w:pStyle w:val="ListBullet"/>
        <w:spacing w:after="40"/>
      </w:pPr>
      <w:r>
        <w:rPr>
          <w:b/>
        </w:rPr>
        <w:t xml:space="preserve">Salida individual: </w:t>
      </w:r>
      <w:r>
        <w:t>dirección aumenta/disminuye, valor observado e impacto SHAP.</w:t>
      </w:r>
    </w:p>
    <w:p>
      <w:pPr>
        <w:pStyle w:val="ListBullet"/>
        <w:spacing w:after="40"/>
      </w:pPr>
      <w:r>
        <w:rPr>
          <w:b/>
        </w:rPr>
        <w:t xml:space="preserve">Intensidad: </w:t>
      </w:r>
      <w:r>
        <w:t>Alta / Media / Baja, calculada de forma relativa dentro de cada predicción; no es una escala universal.</w:t>
      </w:r>
    </w:p>
    <w:p>
      <w:pPr>
        <w:pStyle w:val="ListBullet"/>
        <w:spacing w:after="40"/>
      </w:pPr>
      <w:r>
        <w:rPr>
          <w:b/>
        </w:rPr>
        <w:t xml:space="preserve">Aditividad: </w:t>
      </w:r>
      <w:r>
        <w:t>la reconstrucción SHAP fue verificada con error prácticamente nulo en casos de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Ejemplo individual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Perfil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NEM 650, Q2, COD_DEPE 3, edad 19, género mujer, nacionalidad chilena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Probabilidad estimada</w:t>
            </w:r>
          </w:p>
        </w:tc>
        <w:tc>
          <w:tcPr>
            <w:tcW w:type="dxa" w:w="5040"/>
            <w:vAlign w:val="center"/>
          </w:tcPr>
          <w:p>
            <w:r>
              <w:t>74,98%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Factores principales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Quintil, NEM y edad con mayores impactos positivos; género con impacto negativo pequeño en ese caso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Precaución</w:t>
            </w:r>
          </w:p>
        </w:tc>
        <w:tc>
          <w:tcPr>
            <w:tcW w:type="dxa" w:w="5040"/>
            <w:vAlign w:val="center"/>
          </w:tcPr>
          <w:p>
            <w:r>
              <w:t>Un SHAP negativo de una categoría no significa que esa característica sea causalmente perjudicial.</w:t>
            </w:r>
          </w:p>
        </w:tc>
      </w:tr>
    </w:tbl>
    <w:p/>
    <w:p>
      <w:pPr>
        <w:pStyle w:val="Heading1"/>
      </w:pPr>
      <w:r>
        <w:t>10. Aplicación web y arquitectura</w:t>
      </w:r>
    </w:p>
    <w:p>
      <w:r>
        <w:t>La solución final usa React para la interfaz y FastAPI para API e infraestructura de servicio. FastAPI sirve también el frontend compilado, lo que simplifica el despliegue a un único origen.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React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Formulario de estimación, explicaciones, métricas y dashboard histórico.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FastAPI</w:t>
            </w:r>
          </w:p>
        </w:tc>
        <w:tc>
          <w:tcPr>
            <w:tcW w:type="dxa" w:w="5040"/>
            <w:vAlign w:val="center"/>
          </w:tcPr>
          <w:p>
            <w:r>
              <w:t>Endpoints, validación, servicio de archivos estáticos y salud.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inference.py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Carga del modelo, validación, predict y SHAP.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rf_frozen_2024.joblib</w:t>
            </w:r>
          </w:p>
        </w:tc>
        <w:tc>
          <w:tcPr>
            <w:tcW w:type="dxa" w:w="5040"/>
            <w:vAlign w:val="center"/>
          </w:tcPr>
          <w:p>
            <w:r>
              <w:t>Modelo Random Forest congelado.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dashboard_historico.json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Agregados descriptivos 2008-2025.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/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Interfaz web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/health</w:t>
            </w:r>
          </w:p>
        </w:tc>
        <w:tc>
          <w:tcPr>
            <w:tcW w:type="dxa" w:w="5040"/>
            <w:vAlign w:val="center"/>
          </w:tcPr>
          <w:p>
            <w:r>
              <w:t>Estado del servicio y disponibilidad del modelo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/model-info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Metadatos, features, threshold y métricas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/predict</w:t>
            </w:r>
          </w:p>
        </w:tc>
        <w:tc>
          <w:tcPr>
            <w:tcW w:type="dxa" w:w="5040"/>
            <w:vAlign w:val="center"/>
          </w:tcPr>
          <w:p>
            <w:r>
              <w:t>Estimación individual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/explain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Explicación SHAP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/dashboard</w:t>
            </w:r>
          </w:p>
        </w:tc>
        <w:tc>
          <w:tcPr>
            <w:tcW w:type="dxa" w:w="5040"/>
            <w:vAlign w:val="center"/>
          </w:tcPr>
          <w:p>
            <w:r>
              <w:t>Datos agregados para análisis histórico</w:t>
            </w:r>
          </w:p>
        </w:tc>
      </w:tr>
    </w:tbl>
    <w:p/>
    <w:p>
      <w:pPr>
        <w:pStyle w:val="Heading1"/>
      </w:pPr>
      <w:r>
        <w:t>11. Experiencia de usuario</w:t>
      </w:r>
    </w:p>
    <w:p>
      <w:pPr>
        <w:pStyle w:val="ListBullet"/>
        <w:spacing w:after="40"/>
      </w:pPr>
      <w:r>
        <w:rPr>
          <w:b/>
        </w:rPr>
        <w:t xml:space="preserve">Etiquetas oficiales: </w:t>
      </w:r>
      <w:r>
        <w:t>dependencia, género y nacionalidad se muestran con nombres legibles.</w:t>
      </w:r>
    </w:p>
    <w:p>
      <w:pPr>
        <w:pStyle w:val="ListBullet"/>
        <w:spacing w:after="40"/>
      </w:pPr>
      <w:r>
        <w:rPr>
          <w:b/>
        </w:rPr>
        <w:t xml:space="preserve">Resultado: </w:t>
      </w:r>
      <w:r>
        <w:t>probabilidad, threshold y mensaje sobre/bajo umbral.</w:t>
      </w:r>
    </w:p>
    <w:p>
      <w:pPr>
        <w:pStyle w:val="ListBullet"/>
        <w:spacing w:after="40"/>
      </w:pPr>
      <w:r>
        <w:rPr>
          <w:b/>
        </w:rPr>
        <w:t xml:space="preserve">Explicación: </w:t>
      </w:r>
      <w:r>
        <w:t>factores ordenados, dirección e intensidad SHAP.</w:t>
      </w:r>
    </w:p>
    <w:p>
      <w:pPr>
        <w:pStyle w:val="ListBullet"/>
        <w:spacing w:after="40"/>
      </w:pPr>
      <w:r>
        <w:rPr>
          <w:b/>
        </w:rPr>
        <w:t xml:space="preserve">Acerca del modelo: </w:t>
      </w:r>
      <w:r>
        <w:t>modelo, datos de desarrollo, holdout temporal, umbral y métricas 2025.</w:t>
      </w:r>
    </w:p>
    <w:p>
      <w:pPr>
        <w:pStyle w:val="ListBullet"/>
        <w:spacing w:after="40"/>
      </w:pPr>
      <w:r>
        <w:rPr>
          <w:b/>
        </w:rPr>
        <w:t xml:space="preserve">Navegación: </w:t>
      </w:r>
      <w:r>
        <w:t>Estimación individual / Análisis histórico.</w:t>
      </w:r>
    </w:p>
    <w:p>
      <w:pPr>
        <w:pStyle w:val="ListBullet"/>
        <w:spacing w:after="40"/>
      </w:pPr>
      <w:r>
        <w:rPr>
          <w:b/>
        </w:rPr>
        <w:t xml:space="preserve">Responsive: </w:t>
      </w:r>
      <w:r>
        <w:t>la interfaz fue probada en vista móvil y se ajustaron botones y tarjetas.</w:t>
      </w:r>
    </w:p>
    <w:p>
      <w:pPr>
        <w:pStyle w:val="Heading1"/>
      </w:pPr>
      <w:r>
        <w:t>12. Seguridad, privacidad y robustez</w:t>
      </w:r>
    </w:p>
    <w:p>
      <w:r>
        <w:t>La capa de seguridad del MVP se orientó a minimización de datos, validación estricta y reducción de exposición innecesaria.</w:t>
      </w:r>
    </w:p>
    <w:p>
      <w:pPr>
        <w:pStyle w:val="ListBullet"/>
        <w:spacing w:after="40"/>
      </w:pPr>
      <w:r>
        <w:rPr>
          <w:b/>
        </w:rPr>
        <w:t xml:space="preserve">Esquema Pydantic: </w:t>
      </w:r>
      <w:r>
        <w:t>extra="forbid" y allow_inf_nan=False.</w:t>
      </w:r>
    </w:p>
    <w:p>
      <w:pPr>
        <w:pStyle w:val="ListBullet"/>
        <w:spacing w:after="40"/>
      </w:pPr>
      <w:r>
        <w:rPr>
          <w:b/>
        </w:rPr>
        <w:t xml:space="preserve">Rangos: </w:t>
      </w:r>
      <w:r>
        <w:t>NEM 100-700; quintil 1-5; dependencia 1-6; edad 10-130; género 1-2; nacionalidad 0-2.</w:t>
      </w:r>
    </w:p>
    <w:p>
      <w:pPr>
        <w:pStyle w:val="ListBullet"/>
        <w:spacing w:after="40"/>
      </w:pPr>
      <w:r>
        <w:rPr>
          <w:b/>
        </w:rPr>
        <w:t xml:space="preserve">Identificadores: </w:t>
      </w:r>
      <w:r>
        <w:t>RUT/RUN/MRUN no forman parte de las propiedades admitidas; additionalProperties=False.</w:t>
      </w:r>
    </w:p>
    <w:p>
      <w:pPr>
        <w:pStyle w:val="ListBullet"/>
        <w:spacing w:after="40"/>
      </w:pPr>
      <w:r>
        <w:rPr>
          <w:b/>
        </w:rPr>
        <w:t xml:space="preserve">Minimización: </w:t>
      </w:r>
      <w:r>
        <w:t>la respuesta /predict no reexpone las variables ingresadas.</w:t>
      </w:r>
    </w:p>
    <w:p>
      <w:pPr>
        <w:pStyle w:val="ListBullet"/>
        <w:spacing w:after="40"/>
      </w:pPr>
      <w:r>
        <w:rPr>
          <w:b/>
        </w:rPr>
        <w:t xml:space="preserve">Errores: </w:t>
      </w:r>
      <w:r>
        <w:t>422 para validación; 500 genérico sin rutas ni stack traces.</w:t>
      </w:r>
    </w:p>
    <w:p>
      <w:pPr>
        <w:pStyle w:val="ListBullet"/>
        <w:spacing w:after="40"/>
      </w:pPr>
      <w:r>
        <w:rPr>
          <w:b/>
        </w:rPr>
        <w:t xml:space="preserve">Logging: </w:t>
      </w:r>
      <w:r>
        <w:t>los logs estándar observados registran método, ruta y status, no el body JSON.</w:t>
      </w:r>
    </w:p>
    <w:p>
      <w:pPr>
        <w:pStyle w:val="ListBullet"/>
        <w:spacing w:after="40"/>
      </w:pPr>
      <w:r>
        <w:rPr>
          <w:b/>
        </w:rPr>
        <w:t xml:space="preserve">CORS: </w:t>
      </w:r>
      <w:r>
        <w:t>retirado en la arquitectura final al servir frontend y API desde el mismo origen.</w:t>
      </w:r>
    </w:p>
    <w:p>
      <w:pPr>
        <w:pStyle w:val="Heading1"/>
      </w:pPr>
      <w:r>
        <w:t>13. Pruebas automatizadas</w:t>
      </w:r>
    </w:p>
    <w:p>
      <w:r>
        <w:t>La suite final alcanzó 16 pruebas aprobadas. Incluye pruebas funcionales, de validación, privacidad, seguridad y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Cobertura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API base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health, predict, explain, inputs inválidos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Seguridad</w:t>
            </w:r>
          </w:p>
        </w:tc>
        <w:tc>
          <w:tcPr>
            <w:tcW w:type="dxa" w:w="5040"/>
            <w:vAlign w:val="center"/>
          </w:tcPr>
          <w:p>
            <w:r>
              <w:t>rechazo de RUT/MRUN/campos extra y rangos inválidos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Privacidad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no reexposición del perfil y OpenAPI sin identificadores como propiedades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Dashboard</w:t>
            </w:r>
          </w:p>
        </w:tc>
        <w:tc>
          <w:tcPr>
            <w:tcW w:type="dxa" w:w="5040"/>
            <w:vAlign w:val="center"/>
          </w:tcPr>
          <w:p>
            <w:r>
              <w:t>respuesta 200, claves esperadas, cobertura 2008-2025</w:t>
            </w:r>
          </w:p>
        </w:tc>
      </w:tr>
    </w:tbl>
    <w:p/>
    <w:p>
      <w:pPr>
        <w:pStyle w:val="Heading1"/>
      </w:pPr>
      <w:r>
        <w:t>14. Dashboard histórico 2008-2025</w:t>
      </w:r>
    </w:p>
    <w:p>
      <w:r>
        <w:t>Se procesaron 36 CSV históricos (18 FUAS y 18 Asignaciones) para construir una capa agregada liviana destinada únicamente a análisis descriptivo. El dashboard no modifica ni reentrena el modelo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Indicador histórico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Resultado / cobertura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Resumen anual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2008-2025, 18 años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Género</w:t>
            </w:r>
          </w:p>
        </w:tc>
        <w:tc>
          <w:tcPr>
            <w:tcW w:type="dxa" w:w="5040"/>
            <w:vAlign w:val="center"/>
          </w:tcPr>
          <w:p>
            <w:r>
              <w:t>2008-2025, cobertura completa de casos resueltos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Edad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2008-2025; rango plausible 10-130, cobertura parcial en algunos años iniciales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Quintil</w:t>
            </w:r>
          </w:p>
        </w:tc>
        <w:tc>
          <w:tcPr>
            <w:tcW w:type="dxa" w:w="5040"/>
            <w:vAlign w:val="center"/>
          </w:tcPr>
          <w:p>
            <w:r>
              <w:t>2013-2018 y 2022-2025; no disponible 2019-2021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2018 quintil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99,47% de cobertura en códigos válidos 1-5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true"/>
        </w:trP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Postulantes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Beneficiarios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Tasa beneficio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5F8FB"/>
          </w:tcPr>
          <w:p>
            <w:r>
              <w:t>2008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184.099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57.519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31,24%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r>
              <w:t>2011</w:t>
            </w:r>
          </w:p>
        </w:tc>
        <w:tc>
          <w:tcPr>
            <w:tcW w:type="dxa" w:w="2520"/>
            <w:vAlign w:val="center"/>
          </w:tcPr>
          <w:p>
            <w:r>
              <w:t>289.724</w:t>
            </w:r>
          </w:p>
        </w:tc>
        <w:tc>
          <w:tcPr>
            <w:tcW w:type="dxa" w:w="2520"/>
            <w:vAlign w:val="center"/>
          </w:tcPr>
          <w:p>
            <w:r>
              <w:t>81.444</w:t>
            </w:r>
          </w:p>
        </w:tc>
        <w:tc>
          <w:tcPr>
            <w:tcW w:type="dxa" w:w="2520"/>
            <w:vAlign w:val="center"/>
          </w:tcPr>
          <w:p>
            <w:r>
              <w:t>28,11%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5F8FB"/>
          </w:tcPr>
          <w:p>
            <w:r>
              <w:t>2016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609.295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309.050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50,72%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r>
              <w:t>2020</w:t>
            </w:r>
          </w:p>
        </w:tc>
        <w:tc>
          <w:tcPr>
            <w:tcW w:type="dxa" w:w="2520"/>
            <w:vAlign w:val="center"/>
          </w:tcPr>
          <w:p>
            <w:r>
              <w:t>546.596</w:t>
            </w:r>
          </w:p>
        </w:tc>
        <w:tc>
          <w:tcPr>
            <w:tcW w:type="dxa" w:w="2520"/>
            <w:vAlign w:val="center"/>
          </w:tcPr>
          <w:p>
            <w:r>
              <w:t>232.520</w:t>
            </w:r>
          </w:p>
        </w:tc>
        <w:tc>
          <w:tcPr>
            <w:tcW w:type="dxa" w:w="2520"/>
            <w:vAlign w:val="center"/>
          </w:tcPr>
          <w:p>
            <w:r>
              <w:t>42,54%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5F8FB"/>
          </w:tcPr>
          <w:p>
            <w:r>
              <w:t>2024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636.676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285.546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44,85%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r>
              <w:t>2025</w:t>
            </w:r>
          </w:p>
        </w:tc>
        <w:tc>
          <w:tcPr>
            <w:tcW w:type="dxa" w:w="2520"/>
            <w:vAlign w:val="center"/>
          </w:tcPr>
          <w:p>
            <w:r>
              <w:t>637.766</w:t>
            </w:r>
          </w:p>
        </w:tc>
        <w:tc>
          <w:tcPr>
            <w:tcW w:type="dxa" w:w="2520"/>
            <w:vAlign w:val="center"/>
          </w:tcPr>
          <w:p>
            <w:r>
              <w:t>281.825</w:t>
            </w:r>
          </w:p>
        </w:tc>
        <w:tc>
          <w:tcPr>
            <w:tcW w:type="dxa" w:w="2520"/>
            <w:vAlign w:val="center"/>
          </w:tcPr>
          <w:p>
            <w:r>
              <w:t>44,19%</w:t>
            </w:r>
          </w:p>
        </w:tc>
      </w:tr>
    </w:tbl>
    <w:p/>
    <w:p>
      <w:r>
        <w:rPr>
          <w:b/>
        </w:rPr>
        <w:t xml:space="preserve">Aclaración metodológica histórica. </w:t>
      </w:r>
      <w:r>
        <w:t>Para 2019-2025 se utiliza explícitamente PROCESO=FUAS. Para 2008-2018 se utiliza la población histórica publicada, ya que la nomenclatura de procesos cambia entre años y no es comparable mediante un filtro literal único.</w:t>
      </w:r>
    </w:p>
    <w:p>
      <w:pPr>
        <w:pStyle w:val="Heading1"/>
      </w:pPr>
      <w:r>
        <w:t>15. Claridad de tasas en el dashboard</w:t>
      </w:r>
    </w:p>
    <w:p>
      <w:r>
        <w:t>Para evitar confundir tamaño del grupo con tasa interna, el dashboard muestra simultáneamente postulantes, beneficiarios y tasa dentro del grupo.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true"/>
        </w:trP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Ejemplo 2025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Postulantes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Beneficiarios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Tasa dentro del grupo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5F8FB"/>
          </w:tcPr>
          <w:p>
            <w:r>
              <w:t>Hombre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282.107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125.884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44,6%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r>
              <w:t>Mujer</w:t>
            </w:r>
          </w:p>
        </w:tc>
        <w:tc>
          <w:tcPr>
            <w:tcW w:type="dxa" w:w="2520"/>
            <w:vAlign w:val="center"/>
          </w:tcPr>
          <w:p>
            <w:r>
              <w:t>355.649</w:t>
            </w:r>
          </w:p>
        </w:tc>
        <w:tc>
          <w:tcPr>
            <w:tcW w:type="dxa" w:w="2520"/>
            <w:vAlign w:val="center"/>
          </w:tcPr>
          <w:p>
            <w:r>
              <w:t>155.941</w:t>
            </w:r>
          </w:p>
        </w:tc>
        <w:tc>
          <w:tcPr>
            <w:tcW w:type="dxa" w:w="2520"/>
            <w:vAlign w:val="center"/>
          </w:tcPr>
          <w:p>
            <w:r>
              <w:t>43,8%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5F8FB"/>
          </w:tcPr>
          <w:p>
            <w:r>
              <w:t>Quintil 1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15.357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14.092</w:t>
            </w:r>
          </w:p>
        </w:tc>
        <w:tc>
          <w:tcPr>
            <w:tcW w:type="dxa" w:w="2520"/>
            <w:vAlign w:val="center"/>
            <w:shd w:fill="F5F8FB"/>
          </w:tcPr>
          <w:p>
            <w:r>
              <w:t>91,8%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r>
              <w:t>Quintil 5</w:t>
            </w:r>
          </w:p>
        </w:tc>
        <w:tc>
          <w:tcPr>
            <w:tcW w:type="dxa" w:w="2520"/>
            <w:vAlign w:val="center"/>
          </w:tcPr>
          <w:p>
            <w:r>
              <w:t>86.369</w:t>
            </w:r>
          </w:p>
        </w:tc>
        <w:tc>
          <w:tcPr>
            <w:tcW w:type="dxa" w:w="2520"/>
            <w:vAlign w:val="center"/>
          </w:tcPr>
          <w:p>
            <w:r>
              <w:t>3.040</w:t>
            </w:r>
          </w:p>
        </w:tc>
        <w:tc>
          <w:tcPr>
            <w:tcW w:type="dxa" w:w="2520"/>
            <w:vAlign w:val="center"/>
          </w:tcPr>
          <w:p>
            <w:r>
              <w:t>3,5%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Lectura correcta: </w:t>
            </w:r>
            <w:r>
              <w:t>Un grupo puede tener menos personas y una tasa interna mayor. La tasa responde a “qué porcentaje de ese grupo obtuvo beneficio”, no a “qué porcentaje de todos los beneficiarios pertenece al grupo”.</w:t>
            </w:r>
          </w:p>
        </w:tc>
      </w:tr>
    </w:tbl>
    <w:p/>
    <w:p>
      <w:pPr>
        <w:pStyle w:val="Heading1"/>
      </w:pPr>
      <w:r>
        <w:t>16. Reproducibilidad, GitHub y despliegue</w:t>
      </w:r>
    </w:p>
    <w:p>
      <w:pPr>
        <w:pStyle w:val="ListBullet"/>
        <w:spacing w:after="40"/>
      </w:pPr>
      <w:r>
        <w:rPr>
          <w:b/>
        </w:rPr>
        <w:t xml:space="preserve">Persistencia: </w:t>
      </w:r>
      <w:r>
        <w:t>activos críticos en Google Drive durante desarrollo; frontend compilado y modelo persistidos.</w:t>
      </w:r>
    </w:p>
    <w:p>
      <w:pPr>
        <w:pStyle w:val="ListBullet"/>
        <w:spacing w:after="40"/>
      </w:pPr>
      <w:r>
        <w:rPr>
          <w:b/>
        </w:rPr>
        <w:t xml:space="preserve">Colab limpio: </w:t>
      </w:r>
      <w:r>
        <w:t>se creó una reproducción separada del notebook de desarrollo para evitar dependencias de la bitácora.</w:t>
      </w:r>
    </w:p>
    <w:p>
      <w:pPr>
        <w:pStyle w:val="ListBullet"/>
        <w:spacing w:after="40"/>
      </w:pPr>
      <w:r>
        <w:rPr>
          <w:b/>
        </w:rPr>
        <w:t xml:space="preserve">GitHub: </w:t>
      </w:r>
      <w:r>
        <w:t>repo rikenichi/capstone_fuas, proyecto dentro de Capstone_004D_Presentacion_1_AravenaRicardo.</w:t>
      </w:r>
    </w:p>
    <w:p>
      <w:pPr>
        <w:pStyle w:val="ListBullet"/>
        <w:spacing w:after="40"/>
      </w:pPr>
      <w:r>
        <w:rPr>
          <w:b/>
        </w:rPr>
        <w:t xml:space="preserve">Producción: </w:t>
      </w:r>
      <w:r>
        <w:t>Render, una sola aplicación web con FastAPI sirviendo React.</w:t>
      </w:r>
    </w:p>
    <w:p>
      <w:pPr>
        <w:pStyle w:val="ListBullet"/>
        <w:spacing w:after="40"/>
      </w:pPr>
      <w:r>
        <w:rPr>
          <w:b/>
        </w:rPr>
        <w:t xml:space="preserve">URL pública: </w:t>
      </w:r>
      <w:r>
        <w:t>https://capstone-fuas.onrender.com</w:t>
      </w:r>
    </w:p>
    <w:p>
      <w:pPr>
        <w:pStyle w:val="ListBullet"/>
        <w:spacing w:after="40"/>
      </w:pPr>
      <w:r>
        <w:rPr>
          <w:b/>
        </w:rPr>
        <w:t xml:space="preserve">Python producción: </w:t>
      </w:r>
      <w:r>
        <w:t>3.12.x para compatibilidad con SHAP 0.52.0.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Dependencia de producción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Versión fijada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fastapi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0.141.1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uvicorn</w:t>
            </w:r>
          </w:p>
        </w:tc>
        <w:tc>
          <w:tcPr>
            <w:tcW w:type="dxa" w:w="5040"/>
            <w:vAlign w:val="center"/>
          </w:tcPr>
          <w:p>
            <w:r>
              <w:t>0.52.4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pydantic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2.13.5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joblib</w:t>
            </w:r>
          </w:p>
        </w:tc>
        <w:tc>
          <w:tcPr>
            <w:tcW w:type="dxa" w:w="5040"/>
            <w:vAlign w:val="center"/>
          </w:tcPr>
          <w:p>
            <w:r>
              <w:t>1.6.0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numpy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2.1.3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pandas</w:t>
            </w:r>
          </w:p>
        </w:tc>
        <w:tc>
          <w:tcPr>
            <w:tcW w:type="dxa" w:w="5040"/>
            <w:vAlign w:val="center"/>
          </w:tcPr>
          <w:p>
            <w:r>
              <w:t>2.2.3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scikit-learn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1.6.1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shap</w:t>
            </w:r>
          </w:p>
        </w:tc>
        <w:tc>
          <w:tcPr>
            <w:tcW w:type="dxa" w:w="5040"/>
            <w:vAlign w:val="center"/>
          </w:tcPr>
          <w:p>
            <w:r>
              <w:t>0.52.0</w:t>
            </w:r>
          </w:p>
        </w:tc>
      </w:tr>
    </w:tbl>
    <w:p/>
    <w:p>
      <w:pPr>
        <w:pStyle w:val="Heading1"/>
      </w:pPr>
      <w:r>
        <w:t>17. Entregables técnicos disponibles</w:t>
      </w:r>
    </w:p>
    <w:p>
      <w:pPr>
        <w:pStyle w:val="ListBullet"/>
        <w:spacing w:after="40"/>
      </w:pPr>
      <w:r>
        <w:t>Modelo congelado rf_frozen_2024.joblib.</w:t>
      </w:r>
    </w:p>
    <w:p>
      <w:pPr>
        <w:pStyle w:val="ListBullet"/>
        <w:spacing w:after="40"/>
      </w:pPr>
      <w:r>
        <w:t>Código fuente de ETL, modelado, inferencia, API y frontend.</w:t>
      </w:r>
    </w:p>
    <w:p>
      <w:pPr>
        <w:pStyle w:val="ListBullet"/>
        <w:spacing w:after="40"/>
      </w:pPr>
      <w:r>
        <w:t>Reportes JSON de métricas 2024, test temporal 2025, SHAP e integración.</w:t>
      </w:r>
    </w:p>
    <w:p>
      <w:pPr>
        <w:pStyle w:val="ListBullet"/>
        <w:spacing w:after="40"/>
      </w:pPr>
      <w:r>
        <w:t>dashboard_historico.json con agregados 2008-2025.</w:t>
      </w:r>
    </w:p>
    <w:p>
      <w:pPr>
        <w:pStyle w:val="ListBullet"/>
        <w:spacing w:after="40"/>
      </w:pPr>
      <w:r>
        <w:t>Suite de tests automatizados.</w:t>
      </w:r>
    </w:p>
    <w:p>
      <w:pPr>
        <w:pStyle w:val="ListBullet"/>
        <w:spacing w:after="40"/>
      </w:pPr>
      <w:r>
        <w:t>README con seguridad, despliegue y dashboard.</w:t>
      </w:r>
    </w:p>
    <w:p>
      <w:pPr>
        <w:pStyle w:val="ListBullet"/>
        <w:spacing w:after="40"/>
      </w:pPr>
      <w:r>
        <w:t>render.yaml y requirements-prod.txt.</w:t>
      </w:r>
    </w:p>
    <w:p>
      <w:pPr>
        <w:pStyle w:val="ListBullet"/>
        <w:spacing w:after="40"/>
      </w:pPr>
      <w:r>
        <w:t>Aplicación pública en Render.</w:t>
      </w:r>
    </w:p>
    <w:p>
      <w:pPr>
        <w:pStyle w:val="ListBullet"/>
        <w:spacing w:after="40"/>
      </w:pPr>
      <w:r>
        <w:t>Documentos Word de avance y consolidación técnica.</w:t>
      </w:r>
    </w:p>
    <w:p>
      <w:pPr>
        <w:pStyle w:val="Heading1"/>
      </w:pPr>
      <w:r>
        <w:t>18. Limitaciones y riesgos conocidos</w:t>
      </w:r>
    </w:p>
    <w:p>
      <w:pPr>
        <w:pStyle w:val="ListBullet"/>
        <w:spacing w:after="40"/>
      </w:pPr>
      <w:r>
        <w:rPr>
          <w:b/>
        </w:rPr>
        <w:t xml:space="preserve">No causalidad: </w:t>
      </w:r>
      <w:r>
        <w:t>las asociaciones, tasas y SHAP no deben interpretarse como efectos causales.</w:t>
      </w:r>
    </w:p>
    <w:p>
      <w:pPr>
        <w:pStyle w:val="ListBullet"/>
        <w:spacing w:after="40"/>
      </w:pPr>
      <w:r>
        <w:rPr>
          <w:b/>
        </w:rPr>
        <w:t xml:space="preserve">Holdout 2025: </w:t>
      </w:r>
      <w:r>
        <w:t>muestra ligera degradación respecto de 2024; recall/FNR cumplen mejor que balanced accuracy y F1 respecto de metas internas.</w:t>
      </w:r>
    </w:p>
    <w:p>
      <w:pPr>
        <w:pStyle w:val="ListBullet"/>
        <w:spacing w:after="40"/>
      </w:pPr>
      <w:r>
        <w:rPr>
          <w:b/>
        </w:rPr>
        <w:t xml:space="preserve">Cambios históricos: </w:t>
      </w:r>
      <w:r>
        <w:t>esquemas y procesos cambian en la serie 2008-2025; el dashboard informa cobertura y evita imputar años ausentes como cero.</w:t>
      </w:r>
    </w:p>
    <w:p>
      <w:pPr>
        <w:pStyle w:val="ListBullet"/>
        <w:spacing w:after="40"/>
      </w:pPr>
      <w:r>
        <w:rPr>
          <w:b/>
        </w:rPr>
        <w:t xml:space="preserve">ETNIA: </w:t>
      </w:r>
      <w:r>
        <w:t>la codificación observada no quedó semánticamente confirmada; se excluyó del modelo final y no se interpreta con nombres.</w:t>
      </w:r>
    </w:p>
    <w:p>
      <w:pPr>
        <w:pStyle w:val="ListBullet"/>
        <w:spacing w:after="40"/>
      </w:pPr>
      <w:r>
        <w:rPr>
          <w:b/>
        </w:rPr>
        <w:t xml:space="preserve">BSA/BPDT: </w:t>
      </w:r>
      <w:r>
        <w:t>siglas no resueltas; los casos solo-desconocidos se excluyen.</w:t>
      </w:r>
    </w:p>
    <w:p>
      <w:pPr>
        <w:pStyle w:val="ListBullet"/>
        <w:spacing w:after="40"/>
      </w:pPr>
      <w:r>
        <w:rPr>
          <w:b/>
        </w:rPr>
        <w:t xml:space="preserve">Render: </w:t>
      </w:r>
      <w:r>
        <w:t>en plan gratuito puede existir cold start/suspensión por inactividad según condiciones de la plataforma.</w:t>
      </w:r>
    </w:p>
    <w:p>
      <w:pPr>
        <w:pStyle w:val="Heading1"/>
      </w:pPr>
      <w:r>
        <w:t>19. Trabajo pendiente para cierre de Capstone</w:t>
      </w:r>
    </w:p>
    <w:p>
      <w:pPr>
        <w:pStyle w:val="ListBullet"/>
        <w:spacing w:after="40"/>
      </w:pPr>
      <w:r>
        <w:rPr>
          <w:b/>
        </w:rPr>
        <w:t xml:space="preserve">Documentación final: </w:t>
      </w:r>
      <w:r>
        <w:t>consolidar metodología, arquitectura, seguridad, pruebas, dashboard y despliegue en el informe de entrega.</w:t>
      </w:r>
    </w:p>
    <w:p>
      <w:pPr>
        <w:pStyle w:val="ListBullet"/>
        <w:spacing w:after="40"/>
      </w:pPr>
      <w:r>
        <w:rPr>
          <w:b/>
        </w:rPr>
        <w:t xml:space="preserve">Defensa: </w:t>
      </w:r>
      <w:r>
        <w:t>preparar relato problema → datos → ETL → EDA → modelos → validación temporal → SHAP → seguridad → dashboard → despliegue → limitaciones.</w:t>
      </w:r>
    </w:p>
    <w:p>
      <w:pPr>
        <w:pStyle w:val="ListBullet"/>
        <w:spacing w:after="40"/>
      </w:pPr>
      <w:r>
        <w:rPr>
          <w:b/>
        </w:rPr>
        <w:t xml:space="preserve">Repo final: </w:t>
      </w:r>
      <w:r>
        <w:t>última auditoría de estructura, nombres, README y reproducción por un tercero.</w:t>
      </w:r>
    </w:p>
    <w:p>
      <w:pPr>
        <w:pStyle w:val="ListBullet"/>
        <w:spacing w:after="40"/>
      </w:pPr>
      <w:r>
        <w:rPr>
          <w:b/>
        </w:rPr>
        <w:t xml:space="preserve">Evidencias: </w:t>
      </w:r>
      <w:r>
        <w:t>capturas de producción, endpoints y resultados reproducibles para respaldo de la presentación.</w:t>
      </w:r>
    </w:p>
    <w:p>
      <w:pPr>
        <w:pStyle w:val="ListBullet"/>
        <w:spacing w:after="40"/>
      </w:pPr>
      <w:r>
        <w:rPr>
          <w:b/>
        </w:rPr>
        <w:t xml:space="preserve">Opcional: </w:t>
      </w:r>
      <w:r>
        <w:t>pulidos visuales menores o gráficos adicionales si la rúbrica/tiempo lo justifican; no son necesarios para el núcleo del MVP.</w:t>
      </w:r>
    </w:p>
    <w:p>
      <w:pPr>
        <w:pStyle w:val="Heading1"/>
      </w:pPr>
      <w:r>
        <w:t>20. Mensajes clave para la defensa</w:t>
      </w:r>
    </w:p>
    <w:p>
      <w:pPr>
        <w:pStyle w:val="ListBullet"/>
        <w:spacing w:after="40"/>
      </w:pPr>
      <w:r>
        <w:t>El proyecto evolucionó desde un prototipo de minería de datos a una aplicación web reproducible y desplegada.</w:t>
      </w:r>
    </w:p>
    <w:p>
      <w:pPr>
        <w:pStyle w:val="ListBullet"/>
        <w:spacing w:after="40"/>
      </w:pPr>
      <w:r>
        <w:t>2025 se mantuvo como prueba temporal y no se utilizó para retuning posterior.</w:t>
      </w:r>
    </w:p>
    <w:p>
      <w:pPr>
        <w:pStyle w:val="ListBullet"/>
        <w:spacing w:after="40"/>
      </w:pPr>
      <w:r>
        <w:t>La salida es orientativa y no reemplaza una decisión oficial de MINEDUC.</w:t>
      </w:r>
    </w:p>
    <w:p>
      <w:pPr>
        <w:pStyle w:val="ListBullet"/>
        <w:spacing w:after="40"/>
      </w:pPr>
      <w:r>
        <w:t>SHAP explica el comportamiento del modelo, no causalidad.</w:t>
      </w:r>
    </w:p>
    <w:p>
      <w:pPr>
        <w:pStyle w:val="ListBullet"/>
        <w:spacing w:after="40"/>
      </w:pPr>
      <w:r>
        <w:t>La seguridad se apoya en minimización de datos y validación estricta; no se solicitan identificadores personales.</w:t>
      </w:r>
    </w:p>
    <w:p>
      <w:pPr>
        <w:pStyle w:val="ListBullet"/>
        <w:spacing w:after="40"/>
      </w:pPr>
      <w:r>
        <w:t>El dashboard histórico es descriptivo y está separado conceptualmente del modelo predictivo.</w:t>
      </w:r>
    </w:p>
    <w:p>
      <w:pPr>
        <w:pStyle w:val="ListBullet"/>
        <w:spacing w:after="40"/>
      </w:pPr>
      <w:r>
        <w:t>La cobertura histórica de variables se documenta explícitamente para evitar falsas comparaciones entre años.</w:t>
      </w:r>
    </w:p>
    <w:p>
      <w:pPr>
        <w:pStyle w:val="Heading1"/>
      </w:pPr>
      <w:r>
        <w:t>21. Estado global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Datos / ETL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Cerrado para MVP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EDA 2024</w:t>
            </w:r>
          </w:p>
        </w:tc>
        <w:tc>
          <w:tcPr>
            <w:tcW w:type="dxa" w:w="5040"/>
            <w:vAlign w:val="center"/>
          </w:tcPr>
          <w:p>
            <w:r>
              <w:t>Cerrado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Selección y congelamiento de modelo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Cerrado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Validación temporal 2025</w:t>
            </w:r>
          </w:p>
        </w:tc>
        <w:tc>
          <w:tcPr>
            <w:tcW w:type="dxa" w:w="5040"/>
            <w:vAlign w:val="center"/>
          </w:tcPr>
          <w:p>
            <w:r>
              <w:t>Cerrado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SHAP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Cerrado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API FastAPI</w:t>
            </w:r>
          </w:p>
        </w:tc>
        <w:tc>
          <w:tcPr>
            <w:tcW w:type="dxa" w:w="5040"/>
            <w:vAlign w:val="center"/>
          </w:tcPr>
          <w:p>
            <w:r>
              <w:t>Cerrado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Frontend React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Cerrado para MVP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Seguridad básica</w:t>
            </w:r>
          </w:p>
        </w:tc>
        <w:tc>
          <w:tcPr>
            <w:tcW w:type="dxa" w:w="5040"/>
            <w:vAlign w:val="center"/>
          </w:tcPr>
          <w:p>
            <w:r>
              <w:t>Cerrado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Pruebas automatizadas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16 passing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Dashboard histórico</w:t>
            </w:r>
          </w:p>
        </w:tc>
        <w:tc>
          <w:tcPr>
            <w:tcW w:type="dxa" w:w="5040"/>
            <w:vAlign w:val="center"/>
          </w:tcPr>
          <w:p>
            <w:r>
              <w:t>Cerrado para MVP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GitHub / README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Actualizado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</w:tcPr>
          <w:p>
            <w:r>
              <w:t>Despliegue Render</w:t>
            </w:r>
          </w:p>
        </w:tc>
        <w:tc>
          <w:tcPr>
            <w:tcW w:type="dxa" w:w="5040"/>
            <w:vAlign w:val="center"/>
          </w:tcPr>
          <w:p>
            <w:r>
              <w:t>Operativo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shd w:fill="F5F8FB"/>
          </w:tcPr>
          <w:p>
            <w:r>
              <w:t>Documentación final / defensa</w:t>
            </w:r>
          </w:p>
        </w:tc>
        <w:tc>
          <w:tcPr>
            <w:tcW w:type="dxa" w:w="5040"/>
            <w:vAlign w:val="center"/>
            <w:shd w:fill="F5F8FB"/>
          </w:tcPr>
          <w:p>
            <w:r>
              <w:t>Pendiente de cierre académico</w:t>
            </w:r>
          </w:p>
        </w:tc>
      </w:tr>
    </w:tbl>
    <w:p/>
    <w:p>
      <w:pPr>
        <w:spacing w:before="320"/>
        <w:jc w:val="center"/>
      </w:pPr>
      <w:r>
        <w:rPr>
          <w:b/>
          <w:color w:val="1F4E79"/>
          <w:sz w:val="26"/>
        </w:rPr>
        <w:t>Conclusión</w:t>
      </w:r>
    </w:p>
    <w:p>
      <w:pPr>
        <w:jc w:val="both"/>
      </w:pPr>
      <w:r>
        <w:t>El núcleo técnico del Capstone está implementado y operativo. El trabajo restante corresponde principalmente a consolidación documental, auditoría final del repositorio y preparación de la defensa. La solución ya demuestra el ciclo completo de ingeniería: integración de datos, modelado, evaluación, explicabilidad, API, frontend, seguridad, pruebas, dashboard histórico y despliegue en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Ingeniería en Informática | Duoc UC |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Capstone FUAS - Resumen integral de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2">
    <w:name w:val="Subtitle2"/>
    <w:pPr>
      <w:spacing w:after="200"/>
    </w:pPr>
    <w:rPr>
      <w:rFonts w:ascii="Aptos" w:hAnsi="Aptos"/>
      <w:color w:val="59595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