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端到端量化比赛入门与实施指南</w:t>
      </w:r>
    </w:p>
    <w:p>
      <w:pPr>
        <w:pStyle w:val="SmallNote"/>
      </w:pPr>
      <w:r>
        <w:t>2026 年第二届进益资本杯  面向有 AI 基础但缺少量化背景的团队</w:t>
      </w:r>
    </w:p>
    <w:p>
      <w:r>
        <w:t>这份指南帮助团队弄清三件事：模型到底预测什么、成绩如何计算、怎样把一个可复现的模型交到平台。最实用的起点是先做一套没有未来信息泄漏的时序基线，再逐步增加模型复杂度。文中的训练方案是建议，不是赛事强制架构；具体字段、标签口径和线上限制以比赛平台最终公告为准。</w:t>
      </w:r>
    </w:p>
    <w:p>
      <w:pPr>
        <w:pStyle w:val="Heading1"/>
      </w:pPr>
      <w:r>
        <w:t>一 先看懂比赛任务</w:t>
      </w:r>
    </w:p>
    <w:p>
      <w:r>
        <w:t>在每个规定的日内采样时点 t，模型读取截至 t 已知的股票分钟行情与盘口序列，为股票 i 输出一个分数 score(i,t)。分数越高，表示模型越看好该股票未来 30 分钟的 VWAP 收益。平台把所有股票的分数当作一个横截面信号进行处理和评分。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2551"/>
      </w:tblGrid>
      <w:tr>
        <w:trPr>
          <w:tblHeader w:val="true"/>
        </w:trPr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概念</w:t>
            </w:r>
          </w:p>
        </w:tc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直观解释</w:t>
            </w:r>
          </w:p>
        </w:tc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在模型中的位置</w:t>
            </w:r>
          </w:p>
        </w:tc>
      </w:tr>
      <w:tr>
        <w:tc>
          <w:tcPr>
            <w:tcW w:type="dxa" w:w="170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VWAP</w:t>
            </w:r>
          </w:p>
        </w:tc>
        <w:tc>
          <w:tcPr>
            <w:tcW w:type="dxa" w:w="464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成交量加权平均价。价格较高且成交量较大的分钟，对均价影响更大。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预测目标所用的价格口径</w:t>
            </w:r>
          </w:p>
        </w:tc>
      </w:tr>
      <w:tr>
        <w:tc>
          <w:tcPr>
            <w:tcW w:type="dxa" w:w="170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30 分钟收益</w:t>
            </w:r>
          </w:p>
        </w:tc>
        <w:tc>
          <w:tcPr>
            <w:tcW w:type="dxa" w:w="464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当前时点之后一个预测窗口内的价格变化；比赛不预测隔夜收益。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训练标签与排序方向</w:t>
            </w:r>
          </w:p>
        </w:tc>
      </w:tr>
      <w:tr>
        <w:tc>
          <w:tcPr>
            <w:tcW w:type="dxa" w:w="170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横截面</w:t>
            </w:r>
          </w:p>
        </w:tc>
        <w:tc>
          <w:tcPr>
            <w:tcW w:type="dxa" w:w="464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同一个时点的多只股票，比较谁的未来收益更高。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评估 IC 与组合表现</w:t>
            </w:r>
          </w:p>
        </w:tc>
      </w:tr>
      <w:tr>
        <w:tc>
          <w:tcPr>
            <w:tcW w:type="dxa" w:w="170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采样点</w:t>
            </w:r>
          </w:p>
        </w:tc>
        <w:tc>
          <w:tcPr>
            <w:tcW w:type="dxa" w:w="464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平台规定的 30 分钟时点，每日约 8 个；排除集合竞价等特殊时段。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推理结果的 date</w:t>
            </w:r>
          </w:p>
        </w:tc>
      </w:tr>
    </w:tbl>
    <w:p>
      <w:pPr>
        <w:spacing w:after="0"/>
      </w:pPr>
    </w:p>
    <w:p>
      <w:pPr>
        <w:pStyle w:val="SmallNote"/>
      </w:pPr>
      <w:r>
        <w:t>数学直觉：VWAP = Σ(价格 × 对应成交量) / Σ成交量。一个示意性的未来收益可以写成 r(i,t) = 未来窗口价格 / 当前参考价格 − 1。实际训练必须采用平台给定的标签定义，不能自行假定参考价格、复权方式、停牌处理或窗口边界。</w:t>
      </w:r>
    </w:p>
    <w:p>
      <w:pPr>
        <w:pStyle w:val="SmallNote"/>
      </w:pPr>
      <w:r>
        <w:t>原始赛事说明同时出现“股票残差收益率为目标”和“未来 30 分钟 VWAP 收益”的表述。模型训练前应在平台数据说明或官方答疑中确认：标签是否已做市场或风格残差化。提交接口的 score 列及未来 30 分钟预测方向是明确的。</w:t>
      </w:r>
    </w:p>
    <w:p>
      <w:pPr>
        <w:pStyle w:val="Heading1"/>
      </w:pPr>
      <w:r>
        <w:t>二 重要指标的数学逻辑</w:t>
      </w:r>
    </w:p>
    <w:p>
      <w:r>
        <w:t>评分不是看单笔预测误差有多小，而是综合考察排序、稳定性、组合收益和交易代价。平台先对有效提交的各项原始指标做百分位排名，再把五项排名各按 20% 加权。因而某一项极强而另一项很弱，也会影响总分。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819"/>
        <w:gridCol w:w="2551"/>
      </w:tblGrid>
      <w:tr>
        <w:trPr>
          <w:tblHeader w:val="true"/>
        </w:trPr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核心计算直觉</w:t>
            </w:r>
          </w:p>
        </w:tc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该怎样理解</w:t>
            </w:r>
          </w:p>
        </w:tc>
      </w:tr>
      <w:tr>
        <w:tc>
          <w:tcPr>
            <w:tcW w:type="dxa" w:w="153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IC 均值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每个时点比较 score 与之后真实收益的相关性，再对时点求平均。常见为 RankIC，但具体相关系数口径以平台为准。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模型能否持续把高收益股票排在前面。</w:t>
            </w:r>
          </w:p>
        </w:tc>
      </w:tr>
      <w:tr>
        <w:tc>
          <w:tcPr>
            <w:tcW w:type="dxa" w:w="153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IC_IR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IC 的时间均值 / IC 的时间标准差；是否做年化以平台为准。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平均有效且波动小，分数才稳。</w:t>
            </w:r>
          </w:p>
        </w:tc>
      </w:tr>
      <w:tr>
        <w:tc>
          <w:tcPr>
            <w:tcW w:type="dxa" w:w="153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多空夏普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按 score 排序，构造高分组减低分组收益；夏普约为组合平均收益 / 收益标准差。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排序转成组合后，收益是否覆盖波动。</w:t>
            </w:r>
          </w:p>
        </w:tc>
      </w:tr>
      <w:tr>
        <w:tc>
          <w:tcPr>
            <w:tcW w:type="dxa" w:w="153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压力稳定性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比较高低波动、放缩量、不同时段等场景中的表现。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避免只在某一类行情中有效。</w:t>
            </w:r>
          </w:p>
        </w:tc>
      </w:tr>
      <w:tr>
        <w:tc>
          <w:tcPr>
            <w:tcW w:type="dxa" w:w="153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换手率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衡量相邻时点持仓变化；常见写法为 ½ Σ|本期权重 − 上期权重|。</w:t>
            </w:r>
          </w:p>
        </w:tc>
        <w:tc>
          <w:tcPr>
            <w:tcW w:type="dxa" w:w="2551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过度跳动会增加交易成本；本赛项越低越好。</w:t>
            </w:r>
          </w:p>
        </w:tc>
      </w:tr>
    </w:tbl>
    <w:p>
      <w:pPr>
        <w:spacing w:after="0"/>
      </w:pPr>
    </w:p>
    <w:p>
      <w:pPr>
        <w:pStyle w:val="SmallNote"/>
      </w:pPr>
      <w:r>
        <w:t>举例：若某模型五项百分位分别是 0.80、0.70、0.60、0.50、0.90，则综合分为 0.2 × (0.80 + 0.70 + 0.60 + 0.50 + 0.90) = 0.70。百分位会随其他有效提交变化，公榜分数不是一个固定不变的绝对误差。</w:t>
      </w:r>
    </w:p>
    <w:p>
      <w:r>
        <w:t>平台在打分前会对 score 做截面去极值、标准化，并用 BARRA 风格因子回归取残差。模型不能只靠预测“大市值股票通常更强”之类的简单风格暴露得分；真正重要的是风格处理后的增量排序能力。</w:t>
      </w:r>
    </w:p>
    <w:p>
      <w:pPr>
        <w:pStyle w:val="Heading1"/>
      </w:pPr>
      <w:r>
        <w:t>三 一套适合新手的模型方案</w:t>
      </w:r>
    </w:p>
    <w:p>
      <w:r>
        <w:t>推荐先建立一个输入清楚、训练稳定、推理较轻的基线。把每只股票在时点 t 之前的 L 个分钟记录组成矩阵 X(i,t)，形状为 L × F。F 是平台允许的原始字段，如 OHLCV 与盘口快照字段；用缺失掩码表示缺测。股票标识、时间位置等信息是否可用及如何使用，应按最终规则核对。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819"/>
        <w:gridCol w:w="2608"/>
      </w:tblGrid>
      <w:tr>
        <w:trPr>
          <w:tblHeader w:val="true"/>
        </w:trPr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推荐起点</w:t>
            </w:r>
          </w:p>
        </w:tc>
        <w:tc>
          <w:tcPr>
            <w:tcW w:type="dxa" w:w="3229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1474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原始分钟序列 + 缺失掩码；必要的类型转换、对齐与缩放</w:t>
            </w:r>
          </w:p>
        </w:tc>
        <w:tc>
          <w:tcPr>
            <w:tcW w:type="dxa" w:w="2608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保持端到端赛道的原始输入要求</w:t>
            </w:r>
          </w:p>
        </w:tc>
      </w:tr>
      <w:tr>
        <w:tc>
          <w:tcPr>
            <w:tcW w:type="dxa" w:w="1474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时序编码器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1D CNN 或 GRU；跑通后再试小型 Transformer</w:t>
            </w:r>
          </w:p>
        </w:tc>
        <w:tc>
          <w:tcPr>
            <w:tcW w:type="dxa" w:w="2608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学习过去一段时间的价格和成交变化模式</w:t>
            </w:r>
          </w:p>
        </w:tc>
      </w:tr>
      <w:tr>
        <w:tc>
          <w:tcPr>
            <w:tcW w:type="dxa" w:w="1474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预测头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池化或最后时刻隐状态 → 两层 MLP → 单个 score</w:t>
            </w:r>
          </w:p>
        </w:tc>
        <w:tc>
          <w:tcPr>
            <w:tcW w:type="dxa" w:w="2608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给每只股票每个采样点输出一个数</w:t>
            </w:r>
          </w:p>
        </w:tc>
      </w:tr>
      <w:tr>
        <w:tc>
          <w:tcPr>
            <w:tcW w:type="dxa" w:w="1474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损失函数</w:t>
            </w:r>
          </w:p>
        </w:tc>
        <w:tc>
          <w:tcPr>
            <w:tcW w:type="dxa" w:w="4819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先用 Huber 回归损失；再研究截面排序损失</w:t>
            </w:r>
          </w:p>
        </w:tc>
        <w:tc>
          <w:tcPr>
            <w:tcW w:type="dxa" w:w="2608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让训练稳定，同时贴近排序目标</w:t>
            </w:r>
          </w:p>
        </w:tc>
      </w:tr>
    </w:tbl>
    <w:p>
      <w:pPr>
        <w:spacing w:after="0"/>
      </w:pPr>
    </w:p>
    <w:p>
      <w:r>
        <w:t>数据流：原始序列 → 时间与股票对齐 → 缺失掩码及基础标准化 → 时序编码器 → 单值预测头 → score。标准化参数只从训练区间估计，推理时加载同一参数。赛道允许必要的预处理，但禁止把根据标签或目标手工设计的技术指标、盘口衍生因子和筛选规则作为模型输入。</w:t>
      </w:r>
    </w:p>
    <w:p>
      <w:r>
        <w:t>Transformer 适合序列较长且数据量充足的情况，但注意力计算和显存开销较高。先用 CNN 或 GRU 确认数据与评估管线正确，再比较 Transformer 的真实增益。模型更复杂本身不会提高比赛评分。</w:t>
      </w:r>
    </w:p>
    <w:p>
      <w:pPr>
        <w:pStyle w:val="Heading1"/>
      </w:pPr>
      <w:r>
        <w:t>四 训练和验证怎么做</w:t>
      </w:r>
    </w:p>
    <w:p>
      <w:pPr>
        <w:pStyle w:val="ListNumber"/>
        <w:spacing w:after="80"/>
      </w:pPr>
      <w:r>
        <w:t>核实数据口径。阅读“比赛 → 数据”，确认字段含义、时区、复权、分钟时间戳代表区间起点还是终点、合法采样点和官方标签。只使用授权训练数据。</w:t>
      </w:r>
    </w:p>
    <w:p>
      <w:pPr>
        <w:pStyle w:val="ListNumber"/>
        <w:spacing w:after="80"/>
      </w:pPr>
      <w:r>
        <w:t>构造样本。对每个采样点，仅截取该时点可见的历史序列；标签取其后的官方 30 分钟目标。检查午休、停牌、缺测和跨日窗口，禁止输入晚于 t 的数据。</w:t>
      </w:r>
    </w:p>
    <w:p>
      <w:pPr>
        <w:pStyle w:val="ListNumber"/>
        <w:spacing w:after="80"/>
      </w:pPr>
      <w:r>
        <w:t>按时间划分。训练、开发验证应是连续且先后分开的日期区间；窗口边界留出至少覆盖标签预测期的间隔，避免同一未来收益跨越两边。不要随机打散时间后再划分。</w:t>
      </w:r>
    </w:p>
    <w:p>
      <w:pPr>
        <w:pStyle w:val="ListNumber"/>
        <w:spacing w:after="80"/>
      </w:pPr>
      <w:r>
        <w:t>训练基线。固定随机种子，保存特征字段顺序、标准化参数、模型配置和权重；采用早停，并记录每轮验证损失和逐时点 IC。控制 batch 大小与序列长度，先在短日期范围跑通。</w:t>
      </w:r>
    </w:p>
    <w:p>
      <w:pPr>
        <w:pStyle w:val="ListNumber"/>
        <w:spacing w:after="80"/>
      </w:pPr>
      <w:r>
        <w:t>检查真实目标。除 Huber 损失外，观察 RankIC、IC_IR、分时段表现和 score 换手。只在开发验证区间挑模型；不要用公榜反复调到贴合验证集。</w:t>
      </w:r>
    </w:p>
    <w:p>
      <w:pPr>
        <w:pStyle w:val="ListNumber"/>
        <w:spacing w:after="80"/>
      </w:pPr>
      <w:r>
        <w:t>冻结推理。训练脚本保存权重。预测 Notebook 的 main() 加载权重与配置，通过 datasources 获取表名，处理平台传入的 start_date 至 end_date，并返回仅有 date、instrument、score 的 DataFrame。</w:t>
      </w:r>
    </w:p>
    <w:p>
      <w:r>
        <w:t>正式评测在 start_date 前额外给出一年历史数据，可用于滞后项和序列切窗；最终只返回 start_date 至 end_date 的结果。这个回看区间不能成为重新拟合验证集标签或更新模型权重的入口。</w:t>
      </w:r>
    </w:p>
    <w:p>
      <w:pPr>
        <w:pStyle w:val="SmallNote"/>
      </w:pPr>
      <w:r>
        <w:t>防泄漏的简单自检：对于任一输出 (i,t)，删除 t 之后的所有原始记录后重新推理，score 应保持一致。还应检查标准化器是否仅在训练集拟合、验证标签是否误入输入、股票池是否使用了未来成分信息。</w:t>
      </w:r>
    </w:p>
    <w:p>
      <w:pPr>
        <w:pStyle w:val="Heading1"/>
      </w:pPr>
      <w:r>
        <w:t>五 从报名到提交的实际流程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066"/>
      </w:tblGrid>
      <w:tr>
        <w:trPr>
          <w:tblHeader w:val="true"/>
        </w:trPr>
        <w:tc>
          <w:tcPr>
            <w:tcW w:type="dxa" w:w="4844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时间或阶段</w:t>
            </w:r>
          </w:p>
        </w:tc>
        <w:tc>
          <w:tcPr>
            <w:tcW w:type="dxa" w:w="4844"/>
            <w:shd w:fill="DDE8EE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r>
              <w:rPr>
                <w:b/>
                <w:sz w:val="18"/>
              </w:rPr>
              <w:t>需要完成的动作</w:t>
            </w:r>
          </w:p>
        </w:tc>
      </w:tr>
      <w:tr>
        <w:tc>
          <w:tcPr>
            <w:tcW w:type="dxa" w:w="283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报名  截至 10 月 7 日 23:59:59</w:t>
            </w:r>
          </w:p>
        </w:tc>
        <w:tc>
          <w:tcPr>
            <w:tcW w:type="dxa" w:w="606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进入进益资本空间报名；审核后获得空间与数据权限。每人只能加入一队，建议 1 至 3 人。</w:t>
            </w:r>
          </w:p>
        </w:tc>
      </w:tr>
      <w:tr>
        <w:tc>
          <w:tcPr>
            <w:tcW w:type="dxa" w:w="283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数据下载申请</w:t>
            </w:r>
          </w:p>
        </w:tc>
        <w:tc>
          <w:tcPr>
            <w:tcW w:type="dxa" w:w="606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端到端本地训练数据需身份核验、签署限制协议并经审核。10 月 1 日至 7 日暂停处理申请，10 月 8 日起继续处理。</w:t>
            </w:r>
          </w:p>
        </w:tc>
      </w:tr>
      <w:tr>
        <w:tc>
          <w:tcPr>
            <w:tcW w:type="dxa" w:w="283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开发</w:t>
            </w:r>
          </w:p>
        </w:tc>
        <w:tc>
          <w:tcPr>
            <w:tcW w:type="dxa" w:w="606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克隆训练与预测模板；整理训练代码为 .py，保存权重、配置、依赖与随机种子。</w:t>
            </w:r>
          </w:p>
        </w:tc>
      </w:tr>
      <w:tr>
        <w:tc>
          <w:tcPr>
            <w:tcW w:type="dxa" w:w="283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公榜提交  截至 10 月 29 日 23:59:59</w:t>
            </w:r>
          </w:p>
        </w:tc>
        <w:tc>
          <w:tcPr>
            <w:tcW w:type="dxa" w:w="606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提交完整模型包；平台在验证集加载权重推理，不会重新训练。查看提交记录与报错。</w:t>
            </w:r>
          </w:p>
        </w:tc>
      </w:tr>
      <w:tr>
        <w:tc>
          <w:tcPr>
            <w:tcW w:type="dxa" w:w="283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候选确认  截至 10 月 30 日 23:59:59</w:t>
            </w:r>
          </w:p>
        </w:tc>
        <w:tc>
          <w:tcPr>
            <w:tcW w:type="dxa" w:w="606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选择私榜候选并冻结。之后不可改训练与推理代码、权重、参数、依赖或随机种子。</w:t>
            </w:r>
          </w:p>
        </w:tc>
      </w:tr>
      <w:tr>
        <w:tc>
          <w:tcPr>
            <w:tcW w:type="dxa" w:w="2835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私榜与决赛</w:t>
            </w:r>
          </w:p>
        </w:tc>
        <w:tc>
          <w:tcPr>
            <w:tcW w:type="dxa" w:w="6066"/>
            <w:vAlign w:val="center"/>
            <w:tcBorders>
              <w:top w:val="single" w:color="D9D9D9" w:sz="5"/>
              <w:left w:val="single" w:color="D9D9D9" w:sz="5"/>
              <w:bottom w:val="single" w:color="D9D9D9" w:sz="5"/>
              <w:right w:val="single" w:color="D9D9D9" w:sz="5"/>
            </w:tcBorders>
            <w:shd w:fill="F6F8F9"/>
          </w:tcPr>
          <w:p>
            <w:pPr>
              <w:spacing w:after="40" w:before="40" w:line="276" w:lineRule="auto"/>
            </w:pPr>
            <w:r>
              <w:rPr>
                <w:sz w:val="18"/>
              </w:rPr>
              <w:t>11 月 2 日至 6 日预计进行私榜评估。决赛资格要求队伍至少有一位清华大学在读学生。</w:t>
            </w:r>
          </w:p>
        </w:tc>
      </w:tr>
    </w:tbl>
    <w:p>
      <w:pPr>
        <w:spacing w:after="0"/>
      </w:pPr>
    </w:p>
    <w:p>
      <w:r>
        <w:t>比赛空间：https://jinyicapital.bigquant.com/。所有比赛相关操作均应在该空间进行。训练数据的本地下载只允许本人或本队参赛使用，不能外传或另作他用。</w:t>
      </w:r>
    </w:p>
    <w:p>
      <w:pPr>
        <w:pStyle w:val="Heading1"/>
      </w:pPr>
      <w:r>
        <w:t>六 交付前的核对表</w:t>
      </w:r>
    </w:p>
    <w:p>
      <w:pPr>
        <w:pStyle w:val="ListBullet"/>
        <w:spacing w:after="60"/>
      </w:pPr>
      <w:r>
        <w:t>只有一个 Notebook，且其中存在可调用的 main(datasources, start_date, end_date)。</w:t>
      </w:r>
    </w:p>
    <w:p>
      <w:pPr>
        <w:pStyle w:val="ListBullet"/>
        <w:spacing w:after="60"/>
      </w:pPr>
      <w:r>
        <w:t>模型包有训练脚本、推理脚本、依赖声明、超参数配置、随机种子、完整且匹配的权重。</w:t>
      </w:r>
    </w:p>
    <w:p>
      <w:pPr>
        <w:pStyle w:val="ListBullet"/>
        <w:spacing w:after="60"/>
      </w:pPr>
      <w:r>
        <w:t>输出恰好是 date、instrument、score；时点合法、区间完整、股票池对齐、没有重复键或无穷值。</w:t>
      </w:r>
    </w:p>
    <w:p>
      <w:pPr>
        <w:pStyle w:val="ListBullet"/>
        <w:spacing w:after="60"/>
      </w:pPr>
      <w:r>
        <w:t>每个评估时点缺失率不高于 40%；score 越大表示预测未来收益越高。</w:t>
      </w:r>
    </w:p>
    <w:p>
      <w:pPr>
        <w:pStyle w:val="ListBullet"/>
        <w:spacing w:after="60"/>
      </w:pPr>
      <w:r>
        <w:t>使用 datasources 的逻辑名读表；推理在指定线上环境可运行，不依赖外网或未授权文件。</w:t>
      </w:r>
    </w:p>
    <w:p>
      <w:pPr>
        <w:pStyle w:val="ListBullet"/>
        <w:spacing w:after="60"/>
      </w:pPr>
      <w:r>
        <w:t>总体运行时间控制在 3 小时内；具体 GPU 推理上限和资源规格以平台公告为准。</w:t>
      </w:r>
    </w:p>
    <w:p>
      <w:pPr>
        <w:pStyle w:val="ListBullet"/>
        <w:spacing w:after="60"/>
      </w:pPr>
      <w:r>
        <w:t>明确记录模型所见数据的截止时间，并确认所有输入、变换和选择步骤没有未来数据。</w:t>
      </w:r>
    </w:p>
    <w:p>
      <w:pPr>
        <w:pStyle w:val="SmallNote"/>
      </w:pPr>
      <w:r>
        <w:t>来源：用户提供的赛事操作说明及完整赛事文本。官方字段、标签细节、资源上限、时间安排和允许的输入范围，仍以进益资本比赛平台最新公告与提交检查为准。</w:t>
      </w:r>
    </w:p>
    <w:sectPr w:rsidR="00FC693F" w:rsidRPr="0006063C" w:rsidSect="00034616">
      <w:pgSz w:w="12240" w:h="15840"/>
      <w:pgMar w:top="1219" w:right="1276" w:bottom="110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Microsoft YaHei" w:hAnsi="Microsoft YaHei"/>
      <w:color w:val="1E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100"/>
    </w:pPr>
    <w:rPr>
      <w:color w:val="4B52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端到端量化比赛入门与实施指南</dc:title>
  <dc:subject>2026 年第二届进益资本杯端到端赛道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