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端到端赛道比赛规则与参赛流程</w:t>
      </w:r>
    </w:p>
    <w:p>
      <w:pPr>
        <w:spacing w:after="240"/>
      </w:pPr>
      <w:r>
        <w:rPr>
          <w:color w:val="4E5760"/>
          <w:sz w:val="18"/>
        </w:rPr>
        <w:t>2026 年第二届进益资本杯  比赛信息手册</w:t>
      </w:r>
    </w:p>
    <w:p>
      <w:r>
        <w:t>这份文件回答如何报名、能用什么数据、提交什么文件以及何时完成。端到端赛道的核心任务是在规定的日内时点，根据已知的 A 股分钟行情和盘口数据，给每只股票输出未来 30 分钟 VWAP 收益的预测分数。</w:t>
      </w:r>
    </w:p>
    <w:p>
      <w:pPr>
        <w:pStyle w:val="Heading1"/>
      </w:pPr>
      <w:r>
        <w:t>一 比赛任务和资格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</w:tblGrid>
      <w:tr>
        <w:trPr>
          <w:tblHeader w:val="true"/>
        </w:trPr>
        <w:tc>
          <w:tcPr>
            <w:tcW w:type="dxa" w:w="462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62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赛事要求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预测目标</w:t>
            </w:r>
          </w:p>
        </w:tc>
        <w:tc>
          <w:tcPr>
            <w:tcW w:type="dxa" w:w="7030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未来 30 分钟 VWAP 收益，不预测隔夜收益；每日约 8 个非重叠日内采样截面。</w:t>
            </w:r>
          </w:p>
        </w:tc>
      </w:tr>
      <w:tr>
        <w:tc>
          <w:tcPr>
            <w:tcW w:type="dxa" w:w="170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数据</w:t>
            </w:r>
          </w:p>
        </w:tc>
        <w:tc>
          <w:tcPr>
            <w:tcW w:type="dxa" w:w="7030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以中证 1000 指数历史成分股为基础，提供 1 分钟、5 分钟、15 分钟和 30 分钟 K 线及盘口快照。具体字段以数据说明为准。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组队</w:t>
            </w:r>
          </w:p>
        </w:tc>
        <w:tc>
          <w:tcPr>
            <w:tcW w:type="dxa" w:w="7030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每人只能加入一支队伍，建议每队 1 至 3 人。团队成员可分别提交，团队成绩取有效个人提交的最高分。</w:t>
            </w:r>
          </w:p>
        </w:tc>
      </w:tr>
      <w:tr>
        <w:tc>
          <w:tcPr>
            <w:tcW w:type="dxa" w:w="170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决赛资格</w:t>
            </w:r>
          </w:p>
        </w:tc>
        <w:tc>
          <w:tcPr>
            <w:tcW w:type="dxa" w:w="7030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参加最终决赛的队伍须至少有一位清华大学在读学生。</w:t>
            </w:r>
          </w:p>
        </w:tc>
      </w:tr>
    </w:tbl>
    <w:p>
      <w:pPr>
        <w:spacing w:after="0"/>
      </w:pPr>
    </w:p>
    <w:p>
      <w:r>
        <w:t>赛事说明一处将目标称为“股票残差收益率”，另一处明确写为“未来 30 分钟 VWAP 收益”。训练前须确认平台提供的标签是否已做市场或风格残差化，不能自行猜测标签公式。</w:t>
      </w:r>
    </w:p>
    <w:p>
      <w:pPr>
        <w:pStyle w:val="Heading1"/>
      </w:pPr>
      <w:r>
        <w:t>二 报名与数据权限</w:t>
      </w:r>
    </w:p>
    <w:p>
      <w:pPr>
        <w:pStyle w:val="ListNumber"/>
        <w:spacing w:after="80"/>
      </w:pPr>
      <w:r>
        <w:t>在 https://jinyicapital.bigquant.com/ 的比赛页面报名；报名截止为 2026 年 10 月 7 日 23:59:59。审核通过后，报名按钮会变为“提交代码”，并开通空间和赛事数据权限。</w:t>
      </w:r>
    </w:p>
    <w:p>
      <w:pPr>
        <w:pStyle w:val="ListNumber"/>
        <w:spacing w:after="80"/>
      </w:pPr>
      <w:r>
        <w:t>在“比赛 → 数据”和数据平台的“/进益资本杯2026”目录阅读字段与训练数据说明。比赛相关操作须在“进益资本”空间完成。</w:t>
      </w:r>
    </w:p>
    <w:p>
      <w:pPr>
        <w:pStyle w:val="ListNumber"/>
        <w:spacing w:after="80"/>
      </w:pPr>
      <w:r>
        <w:t>端到端本地训练数据需向比赛小助手提供学生卡照片和平台用户 ID，签署限制协议，审核后取得下载链接。下载数据仅限本人或本队参赛使用。</w:t>
      </w:r>
    </w:p>
    <w:p>
      <w:r>
        <w:t>数据下载申请从 2026 年 9 月 30 日开放。10 月 1 日至 7 日假期期间暂停处理，未处理申请从 10 月 8 日起继续处理。</w:t>
      </w:r>
    </w:p>
    <w:p>
      <w:pPr>
        <w:pStyle w:val="Heading1"/>
      </w:pPr>
      <w:r>
        <w:t>三 开发与提交入口</w:t>
      </w:r>
    </w:p>
    <w:p>
      <w:r>
        <w:t>在“比赛 → 代码”克隆公共模板到个人开发环境。训练模板为 Transformer_modelsave_train.ipynb，预测模板为 Transformer_modelsave_predict.ipynb。训练代码提交时需整理为 .py 文件。</w:t>
      </w:r>
    </w:p>
    <w:p>
      <w:r>
        <w:t>提交中有且仅有一个 Notebook，其中提供 main(datasources, start_date, end_date)。平台通过 datasources 传入 bar1m、bar5m、bar15m、bar30m 等逻辑数据源对应的当前评测表名。代码应按逻辑名取表，避免硬编码训练集物理表名。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293"/>
      </w:tblGrid>
      <w:tr>
        <w:trPr>
          <w:tblHeader w:val="true"/>
        </w:trPr>
        <w:tc>
          <w:tcPr>
            <w:tcW w:type="dxa" w:w="462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提交文件</w:t>
            </w:r>
          </w:p>
        </w:tc>
        <w:tc>
          <w:tcPr>
            <w:tcW w:type="dxa" w:w="462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预测 Notebook</w:t>
            </w:r>
          </w:p>
        </w:tc>
        <w:tc>
          <w:tcPr>
            <w:tcW w:type="dxa" w:w="6293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唯一 Notebook，包含可调用的 main()，加载已训练权重并返回结果。</w:t>
            </w:r>
          </w:p>
        </w:tc>
      </w:tr>
      <w:tr>
        <w:tc>
          <w:tcPr>
            <w:tcW w:type="dxa" w:w="2438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训练与推理脚本</w:t>
            </w:r>
          </w:p>
        </w:tc>
        <w:tc>
          <w:tcPr>
            <w:tcW w:type="dxa" w:w="6293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用于复现、合规检查和线上推理；训练脚本不作为公榜重训入口。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模型权重与配置</w:t>
            </w:r>
          </w:p>
        </w:tc>
        <w:tc>
          <w:tcPr>
            <w:tcW w:type="dxa" w:w="6293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完整权重、匹配的超参数配置、依赖声明、随机种子。</w:t>
            </w:r>
          </w:p>
        </w:tc>
      </w:tr>
    </w:tbl>
    <w:p>
      <w:pPr>
        <w:spacing w:after="0"/>
      </w:pPr>
    </w:p>
    <w:p>
      <w:r>
        <w:t>公榜平台只加载提交的已训练权重进行验证集推理，不会利用验证集重新训练模型。评测前额外提供一年历史数据供滚动与序列计算，但返回值只覆盖 start_date 至 end_date。</w:t>
      </w:r>
    </w:p>
    <w:p>
      <w:pPr>
        <w:pStyle w:val="Heading1"/>
      </w:pPr>
      <w:r>
        <w:t>四 输出和运行限制</w:t>
      </w:r>
    </w:p>
    <w:p>
      <w:r>
        <w:t>main() 必须返回仅含 date、instrument、score 三列的 DataFrame。date 为合法 30 分钟采样点，instrument 为平台股票代码，score 越大代表预测的未来收益越高。不得缺失整日或整个采样时点；每个时点缺失率不高于 40%；不得有重复键、非法数值或无穷值。</w:t>
      </w:r>
    </w:p>
    <w:p>
      <w:r>
        <w:t>提交代码须在指定线上环境运行。通用说明给出的总时限为 3 小时；GPU 单次推理上限可能依资源放宽，最终以平台公告为准。评测环境无外网，不能使用外部预训练权重或未授权数据。</w:t>
      </w:r>
    </w:p>
    <w:p>
      <w:pPr>
        <w:pStyle w:val="Heading1"/>
      </w:pPr>
      <w:r>
        <w:t>五 截止日期和结果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350"/>
      </w:tblGrid>
      <w:tr>
        <w:trPr>
          <w:tblHeader w:val="true"/>
        </w:trPr>
        <w:tc>
          <w:tcPr>
            <w:tcW w:type="dxa" w:w="462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462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日期与动作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报名截止</w:t>
            </w:r>
          </w:p>
        </w:tc>
        <w:tc>
          <w:tcPr>
            <w:tcW w:type="dxa" w:w="6350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2026 年 10 月 7 日 23:59:59。</w:t>
            </w:r>
          </w:p>
        </w:tc>
      </w:tr>
      <w:tr>
        <w:tc>
          <w:tcPr>
            <w:tcW w:type="dxa" w:w="238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公榜提交截止</w:t>
            </w:r>
          </w:p>
        </w:tc>
        <w:tc>
          <w:tcPr>
            <w:tcW w:type="dxa" w:w="6350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2026 年 10 月 29 日 23:59:59；提交后在“比赛 → 提交记录”查看状态和成绩。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私榜候选选择截止</w:t>
            </w:r>
          </w:p>
        </w:tc>
        <w:tc>
          <w:tcPr>
            <w:tcW w:type="dxa" w:w="6350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2026 年 10 月 30 日 23:59:59；确认后冻结代码、参数、依赖、随机种子和权重。</w:t>
            </w:r>
          </w:p>
        </w:tc>
      </w:tr>
      <w:tr>
        <w:tc>
          <w:tcPr>
            <w:tcW w:type="dxa" w:w="238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私榜评估</w:t>
            </w:r>
          </w:p>
        </w:tc>
        <w:tc>
          <w:tcPr>
            <w:tcW w:type="dxa" w:w="6350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预计 2026 年 11 月 2 日至 6 日，使用与公榜不重叠的数据，决定最终排名。</w:t>
            </w:r>
          </w:p>
        </w:tc>
      </w:tr>
    </w:tbl>
    <w:p>
      <w:pPr>
        <w:spacing w:after="0"/>
      </w:pPr>
    </w:p>
    <w:p>
      <w:r>
        <w:t>平台对有效 score 统一进行去极值、标准化和 BARRA 风格剔除，再综合 IC 均值、IC_IR、多空组合夏普、压力场景稳定性和换手率评分。五项各占 20%。</w:t>
      </w:r>
    </w:p>
    <w:p>
      <w:r>
        <w:rPr>
          <w:color w:val="555B63"/>
          <w:sz w:val="17"/>
        </w:rPr>
        <w:t>资料依据：用户提供的赛事操作说明及完整赛事文本。平台字段、标签口径和资源限制以进益资本比赛空间的最新说明为准。</w:t>
      </w:r>
    </w:p>
    <w:sectPr w:rsidR="00FC693F" w:rsidRPr="0006063C" w:rsidSect="00034616">
      <w:pgSz w:w="11906" w:h="16838"/>
      <w:pgMar w:top="1191" w:right="1332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color w:val="1C22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端到端赛道比赛规则与参赛流程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