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端到端赛道从输入到评分</w:t>
      </w:r>
    </w:p>
    <w:p>
      <w:pPr>
        <w:spacing w:after="220"/>
      </w:pPr>
      <w:r>
        <w:rPr>
          <w:color w:val="555B62"/>
          <w:sz w:val="18"/>
        </w:rPr>
        <w:t>第二份文档  原始分钟数据 → 模型 score → 平台五项指标</w:t>
      </w:r>
    </w:p>
    <w:p>
      <w:r>
        <w:t>这项比赛可以看成一条有严格时间顺序的计算链。模型在每个规定的时点 t，只读取 t 当时已知的分钟行情和盘口数据，给每只股票输出一个 score。未来 30 分钟的真实收益在训练历史中充当标签，在公榜和私榜推理时由平台用于评测，不能作为模型输入。</w:t>
      </w:r>
    </w:p>
    <w:p>
      <w:pPr>
        <w:pStyle w:val="Formula"/>
        <w:jc w:val="center"/>
      </w:pPr>
      <w:r>
        <w:rPr>
          <w:rFonts w:ascii="Cambria Math" w:hAnsi="Cambria Math"/>
        </w:rPr>
        <w:t>原始数据 D → 历史序列 X(i,t) → 模型 fθ → score s(i,t) → 平台处理 s*(i,t) → 五项指标 → 总分</w:t>
      </w:r>
    </w:p>
    <w:p>
      <w:pPr>
        <w:pStyle w:val="Heading1"/>
      </w:pPr>
      <w:r>
        <w:t>一 输入到底包括什么</w:t>
      </w:r>
    </w:p>
    <w:p>
      <w:r>
        <w:t>需要区分“评测函数收到的输入”和“神经网络实际吃进去的张量”。平台调用 main(datasources, start_date, end_date)；其中 datasources 是逻辑名到当前评测表名的映射，start_date 和 end_date 限定应返回的区间。main 再从这些表读取原始记录，组装模型张量。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798"/>
        <w:gridCol w:w="3515"/>
      </w:tblGrid>
      <w:tr>
        <w:trPr>
          <w:tblHeader w:val="true"/>
        </w:trPr>
        <w:tc>
          <w:tcPr>
            <w:tcW w:type="dxa" w:w="3099"/>
            <w:vAlign w:val="center"/>
            <w:shd w:fill="DFEAF0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3099"/>
            <w:vAlign w:val="center"/>
            <w:shd w:fill="DFEAF0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3099"/>
            <w:vAlign w:val="center"/>
            <w:shd w:fill="DFEAF0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/>
                <w:sz w:val="18"/>
              </w:rPr>
              <w:t>作用与边界</w:t>
            </w:r>
          </w:p>
        </w:tc>
      </w:tr>
      <w:tr>
        <w:tc>
          <w:tcPr>
            <w:tcW w:type="dxa" w:w="1531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平台接口输入</w:t>
            </w:r>
          </w:p>
        </w:tc>
        <w:tc>
          <w:tcPr>
            <w:tcW w:type="dxa" w:w="3798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datasources 中的 bar1m、bar5m、bar15m、bar30m；start_date、end_date</w:t>
            </w:r>
          </w:p>
        </w:tc>
        <w:tc>
          <w:tcPr>
            <w:tcW w:type="dxa" w:w="3515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用于定位当前数据表和评测区间。逻辑名不是模型特征。</w:t>
            </w:r>
          </w:p>
        </w:tc>
      </w:tr>
      <w:tr>
        <w:tc>
          <w:tcPr>
            <w:tcW w:type="dxa" w:w="1531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原始市场记录</w:t>
            </w:r>
          </w:p>
        </w:tc>
        <w:tc>
          <w:tcPr>
            <w:tcW w:type="dxa" w:w="3798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1、5、15、30 分钟 K 线和盘口快照；K 线可包含开高低收与成交量，盘口具体列以数据说明为准</w:t>
            </w:r>
          </w:p>
        </w:tc>
        <w:tc>
          <w:tcPr>
            <w:tcW w:type="dxa" w:w="3515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每行对应股票及时间。只能使用时点 t 已经完整可见的记录。</w:t>
            </w:r>
          </w:p>
        </w:tc>
      </w:tr>
      <w:tr>
        <w:tc>
          <w:tcPr>
            <w:tcW w:type="dxa" w:w="1531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模型张量</w:t>
            </w:r>
          </w:p>
        </w:tc>
        <w:tc>
          <w:tcPr>
            <w:tcW w:type="dxa" w:w="3798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每只股票截至 t 的 L 条原始记录，形状可写成 L×F；可附缺失掩码</w:t>
            </w:r>
          </w:p>
        </w:tc>
        <w:tc>
          <w:tcPr>
            <w:tcW w:type="dxa" w:w="3515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L 是回看长度，F 是实际允许字段数。一个 batch 可写成 B×L×F。</w:t>
            </w:r>
          </w:p>
        </w:tc>
      </w:tr>
      <w:tr>
        <w:tc>
          <w:tcPr>
            <w:tcW w:type="dxa" w:w="1531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训练标签</w:t>
            </w:r>
          </w:p>
        </w:tc>
        <w:tc>
          <w:tcPr>
            <w:tcW w:type="dxa" w:w="3798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平台定义的未来 30 分钟 VWAP 收益</w:t>
            </w:r>
          </w:p>
        </w:tc>
        <w:tc>
          <w:tcPr>
            <w:tcW w:type="dxa" w:w="3515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只在训练与评估中出现；正式推理时模型看不到。</w:t>
            </w:r>
          </w:p>
        </w:tc>
      </w:tr>
      <w:tr>
        <w:tc>
          <w:tcPr>
            <w:tcW w:type="dxa" w:w="1531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模型文件</w:t>
            </w:r>
          </w:p>
        </w:tc>
        <w:tc>
          <w:tcPr>
            <w:tcW w:type="dxa" w:w="3798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训练得到的权重、字段顺序、标准化参数和配置</w:t>
            </w:r>
          </w:p>
        </w:tc>
        <w:tc>
          <w:tcPr>
            <w:tcW w:type="dxa" w:w="3515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由推理代码加载，保证训练和线上输入一致。</w:t>
            </w:r>
          </w:p>
        </w:tc>
      </w:tr>
    </w:tbl>
    <w:p>
      <w:pPr>
        <w:spacing w:after="0"/>
      </w:pPr>
    </w:p>
    <w:p>
      <w:r>
        <w:t>对于多频率输入，可分别构造 X¹ᵐ(i,t)、X⁵ᵐ(i,t)、X¹⁵ᵐ(i,t)、X³⁰ᵐ(i,t)，并把它们在网络中融合。多频率不代表必须全部使用：第一版可以只用 bar1m。关键是 5、15、30 分钟 K 线必须已经完成，不能把尚在形成中的整根 K 线当作已知信息。</w:t>
      </w:r>
    </w:p>
    <w:p>
      <w:pPr>
        <w:pStyle w:val="Formula"/>
        <w:jc w:val="center"/>
      </w:pPr>
      <w:r>
        <w:rPr>
          <w:rFonts w:ascii="Cambria Math" w:hAnsi="Cambria Math"/>
        </w:rPr>
        <w:t>Xᶠ(i,t) = [zᶠ(i,u₁), zᶠ(i,u₂), …, zᶠ(i,uᴸ)]，其中每个 uₗ 在 t 时已经可见</w:t>
      </w:r>
    </w:p>
    <w:p>
      <w:r>
        <w:t>zᶠ 是频率 f 的一条原始记录。赛道允许时间和股票对齐、类型转换、缺失处理、标准化、切窗等基础工程；禁止把依据目标手工构造的技术指标、价量统计量、盘口衍生因子或筛选规则作为模型输入。标准化参数应只从训练区间估计。</w:t>
      </w:r>
    </w:p>
    <w:p>
      <w:pPr>
        <w:pStyle w:val="Heading1"/>
      </w:pPr>
      <w:r>
        <w:t>二 模型被预期做什么</w:t>
      </w:r>
    </w:p>
    <w:p>
      <w:r>
        <w:t>模型的任务是从历史原始序列中学习映射，输出单个分数。分数越大，代表模型预测这只股票在接下来的 30 分钟里收益越高。模型无需直接决定买卖数量，也无需在推理时重新训练；平台把 score 当成单信号进行统一处理和评分。</w:t>
      </w:r>
    </w:p>
    <w:p>
      <w:pPr>
        <w:pStyle w:val="Formula"/>
        <w:jc w:val="center"/>
      </w:pPr>
      <w:r>
        <w:rPr>
          <w:rFonts w:ascii="Cambria Math" w:hAnsi="Cambria Math"/>
        </w:rPr>
        <w:t>s(i,t) = fθ(X¹ᵐ(i,t), X⁵ᵐ(i,t), …, mask(i,t))</w:t>
      </w:r>
    </w:p>
    <w:p>
      <w:r>
        <w:t>θ 是已训练并保存的权重；mask 标记原始记录的缺失。模型可以用 CNN、GRU 或 Transformer 等时序编码器，但结构名称不是比赛目标。一个合格模型要在新日期继续把高收益股票排得更靠前，并保持合理的稳定性和换手。</w:t>
      </w:r>
    </w:p>
    <w:p>
      <w:r>
        <w:t>模型学习所用的目标 y(i,t) 可直观理解为未来窗口的 VWAP 收益。以下是教学示意，不是官方标签公式；当前参考价格、复权、残差化、停牌和窗口边界需以平台数据说明确认。</w:t>
      </w:r>
    </w:p>
    <w:p>
      <w:pPr>
        <w:pStyle w:val="Formula"/>
        <w:jc w:val="center"/>
      </w:pPr>
      <w:r>
        <w:rPr>
          <w:rFonts w:ascii="Cambria Math" w:hAnsi="Cambria Math"/>
        </w:rPr>
        <w:t>VWAP(W) = Σ(k∈W) pₖqₖ / Σ(k∈W) qₖ</w:t>
      </w:r>
    </w:p>
    <w:p>
      <w:pPr>
        <w:pStyle w:val="Formula"/>
        <w:jc w:val="center"/>
      </w:pPr>
      <w:r>
        <w:rPr>
          <w:rFonts w:ascii="Cambria Math" w:hAnsi="Cambria Math"/>
        </w:rPr>
        <w:t>y(i,t) ≈ VWAPᵢ((t,t+30min]) / P_ref(i,t) − 1</w:t>
      </w:r>
    </w:p>
    <w:p>
      <w:r>
        <w:t>pₖ、qₖ 是未来窗口内可用成交的价格和成交量，P_ref 是平台规定的当前参考价格。赛事说明同时出现“残差收益率”和“VWAP 收益”的表述，训练前应向平台确认标签是否已经做过残差化。</w:t>
      </w:r>
    </w:p>
    <w:p>
      <w:pPr>
        <w:pStyle w:val="Heading1"/>
      </w:pPr>
      <w:r>
        <w:t>三 从同一组输入走到一个实际评分例子</w:t>
      </w:r>
    </w:p>
    <w:p>
      <w:r>
        <w:t>假设在一个合法采样时点，模型分别读取四只股票此前 L 条原始记录。下表的“最后一条原始记录摘录”只是为了让输入具体可见；模型实际接收整段 L×F 序列，且不把表中的未来收益当输入。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628"/>
        <w:gridCol w:w="1701"/>
        <w:gridCol w:w="2324"/>
      </w:tblGrid>
      <w:tr>
        <w:trPr>
          <w:tblHeader w:val="true"/>
        </w:trPr>
        <w:tc>
          <w:tcPr>
            <w:tcW w:type="dxa" w:w="2324"/>
            <w:vAlign w:val="center"/>
            <w:shd w:fill="DFEAF0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/>
                <w:sz w:val="18"/>
              </w:rPr>
              <w:t>股票</w:t>
            </w:r>
          </w:p>
        </w:tc>
        <w:tc>
          <w:tcPr>
            <w:tcW w:type="dxa" w:w="2324"/>
            <w:vAlign w:val="center"/>
            <w:shd w:fill="DFEAF0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/>
                <w:sz w:val="18"/>
              </w:rPr>
              <w:t>最后一条原始记录摘录</w:t>
            </w:r>
          </w:p>
        </w:tc>
        <w:tc>
          <w:tcPr>
            <w:tcW w:type="dxa" w:w="2324"/>
            <w:vAlign w:val="center"/>
            <w:shd w:fill="DFEAF0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/>
                <w:sz w:val="18"/>
              </w:rPr>
              <w:t>模型 score</w:t>
            </w:r>
          </w:p>
        </w:tc>
        <w:tc>
          <w:tcPr>
            <w:tcW w:type="dxa" w:w="2324"/>
            <w:vAlign w:val="center"/>
            <w:shd w:fill="DFEAF0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/>
                <w:sz w:val="18"/>
              </w:rPr>
              <w:t>30 分钟后真实 y</w:t>
            </w:r>
          </w:p>
        </w:tc>
      </w:tr>
      <w:tr>
        <w:tc>
          <w:tcPr>
            <w:tcW w:type="dxa" w:w="1191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3628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收盘 10.00；成交量 1000</w:t>
            </w:r>
          </w:p>
        </w:tc>
        <w:tc>
          <w:tcPr>
            <w:tcW w:type="dxa" w:w="1701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2324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2%</w:t>
            </w:r>
          </w:p>
        </w:tc>
      </w:tr>
      <w:tr>
        <w:tc>
          <w:tcPr>
            <w:tcW w:type="dxa" w:w="1191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3628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收盘 20.00；成交量 2000</w:t>
            </w:r>
          </w:p>
        </w:tc>
        <w:tc>
          <w:tcPr>
            <w:tcW w:type="dxa" w:w="1701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0.70</w:t>
            </w:r>
          </w:p>
        </w:tc>
        <w:tc>
          <w:tcPr>
            <w:tcW w:type="dxa" w:w="2324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0%</w:t>
            </w:r>
          </w:p>
        </w:tc>
      </w:tr>
      <w:tr>
        <w:tc>
          <w:tcPr>
            <w:tcW w:type="dxa" w:w="1191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3628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收盘 8.00；成交量 1500</w:t>
            </w:r>
          </w:p>
        </w:tc>
        <w:tc>
          <w:tcPr>
            <w:tcW w:type="dxa" w:w="1701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0.30</w:t>
            </w:r>
          </w:p>
        </w:tc>
        <w:tc>
          <w:tcPr>
            <w:tcW w:type="dxa" w:w="2324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-1%</w:t>
            </w:r>
          </w:p>
        </w:tc>
      </w:tr>
      <w:tr>
        <w:tc>
          <w:tcPr>
            <w:tcW w:type="dxa" w:w="1191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3628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收盘 15.00；成交量 800</w:t>
            </w:r>
          </w:p>
        </w:tc>
        <w:tc>
          <w:tcPr>
            <w:tcW w:type="dxa" w:w="1701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0.10</w:t>
            </w:r>
          </w:p>
        </w:tc>
        <w:tc>
          <w:tcPr>
            <w:tcW w:type="dxa" w:w="2324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1%</w:t>
            </w:r>
          </w:p>
        </w:tc>
      </w:tr>
    </w:tbl>
    <w:p>
      <w:pPr>
        <w:spacing w:after="0"/>
      </w:pPr>
    </w:p>
    <w:p>
      <w:r>
        <w:t>score 从高到低排 A、B、C、D；真实收益从高到低排 A、D、B、C。两组名次并不完全一致，但 A 被正确排在第一。用秩相关计算这个时点的 RankIC：score 名次为 [4,3,2,1]，收益名次为 [4,2,1,3]，名次差平方和为 0²+1²+1²+(-2)²=6。</w:t>
      </w:r>
    </w:p>
    <w:p>
      <w:pPr>
        <w:pStyle w:val="Formula"/>
        <w:jc w:val="center"/>
      </w:pPr>
      <w:r>
        <w:rPr>
          <w:rFonts w:ascii="Cambria Math" w:hAnsi="Cambria Math"/>
        </w:rPr>
        <w:t>RankICₜ = 1 − 6Σᵢdᵢ² / [n(n²−1)] = 1 − 36/(4×15) = 0.40</w:t>
      </w:r>
    </w:p>
    <w:p>
      <w:r>
        <w:t>这个例子说明评分与模型输出的连接：模型产生 s，未来真实数据形成 y；二者在同一时点、同一股票集合上的对应关系决定 IC。若官方采用 Pearson IC，则直接比较数值相关；RankIC 则比较名次。赛事文本同时出现 IC 与 RankIC，用哪一种应以评测模块为准。</w:t>
      </w:r>
    </w:p>
    <w:p>
      <w:pPr>
        <w:pStyle w:val="Heading1"/>
      </w:pPr>
      <w:r>
        <w:t>四 平台如何处理 score</w:t>
      </w:r>
    </w:p>
    <w:p>
      <w:r>
        <w:t>模型提交的是原始 score，平台先在同一个采样时点的股票横截面上去极值、标准化，再用 BARRA 风格暴露回归剔除可由常见风格解释的部分。随后才根据处理后的信号与未来收益计算指标。下式只表达处理顺序，回归权重和细节未公开。</w:t>
      </w:r>
    </w:p>
    <w:p>
      <w:pPr>
        <w:pStyle w:val="Formula"/>
        <w:jc w:val="center"/>
      </w:pPr>
      <w:r>
        <w:rPr>
          <w:rFonts w:ascii="Cambria Math" w:hAnsi="Cambria Math"/>
        </w:rPr>
        <w:t>s*(i,t) = Neutralize(Standardize(Winsorize(s(i,t))))</w:t>
      </w:r>
    </w:p>
    <w:p>
      <w:r>
        <w:t>因此，本地训练损失小不等于平台成绩高。你们应记录原始 score 的排序，同时尽可能通过平台评测模块查看统一处理后的表现。</w:t>
      </w:r>
    </w:p>
    <w:p>
      <w:pPr>
        <w:pStyle w:val="Heading1"/>
      </w:pPr>
      <w:r>
        <w:t>五 五项指标如何从输出算出来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948"/>
        <w:gridCol w:w="4195"/>
      </w:tblGrid>
      <w:tr>
        <w:trPr>
          <w:tblHeader w:val="true"/>
        </w:trPr>
        <w:tc>
          <w:tcPr>
            <w:tcW w:type="dxa" w:w="3099"/>
            <w:vAlign w:val="center"/>
            <w:shd w:fill="DFEAF0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099"/>
            <w:vAlign w:val="center"/>
            <w:shd w:fill="DFEAF0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/>
                <w:sz w:val="18"/>
              </w:rPr>
              <w:t>主要依赖的量</w:t>
            </w:r>
          </w:p>
        </w:tc>
        <w:tc>
          <w:tcPr>
            <w:tcW w:type="dxa" w:w="3099"/>
            <w:vAlign w:val="center"/>
            <w:shd w:fill="DFEAF0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/>
                <w:sz w:val="18"/>
              </w:rPr>
              <w:t>计算的基本意思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IC 均值</w:t>
            </w:r>
          </w:p>
        </w:tc>
        <w:tc>
          <w:tcPr>
            <w:tcW w:type="dxa" w:w="2948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处理后分数 s* 与未来 y</w:t>
            </w:r>
          </w:p>
        </w:tc>
        <w:tc>
          <w:tcPr>
            <w:tcW w:type="dxa" w:w="4195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每个时点先算横截面相关，再对时点取平均。</w:t>
            </w:r>
          </w:p>
        </w:tc>
      </w:tr>
      <w:tr>
        <w:tc>
          <w:tcPr>
            <w:tcW w:type="dxa" w:w="1701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IC_IR</w:t>
            </w:r>
          </w:p>
        </w:tc>
        <w:tc>
          <w:tcPr>
            <w:tcW w:type="dxa" w:w="2948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各时点的 IC 序列</w:t>
            </w:r>
          </w:p>
        </w:tc>
        <w:tc>
          <w:tcPr>
            <w:tcW w:type="dxa" w:w="4195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平均相关性除以其时间波动，衡量稳定性。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多空夏普</w:t>
            </w:r>
          </w:p>
        </w:tc>
        <w:tc>
          <w:tcPr>
            <w:tcW w:type="dxa" w:w="2948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由 s* 排序形成的组合权重与未来 y</w:t>
            </w:r>
          </w:p>
        </w:tc>
        <w:tc>
          <w:tcPr>
            <w:tcW w:type="dxa" w:w="4195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高分组减低分组的逐期收益，相对其波动。</w:t>
            </w:r>
          </w:p>
        </w:tc>
      </w:tr>
      <w:tr>
        <w:tc>
          <w:tcPr>
            <w:tcW w:type="dxa" w:w="1701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压力场景稳定性</w:t>
            </w:r>
          </w:p>
        </w:tc>
        <w:tc>
          <w:tcPr>
            <w:tcW w:type="dxa" w:w="2948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各场景中的 s*、y 和组合结果</w:t>
            </w:r>
          </w:p>
        </w:tc>
        <w:tc>
          <w:tcPr>
            <w:tcW w:type="dxa" w:w="4195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看高低波动、放缩量、日内时段中的表现是否均衡。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换手率</w:t>
            </w:r>
          </w:p>
        </w:tc>
        <w:tc>
          <w:tcPr>
            <w:tcW w:type="dxa" w:w="2948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相邻时点由 s* 决定的组合权重</w:t>
            </w:r>
          </w:p>
        </w:tc>
        <w:tc>
          <w:tcPr>
            <w:tcW w:type="dxa" w:w="4195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 w:after="20"/>
            </w:pPr>
            <w:r>
              <w:rPr>
                <w:b w:val="0"/>
                <w:sz w:val="18"/>
              </w:rPr>
              <w:t>权重变化越大，调仓越频繁；此项越低越好。</w:t>
            </w:r>
          </w:p>
        </w:tc>
      </w:tr>
    </w:tbl>
    <w:p>
      <w:pPr>
        <w:spacing w:after="0"/>
      </w:pPr>
    </w:p>
    <w:p>
      <w:pPr>
        <w:pStyle w:val="Heading2"/>
      </w:pPr>
      <w:r>
        <w:t>相关性和稳定性</w:t>
      </w:r>
    </w:p>
    <w:p>
      <w:pPr>
        <w:pStyle w:val="Formula"/>
        <w:jc w:val="center"/>
      </w:pPr>
      <w:r>
        <w:rPr>
          <w:rFonts w:ascii="Cambria Math" w:hAnsi="Cambria Math"/>
        </w:rPr>
        <w:t>ICₜ = corr_cross_section({s*(i,t)}, {y(i,t)})</w:t>
      </w:r>
    </w:p>
    <w:p>
      <w:pPr>
        <w:pStyle w:val="Formula"/>
        <w:jc w:val="center"/>
      </w:pPr>
      <w:r>
        <w:rPr>
          <w:rFonts w:ascii="Cambria Math" w:hAnsi="Cambria Math"/>
        </w:rPr>
        <w:t>IC_mean = (1/T)ΣₜICₜ；   IC_IR = IC_mean / sd(IC₁,…,IC_T)</w:t>
      </w:r>
    </w:p>
    <w:p>
      <w:r>
        <w:t>T 是有效采样时点数。corr_cross_section 表示在同一个 t 内跨股票计算相关；若采用 RankIC，先将 s* 与 y 各自转成名次再相关。IC_IR 分母越小，表示 IC 随时间越稳定；是否年化及缺失时点如何处理以平台为准。</w:t>
      </w:r>
    </w:p>
    <w:p>
      <w:pPr>
        <w:pStyle w:val="Heading2"/>
      </w:pPr>
      <w:r>
        <w:t>多空组合和夏普</w:t>
      </w:r>
    </w:p>
    <w:p>
      <w:pPr>
        <w:pStyle w:val="Formula"/>
        <w:jc w:val="center"/>
      </w:pPr>
      <w:r>
        <w:rPr>
          <w:rFonts w:ascii="Cambria Math" w:hAnsi="Cambria Math"/>
        </w:rPr>
        <w:t>Rₜᴸˢ = Σᵢ w(i,t) y(i,t)，其中高分股票 w&gt;0，低分股票 w&lt;0</w:t>
      </w:r>
    </w:p>
    <w:p>
      <w:pPr>
        <w:pStyle w:val="Formula"/>
        <w:jc w:val="center"/>
      </w:pPr>
      <w:r>
        <w:rPr>
          <w:rFonts w:ascii="Cambria Math" w:hAnsi="Cambria Math"/>
        </w:rPr>
        <w:t>Sharpe ≈ mean(Rₜᴸˢ − rᶠₜ) / sd(Rₜᴸˢ − rᶠₜ) × √K</w:t>
      </w:r>
    </w:p>
    <w:p>
      <w:r>
        <w:t>平台根据 s* 的排序产生多空组合权重 w；真实未来收益 y 决定每期组合收益 Rᴸˢ。rᶠ 是无风险收益，K 是年化期数。比赛没有公开具体分组、权重、交易成本及年化方式，因此上式是通用定义，不等于官方逐行实现。</w:t>
      </w:r>
    </w:p>
    <w:p>
      <w:pPr>
        <w:pStyle w:val="Heading2"/>
      </w:pPr>
      <w:r>
        <w:t>换手与压力场景</w:t>
      </w:r>
    </w:p>
    <w:p>
      <w:pPr>
        <w:pStyle w:val="Formula"/>
        <w:jc w:val="center"/>
      </w:pPr>
      <w:r>
        <w:rPr>
          <w:rFonts w:ascii="Cambria Math" w:hAnsi="Cambria Math"/>
        </w:rPr>
        <w:t>Turnoverₜ ≈ ½Σᵢ |w(i,t) − w(i,t−1)|</w:t>
      </w:r>
    </w:p>
    <w:p>
      <w:pPr>
        <w:pStyle w:val="Formula"/>
        <w:jc w:val="center"/>
      </w:pPr>
      <w:r>
        <w:rPr>
          <w:rFonts w:ascii="Cambria Math" w:hAnsi="Cambria Math"/>
        </w:rPr>
        <w:t>IC_mean(c) = mean{ICₜ : t 属于场景 c}</w:t>
      </w:r>
    </w:p>
    <w:p>
      <w:r>
        <w:t>换手将相邻时点的组合权重相减；由分数排序频繁变化造成的调仓会抬高它。对压力场景，可分别计算高波动、低波动、放量、缩量等场景的 IC 或多空收益，再比较最弱场景和场景间差异。赛事只说明评估“压力场景稳定性”，没有公布该项的精确聚合公式，不能把 IC_mean(c) 误称为官方最终压力分。</w:t>
      </w:r>
    </w:p>
    <w:p>
      <w:pPr>
        <w:pStyle w:val="Heading2"/>
      </w:pPr>
      <w:r>
        <w:t>最终总分</w:t>
      </w:r>
    </w:p>
    <w:p>
      <w:pPr>
        <w:pStyle w:val="Formula"/>
        <w:jc w:val="center"/>
      </w:pPr>
      <w:r>
        <w:rPr>
          <w:rFonts w:ascii="Cambria Math" w:hAnsi="Cambria Math"/>
        </w:rPr>
        <w:t>FinalScore = 0.2 × [P(IC_mean) + P(IC_IR) + P(Sharpe) + P(Stress) + P(Turnover)]</w:t>
      </w:r>
    </w:p>
    <w:p>
      <w:r>
        <w:t>P(·) 是该项原始指标相对于所有有效提交的 rank 百分位，范围为 0 到 1。前四项通常越高越好；换手按越低越好转换为更高百分位。若五项百分位依次为 0.80、0.70、0.60、0.50、0.90，则总分为 0.70。其他队伍提交变化时，百分位也可能变化。</w:t>
      </w:r>
    </w:p>
    <w:p>
      <w:pPr>
        <w:pStyle w:val="Heading1"/>
      </w:pPr>
      <w:r>
        <w:t>六 你们应该怎样把这条链跑通</w:t>
      </w:r>
    </w:p>
    <w:p>
      <w:pPr>
        <w:pStyle w:val="ListBullet"/>
        <w:spacing w:after="60"/>
      </w:pPr>
      <w:r>
        <w:t>先核对字段清单、K 线时间戳含义、合法采样点、标签口径和股票池。缺其中一项，就无法严谨判断一条记录在 t 时是否可见。</w:t>
      </w:r>
    </w:p>
    <w:p>
      <w:pPr>
        <w:pStyle w:val="ListBullet"/>
        <w:spacing w:after="60"/>
      </w:pPr>
      <w:r>
        <w:t>先用 bar1m 构造 X(i,t)，保留原始字段和缺失掩码。逐条检查最大输入时间不晚于 t，输出只在合法时点。</w:t>
      </w:r>
    </w:p>
    <w:p>
      <w:pPr>
        <w:pStyle w:val="ListBullet"/>
        <w:spacing w:after="60"/>
      </w:pPr>
      <w:r>
        <w:t>训练小型 CNN 或 GRU，保存 θ、字段顺序与标准化参数。按连续日期分训练、验证和内部留出期，避免未来窗口跨越划分边界。</w:t>
      </w:r>
    </w:p>
    <w:p>
      <w:pPr>
        <w:pStyle w:val="ListBullet"/>
        <w:spacing w:after="60"/>
      </w:pPr>
      <w:r>
        <w:t>在开发验证期同时看 IC 均值、IC_IR、多空表现、各场景表现和换手，再决定是否升级 Transformer 或加入多频率输入。</w:t>
      </w:r>
    </w:p>
    <w:p>
      <w:pPr>
        <w:pStyle w:val="ListBullet"/>
        <w:spacing w:after="60"/>
      </w:pPr>
      <w:r>
        <w:t>最终 main() 只输出 date、instrument、score 三列；模型权重固定，公榜验证集只用于推理，不重新训练。</w:t>
      </w:r>
    </w:p>
    <w:p>
      <w:pPr>
        <w:pStyle w:val="Heading1"/>
      </w:pPr>
      <w:r>
        <w:t>需要向平台确认的精确口径</w:t>
      </w:r>
    </w:p>
    <w:p>
      <w:r>
        <w:t>请优先询问：标签的 P_ref 和未来 VWAP 窗口；是否为残差收益；IC 是 Pearson 还是 RankIC；多空组合如何选股和加权；换手的持仓与调仓定义；压力场景指标怎样聚合；BARRA 风格剔除的具体流程。文档中标有“≈”的式子用于理解机制，不应当当作平台正式实现。</w:t>
      </w:r>
    </w:p>
    <w:p>
      <w:r>
        <w:t>延伸阅读：Gu、Kelly、Xiu（2020）Empirical Asset Pricing via Machine Learning，学习横截面预测与样本外评估；Zhang、Zohren、Roberts（2019）DeepLOB，学习原始盘口序列建模，但其事件级数据与本赛分钟快照不同；López de Prado（2018）Advances in Financial Machine Learning，重点参考时间序列验证与 purging。</w:t>
      </w:r>
    </w:p>
    <w:p>
      <w:r>
        <w:rPr>
          <w:color w:val="555C63"/>
          <w:sz w:val="17"/>
        </w:rPr>
        <w:t>资料依据：用户提供的赛事操作说明与赛事全文。具体可用字段及官方评分细节以比赛平台最新数据说明和答疑为准。</w:t>
      </w:r>
    </w:p>
    <w:sectPr w:rsidR="00FC693F" w:rsidRPr="0006063C" w:rsidSect="00034616">
      <w:pgSz w:w="11906" w:h="16838"/>
      <w:pgMar w:top="1134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40"/>
    </w:pPr>
    <w:rPr>
      <w:rFonts w:ascii="Microsoft YaHei" w:hAnsi="Microsoft YaHei"/>
      <w:color w:val="1C22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/>
      <w:b/>
      <w:color w:val="000000"/>
      <w:spacing w:val="5"/>
      <w:kern w:val="28"/>
      <w:sz w:val="3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basedOn w:val="Normal"/>
    <w:pPr>
      <w:keepLines/>
      <w:spacing w:before="80" w:after="100"/>
    </w:pPr>
    <w:rPr>
      <w:rFonts w:ascii="Cambria Math" w:hAnsi="Cambria Math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端到端赛道从输入到评分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