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端到端赛道模型设计与训练实战</w:t>
      </w:r>
    </w:p>
    <w:p>
      <w:pPr>
        <w:spacing w:after="220"/>
      </w:pPr>
      <w:r>
        <w:rPr>
          <w:color w:val="585E66"/>
          <w:sz w:val="18"/>
        </w:rPr>
        <w:t>第三份文档  可执行的基线方案与升级路线</w:t>
      </w:r>
    </w:p>
    <w:p>
      <w:r>
        <w:t>本赛道的关键不是把 Transformer 做得更大，而是让数据、标签、时间切分、评估和线上推理指向同一个问题。推荐按“数据口径 → 简单时序基线 → 严格时间验证 → 模型升级 → 平台复现”推进，每一步都有明确的通过标准。</w:t>
      </w:r>
    </w:p>
    <w:p>
      <w:pPr>
        <w:pStyle w:val="Heading1"/>
      </w:pPr>
      <w:r>
        <w:t>一 先画清楚预测时刻的边界</w:t>
      </w:r>
    </w:p>
    <w:p>
      <w:r>
        <w:t>定义每个输出的决策时点 t。输入只能包含在 t 时已经完整产生、平台允许访问的记录。对 bar5m、bar15m、bar30m 做多频率对齐时，只取截至 t 已完成的最近一个周期，不能把尚未结束的 30 分钟 K 线整个读入。若表中 date 表示 K 线起点而不是终点，直接按 date ≤ t 过滤也可能泄漏；必须先向平台确认时间戳语义。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4706"/>
      </w:tblGrid>
      <w:tr>
        <w:trPr>
          <w:tblHeader w:val="true"/>
        </w:trPr>
        <w:tc>
          <w:tcPr>
            <w:tcW w:type="dxa" w:w="464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必须确认的问题</w:t>
            </w:r>
          </w:p>
        </w:tc>
        <w:tc>
          <w:tcPr>
            <w:tcW w:type="dxa" w:w="464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为什么重要</w:t>
            </w:r>
          </w:p>
        </w:tc>
      </w:tr>
      <w:tr>
        <w:tc>
          <w:tcPr>
            <w:tcW w:type="dxa" w:w="413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date 是区间起点、终点还是快照采集时刻</w:t>
            </w:r>
          </w:p>
        </w:tc>
        <w:tc>
          <w:tcPr>
            <w:tcW w:type="dxa" w:w="4706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决定一条 bar 在 t 时是否已经可见。</w:t>
            </w:r>
          </w:p>
        </w:tc>
      </w:tr>
      <w:tr>
        <w:tc>
          <w:tcPr>
            <w:tcW w:type="dxa" w:w="413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官方标签当前参考价与未来 VWAP 窗口</w:t>
            </w:r>
          </w:p>
        </w:tc>
        <w:tc>
          <w:tcPr>
            <w:tcW w:type="dxa" w:w="4706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决定 y 的定义；与平台评分不一致会造成训练目标偏差。</w:t>
            </w:r>
          </w:p>
        </w:tc>
      </w:tr>
      <w:tr>
        <w:tc>
          <w:tcPr>
            <w:tcW w:type="dxa" w:w="413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午休、停牌、集合竞价及跨日处理</w:t>
            </w:r>
          </w:p>
        </w:tc>
        <w:tc>
          <w:tcPr>
            <w:tcW w:type="dxa" w:w="4706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避免把不存在的分钟当连续序列，也避免非法输出时点。</w:t>
            </w:r>
          </w:p>
        </w:tc>
      </w:tr>
      <w:tr>
        <w:tc>
          <w:tcPr>
            <w:tcW w:type="dxa" w:w="413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历史股票池是否逐日变化</w:t>
            </w:r>
          </w:p>
        </w:tc>
        <w:tc>
          <w:tcPr>
            <w:tcW w:type="dxa" w:w="4706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不能用未来才知道的成分股选择早期样本。</w:t>
            </w:r>
          </w:p>
        </w:tc>
      </w:tr>
    </w:tbl>
    <w:p>
      <w:pPr>
        <w:spacing w:after="0"/>
      </w:pPr>
    </w:p>
    <w:p>
      <w:r>
        <w:t>在任意样本 (i,t)，X 的最大可见时间不得晚于 t，而 y 的窗口严格在 t 之后。训练数据可含标签；公榜和私榜推理仅加载权重。官方验证集在 start_date 前额外给一年历史供切窗，最终仅返回评测区间。</w:t>
      </w:r>
    </w:p>
    <w:p>
      <w:pPr>
        <w:pStyle w:val="Heading1"/>
      </w:pPr>
      <w:r>
        <w:t>二 输入张量和允许的预处理</w:t>
      </w:r>
    </w:p>
    <w:p>
      <w:r>
        <w:t>对每只股票、每个合法采样点，用最近 L 个已完成分钟记录形成 X∈R^(L×F)，再用 mask 标记缺失。按 batch 组合为 B×L×F。先从 bar1m 的原始 OHLCV 和平台允许的盘口字段开始；多频率版等基线成立后再做。数据字段顺序必须写进配置，并在训练和推理保持一致。</w:t>
      </w:r>
    </w:p>
    <w:p>
      <w:r>
        <w:t>允许的数据类型转换、时间和股票对齐、缺失处理、异常值处理、标准化、序列切窗等属于基础工程。建议仅在训练区间拟合标准化参数，推理时加载同一参数。不要把手工构造的技术指标、价量统计量、盘口衍生因子或依据标签筛选的字段送进网络；赛事对边界的最终解释以平台检查为准。</w:t>
      </w:r>
    </w:p>
    <w:p>
      <w:r>
        <w:t>一个起始配置可以是 1 分钟序列 L=60 或 120、较少字段、小 batch；这是工程试探值，不是最优参数。若一只股票缺足够历史，不要偷偷用未来记录补齐，可用历史不足掩码或按平台允许方式处理。缺失率必须在每个评估时点控制在 40% 以下。</w:t>
      </w:r>
    </w:p>
    <w:p>
      <w:pPr>
        <w:pStyle w:val="Heading1"/>
      </w:pPr>
      <w:r>
        <w:t>三 模型从简单到复杂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762"/>
        <w:gridCol w:w="2665"/>
      </w:tblGrid>
      <w:tr>
        <w:trPr>
          <w:tblHeader w:val="true"/>
        </w:trPr>
        <w:tc>
          <w:tcPr>
            <w:tcW w:type="dxa" w:w="309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9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推荐结构</w:t>
            </w:r>
          </w:p>
        </w:tc>
        <w:tc>
          <w:tcPr>
            <w:tcW w:type="dxa" w:w="309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升级条件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第一版</w:t>
            </w:r>
          </w:p>
        </w:tc>
        <w:tc>
          <w:tcPr>
            <w:tcW w:type="dxa" w:w="4762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原始序列 + mask → 1D CNN 或 GRU → 池化 → 两层 MLP → 单个 score</w:t>
            </w:r>
          </w:p>
        </w:tc>
        <w:tc>
          <w:tcPr>
            <w:tcW w:type="dxa" w:w="266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能稳定训练，逐时点 IC 有效，推理接口通过。</w:t>
            </w:r>
          </w:p>
        </w:tc>
      </w:tr>
      <w:tr>
        <w:tc>
          <w:tcPr>
            <w:tcW w:type="dxa" w:w="1417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第二版</w:t>
            </w:r>
          </w:p>
        </w:tc>
        <w:tc>
          <w:tcPr>
            <w:tcW w:type="dxa" w:w="4762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输入投影 → 位置编码 → 2 至 4 层轻量 Transformer → 池化 → score</w:t>
            </w:r>
          </w:p>
        </w:tc>
        <w:tc>
          <w:tcPr>
            <w:tcW w:type="dxa" w:w="266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在相同时间验证集上稳定优于第一版且资源可承受。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第三版</w:t>
            </w:r>
          </w:p>
        </w:tc>
        <w:tc>
          <w:tcPr>
            <w:tcW w:type="dxa" w:w="4762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1m、5m 等频率分别编码，融合后输出 score</w:t>
            </w:r>
          </w:p>
        </w:tc>
        <w:tc>
          <w:tcPr>
            <w:tcW w:type="dxa" w:w="266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确认多频率 bar 的可见时刻、字段与运行成本。</w:t>
            </w:r>
          </w:p>
        </w:tc>
      </w:tr>
    </w:tbl>
    <w:p>
      <w:pPr>
        <w:spacing w:after="0"/>
      </w:pPr>
    </w:p>
    <w:p>
      <w:r>
        <w:t>第一版建议以 Huber 损失回归官方 y。Huber 在误差较小时像平方误差，误差很大时增长接近线性，对金融收益的极端值较稳。由于最终主要考察截面排序，基线稳定后可研究同一时点股票对的排序损失：当 y(A)&gt;y(B) 时鼓励 s(A)&gt;s(B)。排序损失需要在 batch 中保留同一时点的多只股票，且不要让少数流动性差的样本支配训练。</w:t>
      </w:r>
    </w:p>
    <w:p>
      <w:r>
        <w:t>可用 AdamW、固定随机种子、早停和梯度裁剪作为起点。先做短日期范围的单批训练，再逐步扩大。一个可试的搜索范围是隐藏维度 32 至 128、序列 60 或 120、学习率约 1e−3 至 3e−4；这些只是试验起点，需由验证集和资源表现决定。不要在公榜上反复试到拟合验证集。</w:t>
      </w:r>
    </w:p>
    <w:p>
      <w:pPr>
        <w:pStyle w:val="Heading1"/>
      </w:pPr>
      <w:r>
        <w:t>四 时间切分比网络调参更重要</w:t>
      </w:r>
    </w:p>
    <w:p>
      <w:r>
        <w:t>比赛给出的开发数据约为 2020 至 2024 年。若权限和标签覆盖一致，可以示意性地用 2020 至 2022 年训练、2023 年调参、2024 年作为团队内部留出的最后样本外检验。实际切分应考虑上市、停牌、年份覆盖和市场状态；最终内部测试段只在模型方案基本固定后使用。</w:t>
      </w:r>
    </w:p>
    <w:p>
      <w:r>
        <w:t>在训练与验证边界，把标签窗口可能跨界的样本排除，这叫 purging；必要时再留一个缓冲区。这不是“多删一点更保险”的机械规则，核心是任何用于训练的标签都不能用到验证期的未来价格。分钟数据高度重叠，随机打散后划分会让验证结果虚高。</w:t>
      </w:r>
    </w:p>
    <w:p>
      <w:pPr>
        <w:pStyle w:val="ListNumber"/>
        <w:spacing w:after="80"/>
      </w:pPr>
      <w:r>
        <w:t>训练期拟合缺失处理和标准化参数，并保存。</w:t>
      </w:r>
    </w:p>
    <w:p>
      <w:pPr>
        <w:pStyle w:val="ListNumber"/>
        <w:spacing w:after="80"/>
      </w:pPr>
      <w:r>
        <w:t>按日期顺序训练，只用开发验证期决定早停、架构和参数。</w:t>
      </w:r>
    </w:p>
    <w:p>
      <w:pPr>
        <w:pStyle w:val="ListNumber"/>
        <w:spacing w:after="80"/>
      </w:pPr>
      <w:r>
        <w:t>记录每个采样时点的股票数与 RankIC，再汇总均值和稳定性；同时观察多空、换手与压力场景。</w:t>
      </w:r>
    </w:p>
    <w:p>
      <w:pPr>
        <w:pStyle w:val="ListNumber"/>
        <w:spacing w:after="80"/>
      </w:pPr>
      <w:r>
        <w:t>用内部留出期做一次最终检验；若明显失效，先查数据漂移、时间口径和过拟合，不要直接堆大模型。</w:t>
      </w:r>
    </w:p>
    <w:p>
      <w:pPr>
        <w:pStyle w:val="Heading1"/>
      </w:pPr>
      <w:r>
        <w:t>五 四个必要的诊断实验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329"/>
      </w:tblGrid>
      <w:tr>
        <w:trPr>
          <w:tblHeader w:val="true"/>
        </w:trPr>
        <w:tc>
          <w:tcPr>
            <w:tcW w:type="dxa" w:w="464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诊断</w:t>
            </w:r>
          </w:p>
        </w:tc>
        <w:tc>
          <w:tcPr>
            <w:tcW w:type="dxa" w:w="4649"/>
            <w:vAlign w:val="center"/>
            <w:shd w:fill="DDE9EE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预期与意义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删除 t 之后所有记录再推理</w:t>
            </w:r>
          </w:p>
        </w:tc>
        <w:tc>
          <w:tcPr>
            <w:tcW w:type="dxa" w:w="532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同一 (i,t) 的 score 应保持不变；否则存在未来信息。</w:t>
            </w:r>
          </w:p>
        </w:tc>
      </w:tr>
      <w:tr>
        <w:tc>
          <w:tcPr>
            <w:tcW w:type="dxa" w:w="351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查看按时点分组的 IC 分布</w:t>
            </w:r>
          </w:p>
        </w:tc>
        <w:tc>
          <w:tcPr>
            <w:tcW w:type="dxa" w:w="532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区分稳定弱信号与少数时点的偶然高分。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比较简单网络与 Transformer</w:t>
            </w:r>
          </w:p>
        </w:tc>
        <w:tc>
          <w:tcPr>
            <w:tcW w:type="dxa" w:w="5329"/>
            <w:vAlign w:val="center"/>
            <w:shd w:fill="FFFFFF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以相同切分、相同输入和相同平台预处理比较，而非只看训练损失。</w:t>
            </w:r>
          </w:p>
        </w:tc>
      </w:tr>
      <w:tr>
        <w:tc>
          <w:tcPr>
            <w:tcW w:type="dxa" w:w="3515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统计输出覆盖与推理时间</w:t>
            </w:r>
          </w:p>
        </w:tc>
        <w:tc>
          <w:tcPr>
            <w:tcW w:type="dxa" w:w="5329"/>
            <w:vAlign w:val="center"/>
            <w:shd w:fill="F7F9FA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及时发现非法时点、超过 40% 的缺失和 3 小时限制风险。</w:t>
            </w:r>
          </w:p>
        </w:tc>
      </w:tr>
    </w:tbl>
    <w:p>
      <w:pPr>
        <w:spacing w:after="0"/>
      </w:pPr>
    </w:p>
    <w:p>
      <w:r>
        <w:t>平台会统一做去极值、标准化和 BARRA 风格剔除。本地若没有完全相同的评估模块，至少分别看原始 score 的横截面排序、风格暴露和不同情景表现；不要声称本地分数能精确复现公榜。</w:t>
      </w:r>
    </w:p>
    <w:p>
      <w:pPr>
        <w:pStyle w:val="Heading1"/>
      </w:pPr>
      <w:r>
        <w:t>六 最终提交的推理契约</w:t>
      </w:r>
    </w:p>
    <w:p>
      <w:r>
        <w:t>唯一 Notebook 中提供 main(datasources, start_date, end_date)。它通过 datasources 的逻辑名读取数据，加载已保存权重、标准化参数和字段配置，只对评测区间合法时点返回 date、instrument、score 三列。训练脚本需另存为 .py；同时交依赖声明、超参数、随机种子、完整权重。线上环境不能访问外网，公榜不会重训。</w:t>
      </w:r>
    </w:p>
    <w:p>
      <w:r>
        <w:t>提交前用短区间和接近正式长度的区间分别演练。检查输出列恰好三列、date 精确到分钟、股票池对齐、键不重复、无 NaN/Inf、每时点缺失率不高于 40%，以及运行时间。私榜候选冻结后不得再改代码、权重或配置。</w:t>
      </w:r>
    </w:p>
    <w:p>
      <w:pPr>
        <w:pStyle w:val="Heading1"/>
      </w:pPr>
      <w:r>
        <w:t>延伸阅读</w:t>
      </w:r>
    </w:p>
    <w:p>
      <w:pPr>
        <w:spacing w:after="100"/>
      </w:pPr>
      <w:r>
        <w:rPr>
          <w:sz w:val="18"/>
        </w:rPr>
        <w:t>Zhang, Zohren and Roberts (2019), “DeepLOB: Deep Convolutional Neural Networks for Limit Order Books”, IEEE Transactions on Signal Processing 67(11), 3001–3012；arXiv:1808.03668。学习卷积与时序模块如何处理盘口。原论文常使用高频订单簿数据，不能把其事件级输入直接当作本赛分钟快照。</w:t>
      </w:r>
    </w:p>
    <w:p>
      <w:pPr>
        <w:spacing w:after="100"/>
      </w:pPr>
      <w:r>
        <w:rPr>
          <w:sz w:val="18"/>
        </w:rPr>
        <w:t>Kolm, Turiel and Westray (2023), “Deep Order Flow Imbalance: Extracting Alpha at Multiple Horizons from the Limit Order Book”, Mathematical Finance。学习多预测窗口、订单流信息与交易意义；本赛是否提供足够字段构造相同输入，需先核对规则。</w:t>
      </w:r>
    </w:p>
    <w:p>
      <w:pPr>
        <w:spacing w:after="100"/>
      </w:pPr>
      <w:r>
        <w:rPr>
          <w:sz w:val="18"/>
        </w:rPr>
        <w:t>Sirignano and Cont (2019), “Universal Features of Price Formation in Financial Markets: Perspectives from Deep Learning”, Quantitative Finance。帮助理解跨股票共享时序结构，但其数据场景和预测对象与比赛不同。</w:t>
      </w:r>
    </w:p>
    <w:p>
      <w:pPr>
        <w:spacing w:after="100"/>
      </w:pPr>
      <w:r>
        <w:rPr>
          <w:sz w:val="18"/>
        </w:rPr>
        <w:t>López de Prado (2018), Advances in Financial Machine Learning, Wiley。重点参考时间序列交叉验证中的 purging 与 embargo，而非直接复制书中的因子构造方式。</w:t>
      </w:r>
    </w:p>
    <w:p>
      <w:pPr>
        <w:spacing w:after="100"/>
      </w:pPr>
      <w:r>
        <w:rPr>
          <w:sz w:val="18"/>
        </w:rPr>
        <w:t>Gu, Kelly and Xiu (2020), “Empirical Asset Pricing via Machine Learning”, The Review of Financial Studies 33(5), 2223–2273。参考横截面样本外评估与经济价值的研究设计，不直接套用其低频特征。</w:t>
      </w:r>
    </w:p>
    <w:p>
      <w:r>
        <w:rPr>
          <w:color w:val="555C63"/>
          <w:sz w:val="17"/>
        </w:rPr>
        <w:t>比赛规则依据：用户提供的赛事操作说明与赛事全文。公式中的示例不是官方标签或评分程序；不明确的口径需以平台最终数据说明和答疑为准。</w:t>
      </w:r>
    </w:p>
    <w:sectPr w:rsidR="00FC693F" w:rsidRPr="0006063C" w:rsidSect="00034616">
      <w:pgSz w:w="11906" w:h="16838"/>
      <w:pgMar w:top="1162" w:right="1304" w:bottom="1049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color w:val="1D23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端到端赛道模型设计与训练实战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