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2ECB" w14:textId="22CC3709" w:rsidR="00A844CF" w:rsidRPr="00524ACF" w:rsidRDefault="003E5E8B" w:rsidP="00524ACF">
      <w:pPr>
        <w:pStyle w:val="Bibliography"/>
        <w:spacing w:line="240" w:lineRule="auto"/>
        <w:rPr>
          <w:b/>
          <w:bCs/>
          <w:sz w:val="36"/>
          <w:szCs w:val="36"/>
        </w:rPr>
      </w:pPr>
      <w:r w:rsidRPr="00524ACF">
        <w:rPr>
          <w:b/>
          <w:bCs/>
          <w:sz w:val="36"/>
          <w:szCs w:val="36"/>
        </w:rPr>
        <w:t>Automated Quantification of Breast Cancer Marker</w:t>
      </w:r>
      <w:r w:rsidR="00524ACF">
        <w:rPr>
          <w:b/>
          <w:bCs/>
          <w:sz w:val="36"/>
          <w:szCs w:val="36"/>
        </w:rPr>
        <w:t xml:space="preserve"> </w:t>
      </w:r>
      <w:r w:rsidRPr="00524ACF">
        <w:rPr>
          <w:b/>
          <w:bCs/>
          <w:sz w:val="36"/>
          <w:szCs w:val="36"/>
        </w:rPr>
        <w:t>Evolution from Serial Immunofluorescence Assays</w:t>
      </w:r>
    </w:p>
    <w:p w14:paraId="2B720D2A" w14:textId="77777777" w:rsidR="00752DCB" w:rsidRDefault="00752DCB" w:rsidP="006876D1">
      <w:pPr>
        <w:pStyle w:val="Author"/>
      </w:pPr>
    </w:p>
    <w:p w14:paraId="01F80C2C" w14:textId="77777777" w:rsidR="00752DCB" w:rsidRDefault="00752DCB" w:rsidP="006876D1">
      <w:pPr>
        <w:spacing w:line="240" w:lineRule="auto"/>
        <w:rPr>
          <w:rFonts w:asciiTheme="majorHAnsi" w:eastAsiaTheme="majorEastAsia" w:hAnsiTheme="majorHAnsi" w:cstheme="majorBidi"/>
          <w:b/>
          <w:bCs/>
          <w:sz w:val="42"/>
          <w:szCs w:val="32"/>
        </w:rPr>
      </w:pPr>
      <w:r>
        <w:rPr>
          <w:b/>
          <w:bCs/>
        </w:rPr>
        <w:br w:type="page"/>
      </w:r>
    </w:p>
    <w:p w14:paraId="0E2EBEAF" w14:textId="5B7DBE3D" w:rsidR="00A844CF" w:rsidRPr="001D4C27" w:rsidRDefault="003E5E8B" w:rsidP="006876D1">
      <w:pPr>
        <w:pStyle w:val="Heading1"/>
        <w:rPr>
          <w:b w:val="0"/>
          <w:bCs/>
        </w:rPr>
      </w:pPr>
      <w:r w:rsidRPr="001D4C27">
        <w:rPr>
          <w:bCs/>
        </w:rPr>
        <w:lastRenderedPageBreak/>
        <w:t>Abstract</w:t>
      </w:r>
    </w:p>
    <w:p w14:paraId="7B9F4557" w14:textId="77777777" w:rsidR="00D0572D" w:rsidRDefault="00256215" w:rsidP="00256215">
      <w:pPr>
        <w:spacing w:line="240" w:lineRule="auto"/>
        <w:rPr>
          <w:rFonts w:ascii="Times New Roman" w:hAnsi="Times New Roman" w:cs="Times New Roman"/>
          <w:sz w:val="20"/>
          <w:szCs w:val="20"/>
        </w:rPr>
      </w:pPr>
      <w:r w:rsidRPr="00D0572D">
        <w:rPr>
          <w:rFonts w:ascii="Times New Roman" w:hAnsi="Times New Roman" w:cs="Times New Roman"/>
          <w:sz w:val="20"/>
          <w:szCs w:val="20"/>
        </w:rPr>
        <w:t xml:space="preserve">Despite advances in breast cancer diagnoses and treatment, it continues to be the second leading cause of cancer death in women. Recent interest in managing and prognosticating breast cancer has been centered around examining single-cell and spatial expression patterns on molecular imaging, such as immunofluorescence and immunohistochemistry </w:t>
      </w:r>
      <w:r w:rsidRPr="00D0572D">
        <w:rPr>
          <w:rFonts w:ascii="Times New Roman" w:hAnsi="Times New Roman" w:cs="Times New Roman"/>
          <w:sz w:val="20"/>
          <w:szCs w:val="20"/>
        </w:rPr>
        <w:fldChar w:fldCharType="begin"/>
      </w:r>
      <w:r w:rsidRPr="00D0572D">
        <w:rPr>
          <w:rFonts w:ascii="Times New Roman" w:hAnsi="Times New Roman" w:cs="Times New Roman"/>
          <w:sz w:val="20"/>
          <w:szCs w:val="20"/>
        </w:rPr>
        <w:instrText xml:space="preserve"> ADDIN ZOTERO_ITEM CSL_CITATION {"citationID":"vXbHA18d","properties":{"formattedCitation":"\\super 1\\nosupersub{}","plainCitation":"1","noteIndex":0},"citationItems":[{"id":12,"uris":["http://zotero.org/users/11784947/items/UL5BDEFM"],"itemData":{"id":12,"type":"article-journal","abstract":"Lung cancer is a highly heterogeneous disease. Cancer cells and cells within the tumor microenvironment together determine disease progression, as well as response to or escape from treatment. To map the cell type-specific transcriptome landscape of cancer cells and their tumor microenvironment in advanced non-small cell lung cancer (NSCLC), we analyze 42 tissue biopsy samples from stage III/IV NSCLC patients by single cell RNA sequencing and present the large scale, single cell resolution profiles of advanced NSCLCs. In addition to cell types described in previous single cell studies of early stage lung cancer, we are able to identify rare cell types in tumors such as follicular dendritic cells and T helper 17 cells. Tumors from different patients display large heterogeneity in cellular composition, chromosomal structure, developmental trajectory, intercellular signaling network and phenotype dominance. Our study also reveals a correlation of tumor heterogeneity with tumor associated neutrophils, which might help to shed light on their function in NSCLC.","container-title":"Nature Communications","DOI":"10.1038/s41467-021-22801-0","ISSN":"2041-1723","issue":"1","journalAbbreviation":"Nat Commun","language":"en","license":"2021 The Author(s)","note":"number: 1\npublisher: Nature Publishing Group","page":"2540","source":"www.nature.com","title":"Single-cell profiling of tumor heterogeneity and the microenvironment in advanced non-small cell lung cancer","volume":"12","author":[{"family":"Wu","given":"Fengying"},{"family":"Fan","given":"Jue"},{"family":"He","given":"Yayi"},{"family":"Xiong","given":"Anwen"},{"family":"Yu","given":"Jia"},{"family":"Li","given":"Yixin"},{"family":"Zhang","given":"Yan"},{"family":"Zhao","given":"Wencheng"},{"family":"Zhou","given":"Fei"},{"family":"Li","given":"Wei"},{"family":"Zhang","given":"Jie"},{"family":"Zhang","given":"Xiaosheng"},{"family":"Qiao","given":"Meng"},{"family":"Gao","given":"Guanghui"},{"family":"Chen","given":"Shanhao"},{"family":"Chen","given":"Xiaoxia"},{"family":"Li","given":"Xuefei"},{"family":"Hou","given":"Likun"},{"family":"Wu","given":"Chunyan"},{"family":"Su","given":"Chunxia"},{"family":"Ren","given":"Shengxiang"},{"family":"Odenthal","given":"Margarete"},{"family":"Buettner","given":"Reinhard"},{"family":"Fang","given":"Nan"},{"family":"Zhou","given":"Caicun"}],"issued":{"date-parts":[["2021",5,5]]}}}],"schema":"https://github.com/citation-style-language/schema/raw/master/csl-citation.json"} </w:instrText>
      </w:r>
      <w:r w:rsidRPr="00D0572D">
        <w:rPr>
          <w:rFonts w:ascii="Times New Roman" w:hAnsi="Times New Roman" w:cs="Times New Roman"/>
          <w:sz w:val="20"/>
          <w:szCs w:val="20"/>
        </w:rPr>
        <w:fldChar w:fldCharType="separate"/>
      </w:r>
      <w:r w:rsidRPr="00D0572D">
        <w:rPr>
          <w:rFonts w:ascii="Times New Roman" w:hAnsi="Times New Roman" w:cs="Times New Roman"/>
          <w:color w:val="000000"/>
          <w:sz w:val="20"/>
          <w:szCs w:val="20"/>
          <w:vertAlign w:val="superscript"/>
        </w:rPr>
        <w:t>1</w:t>
      </w:r>
      <w:r w:rsidRPr="00D0572D">
        <w:rPr>
          <w:rFonts w:ascii="Times New Roman" w:hAnsi="Times New Roman" w:cs="Times New Roman"/>
          <w:sz w:val="20"/>
          <w:szCs w:val="20"/>
        </w:rPr>
        <w:fldChar w:fldCharType="end"/>
      </w:r>
      <w:r w:rsidRPr="00D0572D">
        <w:rPr>
          <w:rFonts w:ascii="Times New Roman" w:hAnsi="Times New Roman" w:cs="Times New Roman"/>
          <w:sz w:val="20"/>
          <w:szCs w:val="20"/>
        </w:rPr>
        <w:t>. However, current techniques for this single-cell quantification are disjointed and steps are not formatted to be compatible. </w:t>
      </w:r>
    </w:p>
    <w:p w14:paraId="0CE9A556" w14:textId="1BB7F784" w:rsidR="00256215" w:rsidRPr="00D0572D" w:rsidRDefault="00256215" w:rsidP="00256215">
      <w:pPr>
        <w:spacing w:line="240" w:lineRule="auto"/>
        <w:rPr>
          <w:rFonts w:ascii="Times New Roman" w:hAnsi="Times New Roman" w:cs="Times New Roman"/>
          <w:sz w:val="20"/>
          <w:szCs w:val="20"/>
        </w:rPr>
      </w:pPr>
      <w:r w:rsidRPr="00D0572D">
        <w:rPr>
          <w:rFonts w:ascii="Times New Roman" w:eastAsia="Times New Roman" w:hAnsi="Times New Roman" w:cs="Times New Roman"/>
          <w:sz w:val="20"/>
          <w:szCs w:val="20"/>
          <w:lang w:eastAsia="en-US"/>
        </w:rPr>
        <w:t xml:space="preserve">The purpose of this project is to develop a simple, easy to use, end-to-end pipeline to quantify how much a patient’s cancer changes at different timepoints in their treatment. To accomplish this, serial cyclic immunofluorescence images acquired over the course of a patient’s breast cancer treatment were gathered from the Human Tumor Atlas Network (HTAN). Two images of different samples were chosen from time point 0 and one image from time point 1 was chosen. Each image consisted of 25 unique channels, including DAPI, HER2, and ER. These images were used to train a patient-specific Variational Auto-Encoder (VAE), which was then used to quantify how much the cancer changed. </w:t>
      </w:r>
      <w:proofErr w:type="gramStart"/>
      <w:r w:rsidRPr="00D0572D">
        <w:rPr>
          <w:rFonts w:ascii="Times New Roman" w:eastAsia="Times New Roman" w:hAnsi="Times New Roman" w:cs="Times New Roman"/>
          <w:sz w:val="20"/>
          <w:szCs w:val="20"/>
          <w:lang w:eastAsia="en-US"/>
        </w:rPr>
        <w:t>In order to</w:t>
      </w:r>
      <w:proofErr w:type="gramEnd"/>
      <w:r w:rsidRPr="00D0572D">
        <w:rPr>
          <w:rFonts w:ascii="Times New Roman" w:eastAsia="Times New Roman" w:hAnsi="Times New Roman" w:cs="Times New Roman"/>
          <w:sz w:val="20"/>
          <w:szCs w:val="20"/>
          <w:lang w:eastAsia="en-US"/>
        </w:rPr>
        <w:t xml:space="preserve"> train the model, individual cells were segmented using an open-source tool called MCMICRO, resulting in around 14,000 cells in each image. </w:t>
      </w:r>
    </w:p>
    <w:p w14:paraId="7A788D8F" w14:textId="77777777" w:rsidR="00256215" w:rsidRPr="00D0572D" w:rsidRDefault="00256215" w:rsidP="00256215">
      <w:pPr>
        <w:spacing w:after="160" w:line="240" w:lineRule="auto"/>
        <w:rPr>
          <w:rFonts w:ascii="Times New Roman" w:eastAsia="Times New Roman" w:hAnsi="Times New Roman" w:cs="Times New Roman"/>
          <w:color w:val="auto"/>
          <w:sz w:val="20"/>
          <w:szCs w:val="20"/>
        </w:rPr>
      </w:pPr>
      <w:r w:rsidRPr="00D0572D">
        <w:rPr>
          <w:rFonts w:ascii="Times New Roman" w:eastAsia="Times New Roman" w:hAnsi="Times New Roman" w:cs="Times New Roman"/>
          <w:sz w:val="20"/>
          <w:szCs w:val="20"/>
        </w:rPr>
        <w:t>A</w:t>
      </w:r>
      <w:r w:rsidRPr="00D0572D">
        <w:rPr>
          <w:rFonts w:ascii="Times New Roman" w:eastAsia="Times New Roman" w:hAnsi="Times New Roman" w:cs="Times New Roman"/>
          <w:sz w:val="20"/>
          <w:szCs w:val="20"/>
          <w:lang w:eastAsia="en-US"/>
        </w:rPr>
        <w:t>utomated single-cell quantification of marker expression in breast cancer can be important to track tumor evolution over time, which can be quantified, visualized, and predicted using a VAE.</w:t>
      </w:r>
    </w:p>
    <w:p w14:paraId="30780690" w14:textId="1A6A8416" w:rsidR="00A844CF" w:rsidRPr="00D0572D" w:rsidRDefault="003E5E8B" w:rsidP="006876D1">
      <w:pPr>
        <w:pStyle w:val="Heading2"/>
        <w:rPr>
          <w:b/>
          <w:bCs/>
          <w:sz w:val="28"/>
          <w:szCs w:val="28"/>
        </w:rPr>
      </w:pPr>
      <w:r w:rsidRPr="00D0572D">
        <w:rPr>
          <w:b/>
          <w:bCs/>
          <w:sz w:val="28"/>
          <w:szCs w:val="28"/>
        </w:rPr>
        <w:t>Introduction</w:t>
      </w:r>
    </w:p>
    <w:p w14:paraId="1488CDC2" w14:textId="7F94551B" w:rsidR="003E5E8B" w:rsidRPr="00D0572D" w:rsidRDefault="003E5E8B" w:rsidP="006876D1">
      <w:pPr>
        <w:spacing w:line="240" w:lineRule="auto"/>
        <w:rPr>
          <w:rFonts w:eastAsia="Times New Roman"/>
          <w:sz w:val="20"/>
          <w:szCs w:val="20"/>
          <w:lang w:eastAsia="en-US"/>
        </w:rPr>
      </w:pPr>
      <w:r w:rsidRPr="00D0572D">
        <w:rPr>
          <w:rFonts w:eastAsia="Times New Roman"/>
          <w:sz w:val="20"/>
          <w:szCs w:val="20"/>
          <w:lang w:eastAsia="en-US"/>
        </w:rPr>
        <w:t>Cancer has become one of the main threats to human health and life. Among all types of cancer, breast cancer is very common among women and diverse in character. About 70 percent of all breast cancers in women have overexpression of receptors (proteins) that attach to estrogen or progesterone</w:t>
      </w:r>
      <w:r w:rsidR="006523F5" w:rsidRPr="00D0572D">
        <w:rPr>
          <w:rFonts w:eastAsia="Times New Roman"/>
          <w:sz w:val="20"/>
          <w:szCs w:val="20"/>
          <w:lang w:eastAsia="en-US"/>
        </w:rPr>
        <w:t xml:space="preserve"> </w:t>
      </w:r>
      <w:r w:rsidR="00252CC6" w:rsidRPr="00D0572D">
        <w:rPr>
          <w:rFonts w:eastAsia="Times New Roman"/>
          <w:sz w:val="20"/>
          <w:szCs w:val="20"/>
          <w:lang w:eastAsia="en-US"/>
        </w:rPr>
        <w:fldChar w:fldCharType="begin"/>
      </w:r>
      <w:r w:rsidR="00252CC6" w:rsidRPr="00D0572D">
        <w:rPr>
          <w:rFonts w:eastAsia="Times New Roman"/>
          <w:sz w:val="20"/>
          <w:szCs w:val="20"/>
          <w:lang w:eastAsia="en-US"/>
        </w:rPr>
        <w:instrText xml:space="preserve"> ADDIN ZOTERO_ITEM CSL_CITATION {"citationID":"HNmiGcN3","properties":{"formattedCitation":"\\super 2\\nosupersub{}","plainCitation":"2","noteIndex":0},"citationItems":[{"id":16,"uris":["http://zotero.org/users/11784947/items/22T5PARG"],"itemData":{"id":16,"type":"webpage","abstract":"Knowing the estrogen receptor and progesterone receptor status of your breast cancer is important in deciding treatment options. Read more here.","language":"en","title":"Breast Cancer Hormone Receptor Status | Estrogen Receptor","URL":"https://www.cancer.org/cancer/types/breast-cancer/understanding-a-breast-cancer-diagnosis/breast-cancer-hormone-receptor-status.html","accessed":{"date-parts":[["2023",7,12]]}}}],"schema":"https://github.com/citation-style-language/schema/raw/master/csl-citation.json"} </w:instrText>
      </w:r>
      <w:r w:rsidR="00252CC6" w:rsidRPr="00D0572D">
        <w:rPr>
          <w:rFonts w:eastAsia="Times New Roman"/>
          <w:sz w:val="20"/>
          <w:szCs w:val="20"/>
          <w:lang w:eastAsia="en-US"/>
        </w:rPr>
        <w:fldChar w:fldCharType="separate"/>
      </w:r>
      <w:r w:rsidR="00252CC6" w:rsidRPr="00D0572D">
        <w:rPr>
          <w:rFonts w:ascii="Times New Roman" w:cs="Times New Roman"/>
          <w:color w:val="000000"/>
          <w:sz w:val="20"/>
          <w:szCs w:val="20"/>
          <w:vertAlign w:val="superscript"/>
        </w:rPr>
        <w:t>2</w:t>
      </w:r>
      <w:r w:rsidR="00252CC6" w:rsidRPr="00D0572D">
        <w:rPr>
          <w:rFonts w:eastAsia="Times New Roman"/>
          <w:sz w:val="20"/>
          <w:szCs w:val="20"/>
          <w:lang w:eastAsia="en-US"/>
        </w:rPr>
        <w:fldChar w:fldCharType="end"/>
      </w:r>
      <w:r w:rsidR="006523F5" w:rsidRPr="00D0572D">
        <w:rPr>
          <w:rFonts w:eastAsia="Times New Roman"/>
          <w:sz w:val="20"/>
          <w:szCs w:val="20"/>
          <w:lang w:eastAsia="en-US"/>
        </w:rPr>
        <w:t>.</w:t>
      </w:r>
      <w:r w:rsidRPr="00D0572D">
        <w:rPr>
          <w:rFonts w:eastAsia="Times New Roman"/>
          <w:sz w:val="20"/>
          <w:szCs w:val="20"/>
          <w:lang w:eastAsia="en-US"/>
        </w:rPr>
        <w:t xml:space="preserve"> Breast cancers without ER (Estrogen Receptor) and PR (Progesterone Receptor) are known as HR (Hormone Receptor)-negative. Estrogen receptor and progesterone receptor tests are used to help guide breast cancer treatment</w:t>
      </w:r>
      <w:r w:rsidR="00752DCB" w:rsidRPr="00D0572D">
        <w:rPr>
          <w:rFonts w:eastAsia="Times New Roman"/>
          <w:sz w:val="20"/>
          <w:szCs w:val="20"/>
          <w:lang w:eastAsia="en-US"/>
        </w:rPr>
        <w:t xml:space="preserve"> with hormonal chemotherapies such as tamoxifen</w:t>
      </w:r>
      <w:r w:rsidR="00A131D7" w:rsidRPr="00D0572D">
        <w:rPr>
          <w:rFonts w:eastAsia="Times New Roman"/>
          <w:sz w:val="20"/>
          <w:szCs w:val="20"/>
          <w:lang w:eastAsia="en-US"/>
        </w:rPr>
        <w:t xml:space="preserve"> </w:t>
      </w:r>
      <w:r w:rsidR="00252CC6" w:rsidRPr="00D0572D">
        <w:rPr>
          <w:rFonts w:eastAsia="Times New Roman"/>
          <w:sz w:val="20"/>
          <w:szCs w:val="20"/>
          <w:lang w:eastAsia="en-US"/>
        </w:rPr>
        <w:fldChar w:fldCharType="begin"/>
      </w:r>
      <w:r w:rsidR="00252CC6" w:rsidRPr="00D0572D">
        <w:rPr>
          <w:rFonts w:eastAsia="Times New Roman"/>
          <w:sz w:val="20"/>
          <w:szCs w:val="20"/>
          <w:lang w:eastAsia="en-US"/>
        </w:rPr>
        <w:instrText xml:space="preserve"> ADDIN ZOTERO_ITEM CSL_CITATION {"citationID":"KNvCv0lB","properties":{"formattedCitation":"\\super 3\\nosupersub{}","plainCitation":"3","noteIndex":0},"citationItems":[{"id":18,"uris":["http://zotero.org/users/11784947/items/L483SMRA"],"itemData":{"id":18,"type":"webpage","abstract":"Receptors are proteins that attach to certain substances. Estrogen receptor/progesterone receptor tests look for receptors that attach to the hormones estrogen and/or progesterone in breast cancer cells. Breast cancers that have these receptors often respond well to some types of treatments. Learn more.","language":"en","title":"Estrogen Receptor, Progesterone Receptor Tests: MedlinePlus Medical Test","title-short":"Estrogen Receptor, Progesterone Receptor Tests","URL":"https://medlineplus.gov/lab-tests/estrogen-receptor-progesterone-receptor-tests/","accessed":{"date-parts":[["2023",7,12]]}}}],"schema":"https://github.com/citation-style-language/schema/raw/master/csl-citation.json"} </w:instrText>
      </w:r>
      <w:r w:rsidR="00252CC6" w:rsidRPr="00D0572D">
        <w:rPr>
          <w:rFonts w:eastAsia="Times New Roman"/>
          <w:sz w:val="20"/>
          <w:szCs w:val="20"/>
          <w:lang w:eastAsia="en-US"/>
        </w:rPr>
        <w:fldChar w:fldCharType="separate"/>
      </w:r>
      <w:r w:rsidR="00252CC6" w:rsidRPr="00D0572D">
        <w:rPr>
          <w:rFonts w:ascii="Times New Roman" w:cs="Times New Roman"/>
          <w:color w:val="000000"/>
          <w:sz w:val="20"/>
          <w:szCs w:val="20"/>
          <w:vertAlign w:val="superscript"/>
        </w:rPr>
        <w:t>3</w:t>
      </w:r>
      <w:r w:rsidR="00252CC6" w:rsidRPr="00D0572D">
        <w:rPr>
          <w:rFonts w:eastAsia="Times New Roman"/>
          <w:sz w:val="20"/>
          <w:szCs w:val="20"/>
          <w:lang w:eastAsia="en-US"/>
        </w:rPr>
        <w:fldChar w:fldCharType="end"/>
      </w:r>
      <w:r w:rsidRPr="00D0572D">
        <w:rPr>
          <w:rFonts w:eastAsia="Times New Roman"/>
          <w:sz w:val="20"/>
          <w:szCs w:val="20"/>
          <w:lang w:eastAsia="en-US"/>
        </w:rPr>
        <w:t xml:space="preserve">. </w:t>
      </w:r>
      <w:r w:rsidR="00752DCB" w:rsidRPr="00D0572D">
        <w:rPr>
          <w:rFonts w:eastAsia="Times New Roman"/>
          <w:sz w:val="20"/>
          <w:szCs w:val="20"/>
          <w:lang w:eastAsia="en-US"/>
        </w:rPr>
        <w:t xml:space="preserve">However, patients with identical hormone receptor phenotypes can have variable responses to therapy </w:t>
      </w:r>
      <w:r w:rsidR="00252CC6" w:rsidRPr="00D0572D">
        <w:rPr>
          <w:rFonts w:eastAsia="Times New Roman"/>
          <w:sz w:val="20"/>
          <w:szCs w:val="20"/>
          <w:lang w:eastAsia="en-US"/>
        </w:rPr>
        <w:fldChar w:fldCharType="begin"/>
      </w:r>
      <w:r w:rsidR="00252CC6" w:rsidRPr="00D0572D">
        <w:rPr>
          <w:rFonts w:eastAsia="Times New Roman"/>
          <w:sz w:val="20"/>
          <w:szCs w:val="20"/>
          <w:lang w:eastAsia="en-US"/>
        </w:rPr>
        <w:instrText xml:space="preserve"> ADDIN ZOTERO_ITEM CSL_CITATION {"citationID":"pqLcEidq","properties":{"formattedCitation":"\\super 4\\nosupersub{}","plainCitation":"4","noteIndex":0},"citationItems":[{"id":9,"uris":["http://zotero.org/users/11784947/items/MJBU2N23"],"itemData":{"id":9,"type":"article-journal","abstract":"The present review discusses recent progress in single-cell RNA sequencing (scRNA-seq), which can describe cellular heterogeneity in various organs, bodily fluids, and pathologies (e.g., cancer and Alzheimer’s disease). We outline scRNA-seq techniques that are suitable for investigating cellular heterogeneity that is present in cell populations with very high resolution of the transcriptomic landscape. We summarize scRNA-seq findings and applications of this technology to identify cell types, activity, and other features that are important for the function of different bodily organs. We discuss future directions for scRNA-seq techniques that can link gene expression, protein expression, cellular function, and their roles in pathology. We speculate on how the field could develop beyond its present limitations (e.g., performing scRNA-seq in situ and in vivo). Finally, we discuss the integration of machine learning and artificial intelligence with cutting-edge scRNA-seq technology, which could provide a strong basis for designing precision medicine and targeted therapy in the future.","container-title":"Cells","DOI":"10.3390/cells9081751","ISSN":"2073-4409","issue":"8","journalAbbreviation":"Cells","note":"PMID: 32707839\nPMCID: PMC7463515","page":"1751","source":"PubMed Central","title":"Biological and Medical Importance of Cellular Heterogeneity Deciphered by Single-Cell RNA Sequencing","volume":"9","author":[{"family":"Gupta","given":"Rishikesh Kumar"},{"family":"Kuznicki","given":"Jacek"}],"issued":{"date-parts":[["2020",7,22]]}}}],"schema":"https://github.com/citation-style-language/schema/raw/master/csl-citation.json"} </w:instrText>
      </w:r>
      <w:r w:rsidR="00252CC6" w:rsidRPr="00D0572D">
        <w:rPr>
          <w:rFonts w:eastAsia="Times New Roman"/>
          <w:sz w:val="20"/>
          <w:szCs w:val="20"/>
          <w:lang w:eastAsia="en-US"/>
        </w:rPr>
        <w:fldChar w:fldCharType="separate"/>
      </w:r>
      <w:r w:rsidR="00252CC6" w:rsidRPr="00D0572D">
        <w:rPr>
          <w:rFonts w:ascii="Times New Roman" w:cs="Times New Roman"/>
          <w:color w:val="000000"/>
          <w:sz w:val="20"/>
          <w:szCs w:val="20"/>
          <w:vertAlign w:val="superscript"/>
        </w:rPr>
        <w:t>4</w:t>
      </w:r>
      <w:r w:rsidR="00252CC6" w:rsidRPr="00D0572D">
        <w:rPr>
          <w:rFonts w:eastAsia="Times New Roman"/>
          <w:sz w:val="20"/>
          <w:szCs w:val="20"/>
          <w:lang w:eastAsia="en-US"/>
        </w:rPr>
        <w:fldChar w:fldCharType="end"/>
      </w:r>
      <w:r w:rsidR="00752DCB" w:rsidRPr="00D0572D">
        <w:rPr>
          <w:rFonts w:eastAsia="Times New Roman"/>
          <w:sz w:val="20"/>
          <w:szCs w:val="20"/>
          <w:lang w:eastAsia="en-US"/>
        </w:rPr>
        <w:t>. Recent research shows that c</w:t>
      </w:r>
      <w:r w:rsidRPr="00D0572D">
        <w:rPr>
          <w:rFonts w:eastAsia="Times New Roman"/>
          <w:sz w:val="20"/>
          <w:szCs w:val="20"/>
          <w:lang w:eastAsia="en-US"/>
        </w:rPr>
        <w:t xml:space="preserve">ancer cells and cells within the tumor microenvironment </w:t>
      </w:r>
      <w:r w:rsidR="00752DCB" w:rsidRPr="00D0572D">
        <w:rPr>
          <w:rFonts w:eastAsia="Times New Roman"/>
          <w:sz w:val="20"/>
          <w:szCs w:val="20"/>
          <w:lang w:eastAsia="en-US"/>
        </w:rPr>
        <w:t xml:space="preserve">can have variable phenotypes across parts of the tumor, and more specific analysis of these distribution patterns </w:t>
      </w:r>
      <w:r w:rsidR="00502893" w:rsidRPr="00D0572D">
        <w:rPr>
          <w:rFonts w:eastAsia="Times New Roman"/>
          <w:sz w:val="20"/>
          <w:szCs w:val="20"/>
          <w:lang w:eastAsia="en-US"/>
        </w:rPr>
        <w:t xml:space="preserve">can help </w:t>
      </w:r>
      <w:r w:rsidRPr="00D0572D">
        <w:rPr>
          <w:rFonts w:eastAsia="Times New Roman"/>
          <w:sz w:val="20"/>
          <w:szCs w:val="20"/>
          <w:lang w:eastAsia="en-US"/>
        </w:rPr>
        <w:t>determine disease progression and response to treatment</w:t>
      </w:r>
      <w:r w:rsidR="00365DAE" w:rsidRPr="00D0572D">
        <w:rPr>
          <w:rFonts w:eastAsia="Times New Roman"/>
          <w:sz w:val="20"/>
          <w:szCs w:val="20"/>
          <w:lang w:eastAsia="en-US"/>
        </w:rPr>
        <w:t xml:space="preserve"> </w:t>
      </w:r>
      <w:r w:rsidR="00252CC6" w:rsidRPr="00D0572D">
        <w:rPr>
          <w:rFonts w:eastAsia="Times New Roman"/>
          <w:sz w:val="20"/>
          <w:szCs w:val="20"/>
          <w:lang w:eastAsia="en-US"/>
        </w:rPr>
        <w:fldChar w:fldCharType="begin"/>
      </w:r>
      <w:r w:rsidR="00252CC6" w:rsidRPr="00D0572D">
        <w:rPr>
          <w:rFonts w:eastAsia="Times New Roman"/>
          <w:sz w:val="20"/>
          <w:szCs w:val="20"/>
          <w:lang w:eastAsia="en-US"/>
        </w:rPr>
        <w:instrText xml:space="preserve"> ADDIN ZOTERO_ITEM CSL_CITATION {"citationID":"7UPYp0oq","properties":{"formattedCitation":"\\super 5\\nosupersub{}","plainCitation":"5","noteIndex":0},"citationItems":[{"id":1,"uris":["http://zotero.org/users/11784947/items/HY9XLUTA"],"itemData":{"id":1,"type":"article-journal","abstract":"Molecular heterogeneity in metastatic breast cancer presents multiple clinical challenges in accurately characterizing and treating the disease. Current diagnostic approaches offer limited ability to assess heterogeneity that exists among multiple metastatic lesions throughout the treatment course. We developed a precision oncology platform that combines serial biopsies, multi-omic analysis, longitudinal patient monitoring, and molecular tumor boards, with the goal of improving cancer management through enhanced understanding of the entire cancer ecosystem within each patient. We describe this integrative approach using comprehensive analytics generated from serial-biopsied lesions in a metastatic breast cancer patient. The serial biopsies identified remarkable heterogeneity among metastatic lesions that presented clinically as discordance in receptor status and genomic alterations with mixed treatment response. Based on our study, we highlight clinical scenarios, such as rapid progression or mixed response, that indicate consideration for repeat biopsies to evaluate intermetastatic heterogeneity (IMH), with the objective of refining targeted therapy. We present a framework for understanding the clinical significance of heterogeneity in breast cancer between metastatic lesions utilizing multi-omic analyses of serial biopsies and its implication for effective personalized treatment.","container-title":"npj Precision Oncology","DOI":"10.1038/s41698-021-00165-4","ISSN":"2397-768X","issue":"1","journalAbbreviation":"npj Precis. Onc.","language":"en","license":"2021 The Author(s)","note":"number: 1\npublisher: Nature Publishing Group","page":"1-12","source":"www.nature.com","title":"Characterizing advanced breast cancer heterogeneity and treatment resistance through serial biopsies and comprehensive analytics","volume":"5","author":[{"family":"Li","given":"Allen"},{"family":"Keck","given":"Jamie M."},{"family":"Parmar","given":"Swapnil"},{"family":"Patterson","given":"Janice"},{"family":"Labrie","given":"Marilyne"},{"family":"Creason","given":"Allison L."},{"family":"Johnson","given":"Brett E."},{"family":"Downey","given":"Molly"},{"family":"Thomas","given":"George"},{"family":"Beadling","given":"Carol"},{"family":"Heiser","given":"Laura M."},{"family":"Kolodzie","given":"Annette"},{"family":"Guimaraes","given":"Alexander R."},{"family":"Corless","given":"Christopher L."},{"family":"Gray","given":"Joe W."},{"family":"Mills","given":"Gordon B."},{"family":"Bergan","given":"Raymond C."},{"family":"Mitri","given":"Zahi I."}],"issued":{"date-parts":[["2021",3,26]]}}}],"schema":"https://github.com/citation-style-language/schema/raw/master/csl-citation.json"} </w:instrText>
      </w:r>
      <w:r w:rsidR="00252CC6" w:rsidRPr="00D0572D">
        <w:rPr>
          <w:rFonts w:eastAsia="Times New Roman"/>
          <w:sz w:val="20"/>
          <w:szCs w:val="20"/>
          <w:lang w:eastAsia="en-US"/>
        </w:rPr>
        <w:fldChar w:fldCharType="separate"/>
      </w:r>
      <w:r w:rsidR="00252CC6" w:rsidRPr="00D0572D">
        <w:rPr>
          <w:rFonts w:ascii="Times New Roman" w:cs="Times New Roman"/>
          <w:color w:val="000000"/>
          <w:sz w:val="20"/>
          <w:szCs w:val="20"/>
          <w:vertAlign w:val="superscript"/>
        </w:rPr>
        <w:t>5</w:t>
      </w:r>
      <w:r w:rsidR="00252CC6" w:rsidRPr="00D0572D">
        <w:rPr>
          <w:rFonts w:eastAsia="Times New Roman"/>
          <w:sz w:val="20"/>
          <w:szCs w:val="20"/>
          <w:lang w:eastAsia="en-US"/>
        </w:rPr>
        <w:fldChar w:fldCharType="end"/>
      </w:r>
      <w:r w:rsidR="00365DAE" w:rsidRPr="00D0572D">
        <w:rPr>
          <w:rFonts w:eastAsia="Times New Roman"/>
          <w:sz w:val="20"/>
          <w:szCs w:val="20"/>
          <w:lang w:eastAsia="en-US"/>
        </w:rPr>
        <w:t>.</w:t>
      </w:r>
    </w:p>
    <w:p w14:paraId="5F4A5894" w14:textId="3FBB552C" w:rsidR="003E5E8B" w:rsidRPr="00D0572D" w:rsidRDefault="003E5E8B" w:rsidP="006876D1">
      <w:pPr>
        <w:spacing w:line="240" w:lineRule="auto"/>
        <w:rPr>
          <w:rFonts w:eastAsia="Times New Roman"/>
          <w:sz w:val="20"/>
          <w:szCs w:val="20"/>
          <w:lang w:eastAsia="en-US"/>
        </w:rPr>
      </w:pPr>
      <w:r w:rsidRPr="00D0572D">
        <w:rPr>
          <w:rFonts w:eastAsia="Times New Roman"/>
          <w:sz w:val="20"/>
          <w:szCs w:val="20"/>
          <w:lang w:eastAsia="en-US"/>
        </w:rPr>
        <w:t>Immunofluorescence is a powerful approach for getting more information about cellular structures</w:t>
      </w:r>
      <w:r w:rsidR="00752DCB" w:rsidRPr="00D0572D">
        <w:rPr>
          <w:rFonts w:eastAsia="Times New Roman"/>
          <w:sz w:val="20"/>
          <w:szCs w:val="20"/>
          <w:lang w:eastAsia="en-US"/>
        </w:rPr>
        <w:t xml:space="preserve"> and biomarker expressions</w:t>
      </w:r>
      <w:r w:rsidRPr="00D0572D">
        <w:rPr>
          <w:rFonts w:eastAsia="Times New Roman"/>
          <w:sz w:val="20"/>
          <w:szCs w:val="20"/>
          <w:lang w:eastAsia="en-US"/>
        </w:rPr>
        <w:t xml:space="preserve">. </w:t>
      </w:r>
      <w:r w:rsidR="00167934" w:rsidRPr="00D0572D">
        <w:rPr>
          <w:rFonts w:eastAsia="Times New Roman"/>
          <w:sz w:val="20"/>
          <w:szCs w:val="20"/>
          <w:lang w:eastAsia="en-US"/>
        </w:rPr>
        <w:t xml:space="preserve">Augment simple </w:t>
      </w:r>
      <w:r w:rsidR="000F3ACA" w:rsidRPr="00D0572D">
        <w:rPr>
          <w:rFonts w:eastAsia="Times New Roman"/>
          <w:sz w:val="20"/>
          <w:szCs w:val="20"/>
          <w:lang w:eastAsia="en-US"/>
        </w:rPr>
        <w:t>immunofluorescence</w:t>
      </w:r>
      <w:r w:rsidR="00167934" w:rsidRPr="00D0572D">
        <w:rPr>
          <w:rFonts w:eastAsia="Times New Roman"/>
          <w:sz w:val="20"/>
          <w:szCs w:val="20"/>
          <w:lang w:eastAsia="en-US"/>
        </w:rPr>
        <w:t>, cyclic immunofluorescence (</w:t>
      </w:r>
      <w:proofErr w:type="spellStart"/>
      <w:r w:rsidR="00167934" w:rsidRPr="00D0572D">
        <w:rPr>
          <w:rFonts w:eastAsia="Times New Roman"/>
          <w:sz w:val="20"/>
          <w:szCs w:val="20"/>
          <w:lang w:eastAsia="en-US"/>
        </w:rPr>
        <w:t>CyCIF</w:t>
      </w:r>
      <w:proofErr w:type="spellEnd"/>
      <w:r w:rsidR="00167934" w:rsidRPr="00D0572D">
        <w:rPr>
          <w:rFonts w:eastAsia="Times New Roman"/>
          <w:sz w:val="20"/>
          <w:szCs w:val="20"/>
          <w:lang w:eastAsia="en-US"/>
        </w:rPr>
        <w:t>) is a novel technique to study e</w:t>
      </w:r>
      <w:r w:rsidRPr="00D0572D">
        <w:rPr>
          <w:rFonts w:eastAsia="Times New Roman"/>
          <w:sz w:val="20"/>
          <w:szCs w:val="20"/>
          <w:lang w:eastAsia="en-US"/>
        </w:rPr>
        <w:t xml:space="preserve">xpressions and locations of a multitude of specific </w:t>
      </w:r>
      <w:r w:rsidR="00167934" w:rsidRPr="00D0572D">
        <w:rPr>
          <w:rFonts w:eastAsia="Times New Roman"/>
          <w:sz w:val="20"/>
          <w:szCs w:val="20"/>
          <w:lang w:eastAsia="en-US"/>
        </w:rPr>
        <w:t xml:space="preserve">biomarkers in the same sample </w:t>
      </w:r>
      <w:r w:rsidR="00252CC6" w:rsidRPr="00D0572D">
        <w:rPr>
          <w:rFonts w:eastAsia="Times New Roman"/>
          <w:sz w:val="20"/>
          <w:szCs w:val="20"/>
          <w:lang w:eastAsia="en-US"/>
        </w:rPr>
        <w:fldChar w:fldCharType="begin"/>
      </w:r>
      <w:r w:rsidR="00252CC6" w:rsidRPr="00D0572D">
        <w:rPr>
          <w:rFonts w:eastAsia="Times New Roman"/>
          <w:sz w:val="20"/>
          <w:szCs w:val="20"/>
          <w:lang w:eastAsia="en-US"/>
        </w:rPr>
        <w:instrText xml:space="preserve"> ADDIN ZOTERO_ITEM CSL_CITATION {"citationID":"y5MpUXtn","properties":{"formattedCitation":"\\super 6\\nosupersub{}","plainCitation":"6","noteIndex":0},"citationItems":[{"id":22,"uris":["http://zotero.org/users/11784947/items/4P8W4YYI"],"itemData":{"id":22,"type":"article-journal","abstract":"Cyclic Immunofluorescence (CycIF) is a public domain method for performing highly multiplexed immunofluorescence imaging using a conventional epifluorescence microscope. It uses simple reagents and existing antibodies to construct images with up to 30 channels by sequential 4–6 channel imaging followed by fluorophore inactivation. Three variant methods are described, the most generally useful of which involves staining fixed cells with antibodies directly conjugated to Alexa Fluor dyes and imaging in four colors, inactivating fluorophores using a mild base in the presence of hydrogen peroxide and light and then performing another round of staining and imaging. Cell morphology is preserved through multiple rounds of CycIF and signal to noise ratios appear to increase. Unlike antibody-stripping methods, CycIF is gentle and optimized for monolayers of cultured cells. A second protocol involves indirect immunofluorescence and a third enables chemical inactivation of genetically encoded fluorescent proteins, allowing multiplex immunofluorescence to be combined with live-cell analysis of cells expressing fluorescent reporter proteins.","container-title":"Current protocols in chemical biology","DOI":"10.1002/cpch.14","ISSN":"2160-4762","issue":"4","journalAbbreviation":"Curr Protoc Chem Biol","note":"PMID: 27925668\nPMCID: PMC5233430","page":"251-264","source":"PubMed Central","title":"Cyclic Immunofluorescence (CycIF), A Highly Multiplexed Method for Single-cell Imaging","volume":"8","author":[{"family":"Lin","given":"Jia-Ren"},{"family":"Fallahi-Sichani","given":"Mohammad"},{"family":"Chen","given":"Jia-Yun"},{"family":"Sorger","given":"Peter K."}],"issued":{"date-parts":[["2016",12,7]]}}}],"schema":"https://github.com/citation-style-language/schema/raw/master/csl-citation.json"} </w:instrText>
      </w:r>
      <w:r w:rsidR="00252CC6" w:rsidRPr="00D0572D">
        <w:rPr>
          <w:rFonts w:eastAsia="Times New Roman"/>
          <w:sz w:val="20"/>
          <w:szCs w:val="20"/>
          <w:lang w:eastAsia="en-US"/>
        </w:rPr>
        <w:fldChar w:fldCharType="separate"/>
      </w:r>
      <w:r w:rsidR="00252CC6" w:rsidRPr="00D0572D">
        <w:rPr>
          <w:rFonts w:ascii="Times New Roman" w:cs="Times New Roman"/>
          <w:color w:val="000000"/>
          <w:sz w:val="20"/>
          <w:szCs w:val="20"/>
          <w:vertAlign w:val="superscript"/>
        </w:rPr>
        <w:t>6</w:t>
      </w:r>
      <w:r w:rsidR="00252CC6" w:rsidRPr="00D0572D">
        <w:rPr>
          <w:rFonts w:eastAsia="Times New Roman"/>
          <w:sz w:val="20"/>
          <w:szCs w:val="20"/>
          <w:lang w:eastAsia="en-US"/>
        </w:rPr>
        <w:fldChar w:fldCharType="end"/>
      </w:r>
      <w:r w:rsidR="00167934" w:rsidRPr="00D0572D">
        <w:rPr>
          <w:rFonts w:eastAsia="Times New Roman"/>
          <w:sz w:val="20"/>
          <w:szCs w:val="20"/>
          <w:lang w:eastAsia="en-US"/>
        </w:rPr>
        <w:t>.  Since t</w:t>
      </w:r>
      <w:r w:rsidRPr="00D0572D">
        <w:rPr>
          <w:rFonts w:eastAsia="Times New Roman"/>
          <w:sz w:val="20"/>
          <w:szCs w:val="20"/>
          <w:lang w:eastAsia="en-US"/>
        </w:rPr>
        <w:t>he extent of cellular heterogeneity in breast cancer has been hypothesized to impact diagnosis, response to therapy, and long-term outcom</w:t>
      </w:r>
      <w:r w:rsidR="00E3020E" w:rsidRPr="00D0572D">
        <w:rPr>
          <w:rFonts w:eastAsia="Times New Roman"/>
          <w:sz w:val="20"/>
          <w:szCs w:val="20"/>
          <w:lang w:eastAsia="en-US"/>
        </w:rPr>
        <w:t>e</w:t>
      </w:r>
      <w:r w:rsidR="00167934" w:rsidRPr="00D0572D">
        <w:rPr>
          <w:rFonts w:eastAsia="Times New Roman"/>
          <w:sz w:val="20"/>
          <w:szCs w:val="20"/>
          <w:lang w:eastAsia="en-US"/>
        </w:rPr>
        <w:t xml:space="preserve">, </w:t>
      </w:r>
      <w:proofErr w:type="spellStart"/>
      <w:r w:rsidR="00167934" w:rsidRPr="00D0572D">
        <w:rPr>
          <w:rFonts w:eastAsia="Times New Roman"/>
          <w:sz w:val="20"/>
          <w:szCs w:val="20"/>
          <w:lang w:eastAsia="en-US"/>
        </w:rPr>
        <w:t>CyCIF</w:t>
      </w:r>
      <w:proofErr w:type="spellEnd"/>
      <w:r w:rsidR="00167934" w:rsidRPr="00D0572D">
        <w:rPr>
          <w:rFonts w:eastAsia="Times New Roman"/>
          <w:sz w:val="20"/>
          <w:szCs w:val="20"/>
          <w:lang w:eastAsia="en-US"/>
        </w:rPr>
        <w:t xml:space="preserve"> of breast cancer biopsies has potential to guide breast cancer management in the future</w:t>
      </w:r>
      <w:r w:rsidRPr="00D0572D">
        <w:rPr>
          <w:rFonts w:eastAsia="Times New Roman"/>
          <w:sz w:val="20"/>
          <w:szCs w:val="20"/>
          <w:lang w:eastAsia="en-US"/>
        </w:rPr>
        <w:t>. </w:t>
      </w:r>
    </w:p>
    <w:p w14:paraId="35C6ED80" w14:textId="2024FE29" w:rsidR="003E5E8B" w:rsidRPr="00D0572D" w:rsidRDefault="00167934" w:rsidP="006876D1">
      <w:pPr>
        <w:spacing w:line="240" w:lineRule="auto"/>
        <w:rPr>
          <w:rFonts w:eastAsia="Times New Roman"/>
          <w:sz w:val="20"/>
          <w:szCs w:val="20"/>
          <w:lang w:eastAsia="en-US"/>
        </w:rPr>
      </w:pPr>
      <w:proofErr w:type="spellStart"/>
      <w:r w:rsidRPr="00D0572D">
        <w:rPr>
          <w:rFonts w:eastAsia="Times New Roman"/>
          <w:sz w:val="20"/>
          <w:szCs w:val="20"/>
          <w:lang w:eastAsia="en-US"/>
        </w:rPr>
        <w:t>CyCIF</w:t>
      </w:r>
      <w:proofErr w:type="spellEnd"/>
      <w:r w:rsidRPr="00D0572D">
        <w:rPr>
          <w:rFonts w:eastAsia="Times New Roman"/>
          <w:sz w:val="20"/>
          <w:szCs w:val="20"/>
          <w:lang w:eastAsia="en-US"/>
        </w:rPr>
        <w:t xml:space="preserve"> </w:t>
      </w:r>
      <w:r w:rsidR="000F3ACA" w:rsidRPr="00D0572D">
        <w:rPr>
          <w:rFonts w:eastAsia="Times New Roman"/>
          <w:sz w:val="20"/>
          <w:szCs w:val="20"/>
          <w:lang w:eastAsia="en-US"/>
        </w:rPr>
        <w:t>generates</w:t>
      </w:r>
      <w:r w:rsidRPr="00D0572D">
        <w:rPr>
          <w:rFonts w:eastAsia="Times New Roman"/>
          <w:sz w:val="20"/>
          <w:szCs w:val="20"/>
          <w:lang w:eastAsia="en-US"/>
        </w:rPr>
        <w:t xml:space="preserve"> gigabytes of image data that scientists and technicians do not have the bandwidth to process or ability to identify specific patterns. In contrast, artificial Intelligence based computational pathology has shown increased diagnostic accuracy and reduced turnaround times</w:t>
      </w:r>
      <w:r w:rsidR="009C27E1" w:rsidRPr="00D0572D">
        <w:rPr>
          <w:rFonts w:eastAsia="Times New Roman"/>
          <w:sz w:val="20"/>
          <w:szCs w:val="20"/>
          <w:lang w:eastAsia="en-US"/>
        </w:rPr>
        <w:t xml:space="preserve"> </w:t>
      </w:r>
      <w:r w:rsidR="00252CC6" w:rsidRPr="00D0572D">
        <w:rPr>
          <w:rFonts w:eastAsia="Times New Roman"/>
          <w:sz w:val="20"/>
          <w:szCs w:val="20"/>
          <w:lang w:eastAsia="en-US"/>
        </w:rPr>
        <w:fldChar w:fldCharType="begin"/>
      </w:r>
      <w:r w:rsidR="00252CC6" w:rsidRPr="00D0572D">
        <w:rPr>
          <w:rFonts w:eastAsia="Times New Roman"/>
          <w:sz w:val="20"/>
          <w:szCs w:val="20"/>
          <w:lang w:eastAsia="en-US"/>
        </w:rPr>
        <w:instrText xml:space="preserve"> ADDIN ZOTERO_ITEM CSL_CITATION {"citationID":"s3QzRs1h","properties":{"formattedCitation":"\\super 7\\nosupersub{}","plainCitation":"7","noteIndex":0},"citationItems":[{"id":20,"uris":["http://zotero.org/users/11784947/items/NPHX6QDL"],"itemData":{"id":20,"type":"article-journal","abstract":"Artificially intelligent computer systems are used extensively in medical sciences. Common applications include diagnosing patients, end-to-end drug discovery and development, improving communication between physician and patient, transcribing medical documents, such as prescriptions, and remotely treating patients. While computer systems often execute tasks more efficiently than humans, more recently, state-of-the-art computer algorithms have achieved accuracies which are at par with human experts in the field of medical sciences. Some speculate that it is only a matter of time before humans are completely replaced in certain roles within the medical sciences. The motivation of this article is to discuss the ways in which artificial intelligence is changing the landscape of medical science and to separate hype from reality.","container-title":"Indian Journal of Dermatology","DOI":"10.4103/ijd.IJD_421_20","ISSN":"0019-5154","issue":"5","journalAbbreviation":"Indian J Dermatol","note":"PMID: 33165420\nPMCID: PMC7640807","page":"365-370","source":"PubMed Central","title":"Artificial Intelligence: How is It Changing Medical Sciences and Its Future?","title-short":"Artificial Intelligence","volume":"65","author":[{"family":"Basu","given":"Kanadpriya"},{"family":"Sinha","given":"Ritwik"},{"family":"Ong","given":"Aihui"},{"family":"Basu","given":"Treena"}],"issued":{"date-parts":[["2020"]]}}}],"schema":"https://github.com/citation-style-language/schema/raw/master/csl-citation.json"} </w:instrText>
      </w:r>
      <w:r w:rsidR="00252CC6" w:rsidRPr="00D0572D">
        <w:rPr>
          <w:rFonts w:eastAsia="Times New Roman"/>
          <w:sz w:val="20"/>
          <w:szCs w:val="20"/>
          <w:lang w:eastAsia="en-US"/>
        </w:rPr>
        <w:fldChar w:fldCharType="separate"/>
      </w:r>
      <w:r w:rsidR="00252CC6" w:rsidRPr="00D0572D">
        <w:rPr>
          <w:rFonts w:ascii="Times New Roman" w:cs="Times New Roman"/>
          <w:color w:val="000000"/>
          <w:sz w:val="20"/>
          <w:szCs w:val="20"/>
          <w:vertAlign w:val="superscript"/>
        </w:rPr>
        <w:t>7</w:t>
      </w:r>
      <w:r w:rsidR="00252CC6" w:rsidRPr="00D0572D">
        <w:rPr>
          <w:rFonts w:eastAsia="Times New Roman"/>
          <w:sz w:val="20"/>
          <w:szCs w:val="20"/>
          <w:lang w:eastAsia="en-US"/>
        </w:rPr>
        <w:fldChar w:fldCharType="end"/>
      </w:r>
      <w:r w:rsidR="009C27E1" w:rsidRPr="00D0572D">
        <w:rPr>
          <w:rFonts w:eastAsia="Times New Roman"/>
          <w:sz w:val="20"/>
          <w:szCs w:val="20"/>
          <w:lang w:eastAsia="en-US"/>
        </w:rPr>
        <w:t>.</w:t>
      </w:r>
      <w:r w:rsidRPr="00D0572D">
        <w:rPr>
          <w:rFonts w:eastAsia="Times New Roman"/>
          <w:sz w:val="20"/>
          <w:szCs w:val="20"/>
          <w:lang w:eastAsia="en-US"/>
        </w:rPr>
        <w:t xml:space="preserve"> </w:t>
      </w:r>
      <w:r w:rsidR="003E5E8B" w:rsidRPr="00D0572D">
        <w:rPr>
          <w:rFonts w:eastAsia="Times New Roman"/>
          <w:sz w:val="20"/>
          <w:szCs w:val="20"/>
          <w:lang w:eastAsia="en-US"/>
        </w:rPr>
        <w:t>Computer aided image analysis</w:t>
      </w:r>
      <w:r w:rsidRPr="00D0572D">
        <w:rPr>
          <w:rFonts w:eastAsia="Times New Roman"/>
          <w:sz w:val="20"/>
          <w:szCs w:val="20"/>
          <w:lang w:eastAsia="en-US"/>
        </w:rPr>
        <w:t xml:space="preserve"> of </w:t>
      </w:r>
      <w:proofErr w:type="spellStart"/>
      <w:r w:rsidRPr="00D0572D">
        <w:rPr>
          <w:rFonts w:eastAsia="Times New Roman"/>
          <w:sz w:val="20"/>
          <w:szCs w:val="20"/>
          <w:lang w:eastAsia="en-US"/>
        </w:rPr>
        <w:t>CyCIF</w:t>
      </w:r>
      <w:proofErr w:type="spellEnd"/>
      <w:r w:rsidRPr="00D0572D">
        <w:rPr>
          <w:rFonts w:eastAsia="Times New Roman"/>
          <w:sz w:val="20"/>
          <w:szCs w:val="20"/>
          <w:lang w:eastAsia="en-US"/>
        </w:rPr>
        <w:t xml:space="preserve"> data</w:t>
      </w:r>
      <w:r w:rsidR="003E5E8B" w:rsidRPr="00D0572D">
        <w:rPr>
          <w:rFonts w:eastAsia="Times New Roman"/>
          <w:sz w:val="20"/>
          <w:szCs w:val="20"/>
          <w:lang w:eastAsia="en-US"/>
        </w:rPr>
        <w:t xml:space="preserve"> has the potential to make </w:t>
      </w:r>
      <w:r w:rsidRPr="00D0572D">
        <w:rPr>
          <w:rFonts w:eastAsia="Times New Roman"/>
          <w:sz w:val="20"/>
          <w:szCs w:val="20"/>
          <w:lang w:eastAsia="en-US"/>
        </w:rPr>
        <w:t xml:space="preserve">this </w:t>
      </w:r>
      <w:r w:rsidR="003E5E8B" w:rsidRPr="00D0572D">
        <w:rPr>
          <w:rFonts w:eastAsia="Times New Roman"/>
          <w:sz w:val="20"/>
          <w:szCs w:val="20"/>
          <w:lang w:eastAsia="en-US"/>
        </w:rPr>
        <w:t xml:space="preserve">complex information more accessible in </w:t>
      </w:r>
      <w:r w:rsidRPr="00D0572D">
        <w:rPr>
          <w:rFonts w:eastAsia="Times New Roman"/>
          <w:sz w:val="20"/>
          <w:szCs w:val="20"/>
          <w:lang w:eastAsia="en-US"/>
        </w:rPr>
        <w:t xml:space="preserve">the </w:t>
      </w:r>
      <w:r w:rsidR="003E5E8B" w:rsidRPr="00D0572D">
        <w:rPr>
          <w:rFonts w:eastAsia="Times New Roman"/>
          <w:sz w:val="20"/>
          <w:szCs w:val="20"/>
          <w:lang w:eastAsia="en-US"/>
        </w:rPr>
        <w:t xml:space="preserve">diagnostic </w:t>
      </w:r>
      <w:r w:rsidRPr="00D0572D">
        <w:rPr>
          <w:rFonts w:eastAsia="Times New Roman"/>
          <w:sz w:val="20"/>
          <w:szCs w:val="20"/>
          <w:lang w:eastAsia="en-US"/>
        </w:rPr>
        <w:t>workflow of breast cancer</w:t>
      </w:r>
      <w:r w:rsidR="00E3020E" w:rsidRPr="00D0572D">
        <w:rPr>
          <w:rFonts w:eastAsia="Times New Roman"/>
          <w:sz w:val="20"/>
          <w:szCs w:val="20"/>
          <w:lang w:eastAsia="en-US"/>
        </w:rPr>
        <w:t xml:space="preserve"> </w:t>
      </w:r>
      <w:r w:rsidR="00252CC6" w:rsidRPr="00D0572D">
        <w:rPr>
          <w:rFonts w:eastAsia="Times New Roman"/>
          <w:sz w:val="20"/>
          <w:szCs w:val="20"/>
          <w:lang w:eastAsia="en-US"/>
        </w:rPr>
        <w:fldChar w:fldCharType="begin"/>
      </w:r>
      <w:r w:rsidR="00252CC6" w:rsidRPr="00D0572D">
        <w:rPr>
          <w:rFonts w:eastAsia="Times New Roman"/>
          <w:sz w:val="20"/>
          <w:szCs w:val="20"/>
          <w:lang w:eastAsia="en-US"/>
        </w:rPr>
        <w:instrText xml:space="preserve"> ADDIN ZOTERO_ITEM CSL_CITATION {"citationID":"ImYsnXgZ","properties":{"formattedCitation":"\\super 8\\nosupersub{}","plainCitation":"8","noteIndex":0},"citationItems":[{"id":6,"uris":["http://zotero.org/users/11784947/items/M2MLXYWA"],"itemData":{"id":6,"type":"article-journal","abstract":"The extent of cellular heterogeneity in breast cancer could have potential impact on diagnosis and long-term outcome. However, pathology evaluation is limited to biomarker immunohistochemical staining and morphology of the bulk cancer. Inter-cellular heterogeneity of biomarkers is not usually assessed. As an initial evaluation of the extent of breast cancer cellular heterogeneity, we conducted quantitative and spatial imaging of Estrogen Receptor (ER), Progesterone Receptor (PR), Epidermal Growth Factor Receptor-2 (HER2), Ki67, TP53, CDKN1A (P21/WAF1), CDKN2A (P16INK4A), CD8 and CD20 of a tissue microarray (TMA) representing subtypes defined by St. Gallen surrogate classification.","container-title":"Breast Cancer Research","DOI":"10.1186/s13058-021-01475-y","ISSN":"1465-542X","issue":"1","journalAbbreviation":"Breast Cancer Research","page":"114","source":"BioMed Central","title":"Quantitative single-cell analysis of immunofluorescence protein multiplex images illustrates biomarker spatial heterogeneity within breast cancer subtypes","volume":"23","author":[{"family":"Cheung","given":"Alison Min-Yan"},{"family":"Wang","given":"Dan"},{"family":"Liu","given":"Kela"},{"family":"Hope","given":"Tyna"},{"family":"Murray","given":"Mayan"},{"family":"Ginty","given":"Fiona"},{"family":"Nofech-Mozes","given":"Sharon"},{"family":"Martel","given":"Anne Louise"},{"family":"Yaffe","given":"Martin Joel"}],"issued":{"date-parts":[["2021",12,18]]}}}],"schema":"https://github.com/citation-style-language/schema/raw/master/csl-citation.json"} </w:instrText>
      </w:r>
      <w:r w:rsidR="00252CC6" w:rsidRPr="00D0572D">
        <w:rPr>
          <w:rFonts w:eastAsia="Times New Roman"/>
          <w:sz w:val="20"/>
          <w:szCs w:val="20"/>
          <w:lang w:eastAsia="en-US"/>
        </w:rPr>
        <w:fldChar w:fldCharType="separate"/>
      </w:r>
      <w:r w:rsidR="00252CC6" w:rsidRPr="00D0572D">
        <w:rPr>
          <w:rFonts w:ascii="Times New Roman" w:cs="Times New Roman"/>
          <w:color w:val="000000"/>
          <w:sz w:val="20"/>
          <w:szCs w:val="20"/>
          <w:vertAlign w:val="superscript"/>
        </w:rPr>
        <w:t>8</w:t>
      </w:r>
      <w:r w:rsidR="00252CC6" w:rsidRPr="00D0572D">
        <w:rPr>
          <w:rFonts w:eastAsia="Times New Roman"/>
          <w:sz w:val="20"/>
          <w:szCs w:val="20"/>
          <w:lang w:eastAsia="en-US"/>
        </w:rPr>
        <w:fldChar w:fldCharType="end"/>
      </w:r>
      <w:r w:rsidR="00E3020E" w:rsidRPr="00D0572D">
        <w:rPr>
          <w:rFonts w:eastAsia="Times New Roman"/>
          <w:sz w:val="20"/>
          <w:szCs w:val="20"/>
          <w:lang w:eastAsia="en-US"/>
        </w:rPr>
        <w:t>.</w:t>
      </w:r>
      <w:r w:rsidR="003E5E8B" w:rsidRPr="00D0572D">
        <w:rPr>
          <w:rFonts w:eastAsia="Times New Roman"/>
          <w:sz w:val="20"/>
          <w:szCs w:val="20"/>
          <w:lang w:eastAsia="en-US"/>
        </w:rPr>
        <w:t xml:space="preserve"> </w:t>
      </w:r>
      <w:r w:rsidRPr="00D0572D">
        <w:rPr>
          <w:rFonts w:eastAsia="Times New Roman"/>
          <w:sz w:val="20"/>
          <w:szCs w:val="20"/>
          <w:lang w:eastAsia="en-US"/>
        </w:rPr>
        <w:t xml:space="preserve"> In this study, we show the feasibility of a fully automated deep learning-based pipeline for analysis and tracking of biomarker expression patterns in serial breast cancer biopsies.</w:t>
      </w:r>
    </w:p>
    <w:p w14:paraId="2E33DC9F" w14:textId="323A8332" w:rsidR="003E5E8B" w:rsidRPr="00D0572D" w:rsidRDefault="003E5E8B" w:rsidP="006876D1">
      <w:pPr>
        <w:pStyle w:val="Heading2"/>
        <w:rPr>
          <w:b/>
          <w:bCs/>
          <w:sz w:val="28"/>
          <w:szCs w:val="28"/>
        </w:rPr>
      </w:pPr>
      <w:r w:rsidRPr="00D0572D">
        <w:rPr>
          <w:b/>
          <w:bCs/>
          <w:sz w:val="28"/>
          <w:szCs w:val="28"/>
        </w:rPr>
        <w:t>Results</w:t>
      </w:r>
    </w:p>
    <w:p w14:paraId="4AD5FDC1" w14:textId="77777777" w:rsidR="00BE0825" w:rsidRPr="00D0572D" w:rsidRDefault="00F01EBE" w:rsidP="006876D1">
      <w:pPr>
        <w:spacing w:line="240" w:lineRule="auto"/>
        <w:rPr>
          <w:sz w:val="20"/>
          <w:szCs w:val="20"/>
        </w:rPr>
      </w:pPr>
      <w:r w:rsidRPr="00D0572D">
        <w:rPr>
          <w:sz w:val="20"/>
          <w:szCs w:val="20"/>
        </w:rPr>
        <w:t xml:space="preserve">The result is a pipeline that takes in a set of molecular imaging files (often 10-100 GB in size) and outputs the single cell quantification for each channel of the imaging. </w:t>
      </w:r>
    </w:p>
    <w:p w14:paraId="6987B9AD" w14:textId="5D5095A2" w:rsidR="00BE0825" w:rsidRPr="00BA3A48" w:rsidRDefault="00BE0825" w:rsidP="006876D1">
      <w:pPr>
        <w:pStyle w:val="Heading3"/>
        <w:rPr>
          <w:b/>
          <w:bCs/>
        </w:rPr>
      </w:pPr>
      <w:r w:rsidRPr="00BA3A48">
        <w:rPr>
          <w:b/>
          <w:bCs/>
        </w:rPr>
        <w:lastRenderedPageBreak/>
        <w:t xml:space="preserve">VAE Training </w:t>
      </w:r>
    </w:p>
    <w:p w14:paraId="396F236F" w14:textId="4CEE3AAF" w:rsidR="00D0572D" w:rsidRDefault="00F01EBE" w:rsidP="006876D1">
      <w:pPr>
        <w:spacing w:line="240" w:lineRule="auto"/>
        <w:rPr>
          <w:sz w:val="20"/>
          <w:szCs w:val="20"/>
        </w:rPr>
      </w:pPr>
      <w:r w:rsidRPr="00D0572D">
        <w:rPr>
          <w:sz w:val="20"/>
          <w:szCs w:val="20"/>
        </w:rPr>
        <w:t>In the training dataset, the</w:t>
      </w:r>
      <w:r w:rsidR="00BE0825" w:rsidRPr="00D0572D">
        <w:rPr>
          <w:sz w:val="20"/>
          <w:szCs w:val="20"/>
        </w:rPr>
        <w:t xml:space="preserve"> </w:t>
      </w:r>
      <w:r w:rsidRPr="00D0572D">
        <w:rPr>
          <w:sz w:val="20"/>
          <w:szCs w:val="20"/>
        </w:rPr>
        <w:t>pipeline took an input of 30 channels (DAPI, HER, ER, PCNA, Ki67, etc.) and accurately segmented ~16,000 cells from which cell-specific marker expression quantifications were obtained. Execution of the pipeline on the testing datasets at the same and later time points resulted in ~21,000 and ~4000 identified and quantified cells, respectively.</w:t>
      </w:r>
      <w:r w:rsidR="00BE0825" w:rsidRPr="00D0572D">
        <w:rPr>
          <w:sz w:val="20"/>
          <w:szCs w:val="20"/>
        </w:rPr>
        <w:t xml:space="preserve"> Figure 1 shows an exam cropped section of one of the biopsies run through the MCMICRO UNMICST cell segmentation algorithm.</w:t>
      </w:r>
    </w:p>
    <w:p w14:paraId="6A4E35F8" w14:textId="77777777" w:rsidR="00B3667B" w:rsidRDefault="00B3667B" w:rsidP="006876D1">
      <w:pPr>
        <w:spacing w:line="240" w:lineRule="auto"/>
        <w:rPr>
          <w:sz w:val="20"/>
          <w:szCs w:val="20"/>
        </w:rPr>
      </w:pPr>
    </w:p>
    <w:p w14:paraId="03AB0A6D" w14:textId="2691FF28" w:rsidR="00D0572D" w:rsidRPr="00D0572D" w:rsidRDefault="00B3667B" w:rsidP="006876D1">
      <w:pPr>
        <w:spacing w:line="240" w:lineRule="auto"/>
        <w:rPr>
          <w:sz w:val="20"/>
          <w:szCs w:val="20"/>
        </w:rPr>
      </w:pPr>
      <w:r>
        <w:rPr>
          <w:noProof/>
          <w:sz w:val="20"/>
          <w:szCs w:val="20"/>
        </w:rPr>
        <w:drawing>
          <wp:inline distT="0" distB="0" distL="0" distR="0" wp14:anchorId="49F674C7" wp14:editId="265B36EF">
            <wp:extent cx="6071870" cy="2745740"/>
            <wp:effectExtent l="0" t="0" r="5080" b="0"/>
            <wp:docPr id="7" name="Picture 7" descr="A collage of images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llage of images of different shap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71870" cy="2745740"/>
                    </a:xfrm>
                    <a:prstGeom prst="rect">
                      <a:avLst/>
                    </a:prstGeom>
                  </pic:spPr>
                </pic:pic>
              </a:graphicData>
            </a:graphic>
          </wp:inline>
        </w:drawing>
      </w:r>
    </w:p>
    <w:p w14:paraId="1B7AA816" w14:textId="6E164A67" w:rsidR="00BE0825" w:rsidRDefault="00BE0825" w:rsidP="006876D1">
      <w:pPr>
        <w:spacing w:line="240" w:lineRule="auto"/>
        <w:rPr>
          <w:b/>
          <w:bCs/>
        </w:rPr>
      </w:pPr>
    </w:p>
    <w:p w14:paraId="15539A91" w14:textId="435D580F" w:rsidR="00D0572D" w:rsidRPr="00D0572D" w:rsidRDefault="00BE0825" w:rsidP="006876D1">
      <w:pPr>
        <w:spacing w:line="240" w:lineRule="auto"/>
        <w:rPr>
          <w:sz w:val="20"/>
          <w:szCs w:val="20"/>
        </w:rPr>
      </w:pPr>
      <w:r w:rsidRPr="00D0572D">
        <w:rPr>
          <w:sz w:val="20"/>
          <w:szCs w:val="20"/>
        </w:rPr>
        <w:t>Figure 1: Example segmentation for one region of interest (ROI) from biopsy. Passing the image on the left through the MCMICRO pipeline generates the images on the right. The images on the right are the masks of the cells that were in the ROI.</w:t>
      </w:r>
    </w:p>
    <w:p w14:paraId="2CC4157E" w14:textId="02B5E227" w:rsidR="00BE0825" w:rsidRPr="00BA3A48" w:rsidRDefault="00BE0825" w:rsidP="006876D1">
      <w:pPr>
        <w:pStyle w:val="Heading3"/>
        <w:rPr>
          <w:b/>
          <w:bCs/>
        </w:rPr>
      </w:pPr>
      <w:r w:rsidRPr="00BA3A48">
        <w:rPr>
          <w:b/>
          <w:bCs/>
        </w:rPr>
        <w:t>Marker Quantification Results</w:t>
      </w:r>
    </w:p>
    <w:p w14:paraId="0C517AF5" w14:textId="42386A95" w:rsidR="00BE0825" w:rsidRDefault="000F3ACA" w:rsidP="006876D1">
      <w:pPr>
        <w:spacing w:line="240" w:lineRule="auto"/>
        <w:rPr>
          <w:b/>
          <w:bCs/>
          <w:noProof/>
        </w:rPr>
      </w:pPr>
      <w:r w:rsidRPr="00D0572D">
        <w:rPr>
          <w:sz w:val="20"/>
          <w:szCs w:val="20"/>
        </w:rPr>
        <w:t>Looking at the quantification of the markers at different timepoints allows us to make claims about the cancer progression. For example, the increase in the expression of Ki67 indicates to us that the cancer is proliferating at much</w:t>
      </w:r>
      <w:r w:rsidR="00D0572D">
        <w:rPr>
          <w:sz w:val="20"/>
          <w:szCs w:val="20"/>
        </w:rPr>
        <w:t xml:space="preserve"> </w:t>
      </w:r>
      <w:r w:rsidRPr="00D0572D">
        <w:rPr>
          <w:sz w:val="20"/>
          <w:szCs w:val="20"/>
        </w:rPr>
        <w:t>higher rate.</w:t>
      </w:r>
    </w:p>
    <w:p w14:paraId="095DAACD" w14:textId="03823277" w:rsidR="00D0572D" w:rsidRDefault="00B3667B" w:rsidP="006876D1">
      <w:pPr>
        <w:spacing w:line="240" w:lineRule="auto"/>
        <w:rPr>
          <w:b/>
          <w:bCs/>
        </w:rPr>
      </w:pPr>
      <w:r>
        <w:rPr>
          <w:b/>
          <w:bCs/>
          <w:noProof/>
        </w:rPr>
        <w:lastRenderedPageBreak/>
        <w:drawing>
          <wp:inline distT="0" distB="0" distL="0" distR="0" wp14:anchorId="34D6B1BC" wp14:editId="3230ECCA">
            <wp:extent cx="5744377" cy="3639058"/>
            <wp:effectExtent l="0" t="0" r="8890" b="0"/>
            <wp:docPr id="9" name="Picture 9"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different colored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44377" cy="3639058"/>
                    </a:xfrm>
                    <a:prstGeom prst="rect">
                      <a:avLst/>
                    </a:prstGeom>
                  </pic:spPr>
                </pic:pic>
              </a:graphicData>
            </a:graphic>
          </wp:inline>
        </w:drawing>
      </w:r>
    </w:p>
    <w:p w14:paraId="02B1F506" w14:textId="32823624" w:rsidR="00BE0825" w:rsidRPr="00D0572D" w:rsidRDefault="00BE0825" w:rsidP="006876D1">
      <w:pPr>
        <w:spacing w:line="240" w:lineRule="auto"/>
        <w:rPr>
          <w:sz w:val="20"/>
          <w:szCs w:val="20"/>
        </w:rPr>
      </w:pPr>
      <w:r w:rsidRPr="00D0572D">
        <w:rPr>
          <w:sz w:val="20"/>
          <w:szCs w:val="20"/>
        </w:rPr>
        <w:t xml:space="preserve">Figure 2: </w:t>
      </w:r>
      <w:r w:rsidR="000F3ACA" w:rsidRPr="00D0572D">
        <w:rPr>
          <w:sz w:val="20"/>
          <w:szCs w:val="20"/>
        </w:rPr>
        <w:t>The concentration of several markers in various images at different timepoints</w:t>
      </w:r>
    </w:p>
    <w:p w14:paraId="4AD7F70C" w14:textId="2AC72303" w:rsidR="00BE0825" w:rsidRPr="00BA3A48" w:rsidRDefault="00BE0825" w:rsidP="006876D1">
      <w:pPr>
        <w:pStyle w:val="Heading3"/>
        <w:rPr>
          <w:b/>
          <w:bCs/>
        </w:rPr>
      </w:pPr>
      <w:r w:rsidRPr="00BA3A48">
        <w:rPr>
          <w:b/>
          <w:bCs/>
        </w:rPr>
        <w:t>VAE Training and Analysis</w:t>
      </w:r>
    </w:p>
    <w:p w14:paraId="7E3BA506" w14:textId="6918FB11" w:rsidR="00BE0825" w:rsidRPr="00D0572D" w:rsidRDefault="00091D92" w:rsidP="006876D1">
      <w:pPr>
        <w:spacing w:line="240" w:lineRule="auto"/>
        <w:rPr>
          <w:sz w:val="20"/>
          <w:szCs w:val="20"/>
        </w:rPr>
      </w:pPr>
      <w:r w:rsidRPr="00D0572D">
        <w:rPr>
          <w:sz w:val="20"/>
          <w:szCs w:val="20"/>
        </w:rPr>
        <w:t>The VAE model was trained for 200 epochs and reached a test loss of 0.1159 and a validation loss of 0.1164. The training and testing loss is reflected in the quality of the image generated as seen in Figure 4. Figure 4 shows an image fed into the VAE and the rebuilt version of that image from the VAE. The drop in quality is because of the lack of latent vectors used to represent the 24x24 images but is necessary to interpreting the data in a friendly way.</w:t>
      </w:r>
      <w:r w:rsidR="003105D6" w:rsidRPr="00D0572D">
        <w:rPr>
          <w:sz w:val="20"/>
          <w:szCs w:val="20"/>
        </w:rPr>
        <w:t xml:space="preserve"> Figure 5 provides a visual representation of the latent vector at different timepoints and shows the difference between the timepoints.</w:t>
      </w:r>
      <w:r w:rsidR="000F3ACA" w:rsidRPr="00D0572D">
        <w:rPr>
          <w:sz w:val="20"/>
          <w:szCs w:val="20"/>
        </w:rPr>
        <w:t xml:space="preserve"> From the graphs a clear distinction between each timepoint can be compared using the KL Divergence Statistic to quantify the difference in between two timepoints.</w:t>
      </w:r>
    </w:p>
    <w:p w14:paraId="157A27B0" w14:textId="0D559EC7" w:rsidR="00F01EBE" w:rsidRPr="001D4C27" w:rsidRDefault="00F01EBE" w:rsidP="006876D1">
      <w:pPr>
        <w:spacing w:line="240" w:lineRule="auto"/>
        <w:jc w:val="center"/>
      </w:pPr>
      <w:r w:rsidRPr="00F8222E">
        <w:rPr>
          <w:noProof/>
        </w:rPr>
        <w:lastRenderedPageBreak/>
        <mc:AlternateContent>
          <mc:Choice Requires="wps">
            <w:drawing>
              <wp:anchor distT="0" distB="0" distL="114300" distR="114300" simplePos="0" relativeHeight="251659264" behindDoc="0" locked="0" layoutInCell="1" allowOverlap="1" wp14:anchorId="67AC664A" wp14:editId="5BDD17F9">
                <wp:simplePos x="0" y="0"/>
                <wp:positionH relativeFrom="column">
                  <wp:posOffset>828675</wp:posOffset>
                </wp:positionH>
                <wp:positionV relativeFrom="paragraph">
                  <wp:posOffset>3000375</wp:posOffset>
                </wp:positionV>
                <wp:extent cx="5029200" cy="276999"/>
                <wp:effectExtent l="0" t="0" r="0" b="0"/>
                <wp:wrapNone/>
                <wp:docPr id="17" name="TextBox 7"/>
                <wp:cNvGraphicFramePr/>
                <a:graphic xmlns:a="http://schemas.openxmlformats.org/drawingml/2006/main">
                  <a:graphicData uri="http://schemas.microsoft.com/office/word/2010/wordprocessingShape">
                    <wps:wsp>
                      <wps:cNvSpPr txBox="1"/>
                      <wps:spPr>
                        <a:xfrm>
                          <a:off x="0" y="0"/>
                          <a:ext cx="5029200" cy="276999"/>
                        </a:xfrm>
                        <a:prstGeom prst="rect">
                          <a:avLst/>
                        </a:prstGeom>
                        <a:noFill/>
                      </wps:spPr>
                      <wps:txbx>
                        <w:txbxContent>
                          <w:p w14:paraId="7620FB16" w14:textId="77777777" w:rsidR="00F01EBE" w:rsidRDefault="00F01EBE" w:rsidP="00F01EBE">
                            <w:pPr>
                              <w:rPr>
                                <w:rFonts w:hAnsi="Calibri"/>
                                <w:kern w:val="24"/>
                              </w:rPr>
                            </w:pPr>
                          </w:p>
                        </w:txbxContent>
                      </wps:txbx>
                      <wps:bodyPr wrap="square" rtlCol="0">
                        <a:spAutoFit/>
                      </wps:bodyPr>
                    </wps:wsp>
                  </a:graphicData>
                </a:graphic>
              </wp:anchor>
            </w:drawing>
          </mc:Choice>
          <mc:Fallback>
            <w:pict>
              <v:shapetype w14:anchorId="67AC664A" id="_x0000_t202" coordsize="21600,21600" o:spt="202" path="m,l,21600r21600,l21600,xe">
                <v:stroke joinstyle="miter"/>
                <v:path gradientshapeok="t" o:connecttype="rect"/>
              </v:shapetype>
              <v:shape id="TextBox 7" o:spid="_x0000_s1026" type="#_x0000_t202" style="position:absolute;left:0;text-align:left;margin-left:65.25pt;margin-top:236.25pt;width:396pt;height:2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" filled="f" stroked="f">
                <v:textbox style="mso-fit-shape-to-text:t">
                  <w:txbxContent>
                    <w:p w14:paraId="7620FB16" w14:textId="77777777" w:rsidR="00F01EBE" w:rsidRDefault="00F01EBE" w:rsidP="00F01EBE">
                      <w:pPr>
                        <w:rPr>
                          <w:rFonts w:hAnsi="Calibri"/>
                          <w:kern w:val="24"/>
                        </w:rPr>
                      </w:pPr>
                    </w:p>
                  </w:txbxContent>
                </v:textbox>
              </v:shape>
            </w:pict>
          </mc:Fallback>
        </mc:AlternateContent>
      </w:r>
      <w:r w:rsidR="00B3667B">
        <w:rPr>
          <w:noProof/>
        </w:rPr>
        <w:drawing>
          <wp:inline distT="0" distB="0" distL="0" distR="0" wp14:anchorId="28B8FD27" wp14:editId="3F4588AE">
            <wp:extent cx="5563376" cy="3667637"/>
            <wp:effectExtent l="0" t="0" r="0" b="9525"/>
            <wp:docPr id="11" name="Picture 1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3376" cy="3667637"/>
                    </a:xfrm>
                    <a:prstGeom prst="rect">
                      <a:avLst/>
                    </a:prstGeom>
                  </pic:spPr>
                </pic:pic>
              </a:graphicData>
            </a:graphic>
          </wp:inline>
        </w:drawing>
      </w:r>
    </w:p>
    <w:p w14:paraId="0A5145E9" w14:textId="3A3F63AD" w:rsidR="00F01EBE" w:rsidRPr="00D0572D" w:rsidRDefault="00872886" w:rsidP="006876D1">
      <w:pPr>
        <w:spacing w:line="240" w:lineRule="auto"/>
        <w:rPr>
          <w:sz w:val="20"/>
          <w:szCs w:val="20"/>
        </w:rPr>
      </w:pPr>
      <w:r w:rsidRPr="00D0572D">
        <w:rPr>
          <w:sz w:val="20"/>
          <w:szCs w:val="20"/>
        </w:rPr>
        <w:t xml:space="preserve">Figure </w:t>
      </w:r>
      <w:r w:rsidR="00BE0825" w:rsidRPr="00D0572D">
        <w:rPr>
          <w:sz w:val="20"/>
          <w:szCs w:val="20"/>
        </w:rPr>
        <w:t>3</w:t>
      </w:r>
      <w:r w:rsidRPr="00D0572D">
        <w:rPr>
          <w:sz w:val="20"/>
          <w:szCs w:val="20"/>
        </w:rPr>
        <w:t xml:space="preserve">: </w:t>
      </w:r>
      <w:r w:rsidR="00F01EBE" w:rsidRPr="00D0572D">
        <w:rPr>
          <w:sz w:val="20"/>
          <w:szCs w:val="20"/>
        </w:rPr>
        <w:t xml:space="preserve">The above image shows the model loss of our trained VAE. Model loss = latent loss + reconstruction loss. Reconstruction loss is the loss that is experienced when rebuilding the image and latent loss is the loss that is experienced by the latent </w:t>
      </w:r>
      <w:bookmarkStart w:id="0" w:name="_Toc129605323"/>
      <w:r w:rsidR="00F01EBE" w:rsidRPr="00D0572D">
        <w:rPr>
          <w:sz w:val="20"/>
          <w:szCs w:val="20"/>
        </w:rPr>
        <w:t>space.</w:t>
      </w:r>
    </w:p>
    <w:p w14:paraId="45DBEA02" w14:textId="77F28469" w:rsidR="00F01EBE" w:rsidRDefault="00D0572D" w:rsidP="00D0572D">
      <w:pPr>
        <w:spacing w:line="240" w:lineRule="auto"/>
        <w:jc w:val="center"/>
      </w:pPr>
      <w:r w:rsidRPr="00C203C9">
        <w:rPr>
          <w:noProof/>
        </w:rPr>
        <mc:AlternateContent>
          <mc:Choice Requires="wps">
            <w:drawing>
              <wp:anchor distT="0" distB="0" distL="114300" distR="114300" simplePos="0" relativeHeight="251661312" behindDoc="0" locked="0" layoutInCell="1" allowOverlap="1" wp14:anchorId="3E6F518C" wp14:editId="0B8EDB3E">
                <wp:simplePos x="0" y="0"/>
                <wp:positionH relativeFrom="column">
                  <wp:posOffset>3480435</wp:posOffset>
                </wp:positionH>
                <wp:positionV relativeFrom="paragraph">
                  <wp:posOffset>2343785</wp:posOffset>
                </wp:positionV>
                <wp:extent cx="1987826" cy="338554"/>
                <wp:effectExtent l="0" t="0" r="0" b="0"/>
                <wp:wrapNone/>
                <wp:docPr id="14" name="TextBox 5"/>
                <wp:cNvGraphicFramePr/>
                <a:graphic xmlns:a="http://schemas.openxmlformats.org/drawingml/2006/main">
                  <a:graphicData uri="http://schemas.microsoft.com/office/word/2010/wordprocessingShape">
                    <wps:wsp>
                      <wps:cNvSpPr txBox="1"/>
                      <wps:spPr>
                        <a:xfrm>
                          <a:off x="0" y="0"/>
                          <a:ext cx="1987826" cy="338554"/>
                        </a:xfrm>
                        <a:prstGeom prst="rect">
                          <a:avLst/>
                        </a:prstGeom>
                        <a:noFill/>
                      </wps:spPr>
                      <wps:txbx>
                        <w:txbxContent>
                          <w:p w14:paraId="3825EE3A" w14:textId="77777777" w:rsidR="00F01EBE" w:rsidRPr="00D0572D" w:rsidRDefault="00F01EBE" w:rsidP="00F01EBE">
                            <w:pPr>
                              <w:rPr>
                                <w:rFonts w:cstheme="minorHAnsi"/>
                                <w:kern w:val="24"/>
                                <w:sz w:val="20"/>
                                <w:szCs w:val="20"/>
                              </w:rPr>
                            </w:pPr>
                            <w:r w:rsidRPr="00D0572D">
                              <w:rPr>
                                <w:rFonts w:cstheme="minorHAnsi"/>
                                <w:kern w:val="24"/>
                                <w:sz w:val="20"/>
                                <w:szCs w:val="20"/>
                              </w:rPr>
                              <w:t>Rebuilt image by VAE</w:t>
                            </w:r>
                          </w:p>
                        </w:txbxContent>
                      </wps:txbx>
                      <wps:bodyPr wrap="square" rtlCol="0">
                        <a:spAutoFit/>
                      </wps:bodyPr>
                    </wps:wsp>
                  </a:graphicData>
                </a:graphic>
              </wp:anchor>
            </w:drawing>
          </mc:Choice>
          <mc:Fallback>
            <w:pict>
              <v:shape w14:anchorId="3E6F518C" id="TextBox 5" o:spid="_x0000_s1027" type="#_x0000_t202" style="position:absolute;left:0;text-align:left;margin-left:274.05pt;margin-top:184.55pt;width:156.5pt;height:26.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" filled="f" stroked="f">
                <v:textbox style="mso-fit-shape-to-text:t">
                  <w:txbxContent>
                    <w:p w14:paraId="3825EE3A" w14:textId="77777777" w:rsidR="00F01EBE" w:rsidRPr="00D0572D" w:rsidRDefault="00F01EBE" w:rsidP="00F01EBE">
                      <w:pPr>
                        <w:rPr>
                          <w:rFonts w:cstheme="minorHAnsi"/>
                          <w:kern w:val="24"/>
                          <w:sz w:val="20"/>
                          <w:szCs w:val="20"/>
                        </w:rPr>
                      </w:pPr>
                      <w:r w:rsidRPr="00D0572D">
                        <w:rPr>
                          <w:rFonts w:cstheme="minorHAnsi"/>
                          <w:kern w:val="24"/>
                          <w:sz w:val="20"/>
                          <w:szCs w:val="20"/>
                        </w:rPr>
                        <w:t xml:space="preserve">Rebuilt image by </w:t>
                      </w:r>
                      <w:proofErr w:type="gramStart"/>
                      <w:r w:rsidRPr="00D0572D">
                        <w:rPr>
                          <w:rFonts w:cstheme="minorHAnsi"/>
                          <w:kern w:val="24"/>
                          <w:sz w:val="20"/>
                          <w:szCs w:val="20"/>
                        </w:rPr>
                        <w:t>VAE</w:t>
                      </w:r>
                      <w:proofErr w:type="gramEnd"/>
                    </w:p>
                  </w:txbxContent>
                </v:textbox>
              </v:shape>
            </w:pict>
          </mc:Fallback>
        </mc:AlternateContent>
      </w:r>
      <w:r w:rsidRPr="00C203C9">
        <w:rPr>
          <w:noProof/>
        </w:rPr>
        <mc:AlternateContent>
          <mc:Choice Requires="wps">
            <w:drawing>
              <wp:anchor distT="0" distB="0" distL="114300" distR="114300" simplePos="0" relativeHeight="251660288" behindDoc="0" locked="0" layoutInCell="1" allowOverlap="1" wp14:anchorId="1D62959E" wp14:editId="154EFF86">
                <wp:simplePos x="0" y="0"/>
                <wp:positionH relativeFrom="column">
                  <wp:posOffset>1378585</wp:posOffset>
                </wp:positionH>
                <wp:positionV relativeFrom="paragraph">
                  <wp:posOffset>2365375</wp:posOffset>
                </wp:positionV>
                <wp:extent cx="1987550" cy="338455"/>
                <wp:effectExtent l="0" t="0" r="0" b="0"/>
                <wp:wrapNone/>
                <wp:docPr id="12" name="TextBox 4"/>
                <wp:cNvGraphicFramePr/>
                <a:graphic xmlns:a="http://schemas.openxmlformats.org/drawingml/2006/main">
                  <a:graphicData uri="http://schemas.microsoft.com/office/word/2010/wordprocessingShape">
                    <wps:wsp>
                      <wps:cNvSpPr txBox="1"/>
                      <wps:spPr>
                        <a:xfrm>
                          <a:off x="0" y="0"/>
                          <a:ext cx="1987550" cy="338455"/>
                        </a:xfrm>
                        <a:prstGeom prst="rect">
                          <a:avLst/>
                        </a:prstGeom>
                        <a:noFill/>
                      </wps:spPr>
                      <wps:txbx>
                        <w:txbxContent>
                          <w:p w14:paraId="4BAC6B72" w14:textId="77777777" w:rsidR="00F01EBE" w:rsidRPr="00D0572D" w:rsidRDefault="00F01EBE" w:rsidP="00F01EBE">
                            <w:pPr>
                              <w:rPr>
                                <w:rFonts w:cstheme="minorHAnsi"/>
                                <w:kern w:val="24"/>
                                <w:sz w:val="20"/>
                                <w:szCs w:val="20"/>
                              </w:rPr>
                            </w:pPr>
                            <w:r w:rsidRPr="00D0572D">
                              <w:rPr>
                                <w:rFonts w:cstheme="minorHAnsi"/>
                                <w:kern w:val="24"/>
                                <w:sz w:val="20"/>
                                <w:szCs w:val="20"/>
                              </w:rPr>
                              <w:t xml:space="preserve">Image fed into </w:t>
                            </w:r>
                            <w:proofErr w:type="gramStart"/>
                            <w:r w:rsidRPr="00D0572D">
                              <w:rPr>
                                <w:rFonts w:cstheme="minorHAnsi"/>
                                <w:kern w:val="24"/>
                                <w:sz w:val="20"/>
                                <w:szCs w:val="20"/>
                              </w:rPr>
                              <w:t>VAE</w:t>
                            </w:r>
                            <w:proofErr w:type="gramEnd"/>
                          </w:p>
                        </w:txbxContent>
                      </wps:txbx>
                      <wps:bodyPr wrap="square" rtlCol="0">
                        <a:spAutoFit/>
                      </wps:bodyPr>
                    </wps:wsp>
                  </a:graphicData>
                </a:graphic>
              </wp:anchor>
            </w:drawing>
          </mc:Choice>
          <mc:Fallback>
            <w:pict>
              <v:shape w14:anchorId="1D62959E" id="TextBox 4" o:spid="_x0000_s1028" type="#_x0000_t202" style="position:absolute;left:0;text-align:left;margin-left:108.55pt;margin-top:186.25pt;width:156.5pt;height:26.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" filled="f" stroked="f">
                <v:textbox style="mso-fit-shape-to-text:t">
                  <w:txbxContent>
                    <w:p w14:paraId="4BAC6B72" w14:textId="77777777" w:rsidR="00F01EBE" w:rsidRPr="00D0572D" w:rsidRDefault="00F01EBE" w:rsidP="00F01EBE">
                      <w:pPr>
                        <w:rPr>
                          <w:rFonts w:cstheme="minorHAnsi"/>
                          <w:kern w:val="24"/>
                          <w:sz w:val="20"/>
                          <w:szCs w:val="20"/>
                        </w:rPr>
                      </w:pPr>
                      <w:r w:rsidRPr="00D0572D">
                        <w:rPr>
                          <w:rFonts w:cstheme="minorHAnsi"/>
                          <w:kern w:val="24"/>
                          <w:sz w:val="20"/>
                          <w:szCs w:val="20"/>
                        </w:rPr>
                        <w:t xml:space="preserve">Image fed into </w:t>
                      </w:r>
                      <w:proofErr w:type="gramStart"/>
                      <w:r w:rsidRPr="00D0572D">
                        <w:rPr>
                          <w:rFonts w:cstheme="minorHAnsi"/>
                          <w:kern w:val="24"/>
                          <w:sz w:val="20"/>
                          <w:szCs w:val="20"/>
                        </w:rPr>
                        <w:t>VAE</w:t>
                      </w:r>
                      <w:proofErr w:type="gramEnd"/>
                    </w:p>
                  </w:txbxContent>
                </v:textbox>
              </v:shape>
            </w:pict>
          </mc:Fallback>
        </mc:AlternateContent>
      </w:r>
      <w:bookmarkEnd w:id="0"/>
      <w:r w:rsidR="00B3667B">
        <w:rPr>
          <w:noProof/>
        </w:rPr>
        <w:drawing>
          <wp:inline distT="0" distB="0" distL="0" distR="0" wp14:anchorId="2DCEBA2A" wp14:editId="7AD752A9">
            <wp:extent cx="5344271" cy="2695951"/>
            <wp:effectExtent l="0" t="0" r="8890" b="9525"/>
            <wp:docPr id="13" name="Picture 13"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generated im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44271" cy="2695951"/>
                    </a:xfrm>
                    <a:prstGeom prst="rect">
                      <a:avLst/>
                    </a:prstGeom>
                  </pic:spPr>
                </pic:pic>
              </a:graphicData>
            </a:graphic>
          </wp:inline>
        </w:drawing>
      </w:r>
    </w:p>
    <w:p w14:paraId="20AD21AD" w14:textId="16B270D4" w:rsidR="00F01EBE" w:rsidRPr="00D0572D" w:rsidRDefault="00BE0825" w:rsidP="006876D1">
      <w:pPr>
        <w:spacing w:line="240" w:lineRule="auto"/>
        <w:rPr>
          <w:sz w:val="20"/>
          <w:szCs w:val="20"/>
        </w:rPr>
      </w:pPr>
      <w:r w:rsidRPr="00D0572D">
        <w:rPr>
          <w:sz w:val="20"/>
          <w:szCs w:val="20"/>
        </w:rPr>
        <w:t xml:space="preserve">Figure 4: </w:t>
      </w:r>
      <w:r w:rsidR="00F01EBE" w:rsidRPr="00D0572D">
        <w:rPr>
          <w:sz w:val="20"/>
          <w:szCs w:val="20"/>
        </w:rPr>
        <w:t>The quality of the rebuilt image shows the disadvantage to only using 2 latent vectors to represent the entire 24x24 image.</w:t>
      </w:r>
    </w:p>
    <w:p w14:paraId="1033D1B4" w14:textId="56393B92" w:rsidR="00F01EBE" w:rsidRPr="001D4C27" w:rsidRDefault="00B3667B" w:rsidP="006876D1">
      <w:pPr>
        <w:pStyle w:val="Heading2"/>
        <w:jc w:val="center"/>
      </w:pPr>
      <w:r>
        <w:rPr>
          <w:noProof/>
        </w:rPr>
        <w:lastRenderedPageBreak/>
        <w:drawing>
          <wp:inline distT="0" distB="0" distL="0" distR="0" wp14:anchorId="6CAF3650" wp14:editId="288458C7">
            <wp:extent cx="5820587" cy="2467319"/>
            <wp:effectExtent l="0" t="0" r="8890" b="9525"/>
            <wp:docPr id="15" name="Picture 1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20587" cy="2467319"/>
                    </a:xfrm>
                    <a:prstGeom prst="rect">
                      <a:avLst/>
                    </a:prstGeom>
                  </pic:spPr>
                </pic:pic>
              </a:graphicData>
            </a:graphic>
          </wp:inline>
        </w:drawing>
      </w:r>
    </w:p>
    <w:p w14:paraId="7726BFB0" w14:textId="391ACCE5" w:rsidR="00F01EBE" w:rsidRPr="00D0572D" w:rsidRDefault="00BE0825" w:rsidP="006876D1">
      <w:pPr>
        <w:spacing w:line="240" w:lineRule="auto"/>
        <w:rPr>
          <w:sz w:val="20"/>
          <w:szCs w:val="20"/>
        </w:rPr>
      </w:pPr>
      <w:r w:rsidRPr="00D0572D">
        <w:rPr>
          <w:rFonts w:eastAsiaTheme="majorEastAsia"/>
          <w:sz w:val="20"/>
          <w:szCs w:val="20"/>
        </w:rPr>
        <w:t xml:space="preserve">Figure 5: </w:t>
      </w:r>
      <w:r w:rsidR="00F01EBE" w:rsidRPr="00D0572D">
        <w:rPr>
          <w:rFonts w:eastAsiaTheme="majorEastAsia"/>
          <w:sz w:val="20"/>
          <w:szCs w:val="20"/>
        </w:rPr>
        <w:t xml:space="preserve">The larger KL Divergences for the comparisons </w:t>
      </w:r>
      <w:r w:rsidR="00F01EBE" w:rsidRPr="00D0572D">
        <w:rPr>
          <w:rFonts w:eastAsiaTheme="majorEastAsia"/>
          <w:i/>
          <w:iCs/>
          <w:sz w:val="20"/>
          <w:szCs w:val="20"/>
        </w:rPr>
        <w:t>between</w:t>
      </w:r>
      <w:r w:rsidR="00F01EBE" w:rsidRPr="00D0572D">
        <w:rPr>
          <w:rFonts w:eastAsiaTheme="majorEastAsia"/>
          <w:sz w:val="20"/>
          <w:szCs w:val="20"/>
        </w:rPr>
        <w:t xml:space="preserve"> timepoints than those </w:t>
      </w:r>
      <w:r w:rsidR="00F01EBE" w:rsidRPr="00D0572D">
        <w:rPr>
          <w:rFonts w:eastAsiaTheme="majorEastAsia"/>
          <w:i/>
          <w:iCs/>
          <w:sz w:val="20"/>
          <w:szCs w:val="20"/>
        </w:rPr>
        <w:t xml:space="preserve">within </w:t>
      </w:r>
      <w:r w:rsidR="00F01EBE" w:rsidRPr="00D0572D">
        <w:rPr>
          <w:rFonts w:eastAsiaTheme="majorEastAsia"/>
          <w:sz w:val="20"/>
          <w:szCs w:val="20"/>
        </w:rPr>
        <w:t>a timepoint suggests that the VAE is learning the patient’s baseline tumor phenotype.</w:t>
      </w:r>
    </w:p>
    <w:p w14:paraId="07B1E979" w14:textId="4CCB647F" w:rsidR="00F01EBE" w:rsidRPr="00D0572D" w:rsidRDefault="003E5E8B" w:rsidP="006876D1">
      <w:pPr>
        <w:pStyle w:val="Heading2"/>
        <w:rPr>
          <w:b/>
          <w:bCs/>
          <w:sz w:val="28"/>
          <w:szCs w:val="28"/>
        </w:rPr>
      </w:pPr>
      <w:r w:rsidRPr="00D0572D">
        <w:rPr>
          <w:b/>
          <w:bCs/>
          <w:sz w:val="28"/>
          <w:szCs w:val="28"/>
        </w:rPr>
        <w:t>Discussion</w:t>
      </w:r>
    </w:p>
    <w:p w14:paraId="4389E729" w14:textId="5AA8217F" w:rsidR="00F01EBE" w:rsidRPr="00D0572D" w:rsidRDefault="006D79B7" w:rsidP="006876D1">
      <w:pPr>
        <w:spacing w:line="240" w:lineRule="auto"/>
        <w:rPr>
          <w:sz w:val="20"/>
          <w:szCs w:val="20"/>
          <w:lang w:val="en"/>
        </w:rPr>
      </w:pPr>
      <w:r w:rsidRPr="00D0572D">
        <w:rPr>
          <w:sz w:val="20"/>
          <w:szCs w:val="20"/>
          <w:lang w:val="en"/>
        </w:rPr>
        <w:t xml:space="preserve">This work shows the feasibility of using an automated pipeline to create a personalized VAE that can detect tumor divergence during a patient’s breast cancer treatment course. </w:t>
      </w:r>
      <w:r w:rsidR="00F01EBE" w:rsidRPr="00D0572D">
        <w:rPr>
          <w:sz w:val="20"/>
          <w:szCs w:val="20"/>
          <w:lang w:val="en"/>
        </w:rPr>
        <w:t>Future work o</w:t>
      </w:r>
      <w:r w:rsidRPr="00D0572D">
        <w:rPr>
          <w:sz w:val="20"/>
          <w:szCs w:val="20"/>
          <w:lang w:val="en"/>
        </w:rPr>
        <w:t xml:space="preserve">n this topic should </w:t>
      </w:r>
      <w:r w:rsidR="00F01EBE" w:rsidRPr="00D0572D">
        <w:rPr>
          <w:sz w:val="20"/>
          <w:szCs w:val="20"/>
          <w:lang w:val="en"/>
        </w:rPr>
        <w:t xml:space="preserve">focus on better examining the </w:t>
      </w:r>
      <w:r w:rsidRPr="00D0572D">
        <w:rPr>
          <w:sz w:val="20"/>
          <w:szCs w:val="20"/>
          <w:lang w:val="en"/>
        </w:rPr>
        <w:t xml:space="preserve">meaning of the </w:t>
      </w:r>
      <w:r w:rsidR="00F01EBE" w:rsidRPr="00D0572D">
        <w:rPr>
          <w:sz w:val="20"/>
          <w:szCs w:val="20"/>
          <w:lang w:val="en"/>
        </w:rPr>
        <w:t xml:space="preserve">latent space </w:t>
      </w:r>
      <w:r w:rsidRPr="00D0572D">
        <w:rPr>
          <w:sz w:val="20"/>
          <w:szCs w:val="20"/>
          <w:lang w:val="en"/>
        </w:rPr>
        <w:t xml:space="preserve">vectors </w:t>
      </w:r>
      <w:r w:rsidR="00F01EBE" w:rsidRPr="00D0572D">
        <w:rPr>
          <w:sz w:val="20"/>
          <w:szCs w:val="20"/>
          <w:lang w:val="en"/>
        </w:rPr>
        <w:t>of the VAE</w:t>
      </w:r>
      <w:r w:rsidRPr="00D0572D">
        <w:rPr>
          <w:sz w:val="20"/>
          <w:szCs w:val="20"/>
          <w:lang w:val="en"/>
        </w:rPr>
        <w:t xml:space="preserve"> and how they relate to patterns across image channels</w:t>
      </w:r>
      <w:r w:rsidR="00F01EBE" w:rsidRPr="00D0572D">
        <w:rPr>
          <w:sz w:val="20"/>
          <w:szCs w:val="20"/>
          <w:lang w:val="en"/>
        </w:rPr>
        <w:t xml:space="preserve">. Many of the shortcomings of </w:t>
      </w:r>
      <w:r w:rsidRPr="00D0572D">
        <w:rPr>
          <w:sz w:val="20"/>
          <w:szCs w:val="20"/>
          <w:lang w:val="en"/>
        </w:rPr>
        <w:t>this</w:t>
      </w:r>
      <w:r w:rsidR="00F01EBE" w:rsidRPr="00D0572D">
        <w:rPr>
          <w:sz w:val="20"/>
          <w:szCs w:val="20"/>
          <w:lang w:val="en"/>
        </w:rPr>
        <w:t xml:space="preserve"> project have to do with sacrificing the quality of the results for interpretability of the results. For example, adding another dimension to the latent vector would have increased the accuracy of the regenerated image but would make it much harder to quantify the difference between two timepoints as the data would be 3 </w:t>
      </w:r>
      <w:r w:rsidRPr="00D0572D">
        <w:rPr>
          <w:sz w:val="20"/>
          <w:szCs w:val="20"/>
          <w:lang w:val="en"/>
        </w:rPr>
        <w:t>d</w:t>
      </w:r>
      <w:r w:rsidR="00F01EBE" w:rsidRPr="00D0572D">
        <w:rPr>
          <w:sz w:val="20"/>
          <w:szCs w:val="20"/>
          <w:lang w:val="en"/>
        </w:rPr>
        <w:t xml:space="preserve">imensional. Along with that, </w:t>
      </w:r>
      <w:r w:rsidRPr="00D0572D">
        <w:rPr>
          <w:sz w:val="20"/>
          <w:szCs w:val="20"/>
          <w:lang w:val="en"/>
        </w:rPr>
        <w:t>this</w:t>
      </w:r>
      <w:r w:rsidR="00F01EBE" w:rsidRPr="00D0572D">
        <w:rPr>
          <w:sz w:val="20"/>
          <w:szCs w:val="20"/>
          <w:lang w:val="en"/>
        </w:rPr>
        <w:t xml:space="preserve"> project is only able to quantify how much the cancer changed and not if it changed for worse or for better</w:t>
      </w:r>
      <w:r w:rsidRPr="00D0572D">
        <w:rPr>
          <w:sz w:val="20"/>
          <w:szCs w:val="20"/>
          <w:lang w:val="en"/>
        </w:rPr>
        <w:t>, though this information can be interpreted from the biomarker expression plots</w:t>
      </w:r>
      <w:r w:rsidR="00F01EBE" w:rsidRPr="00D0572D">
        <w:rPr>
          <w:sz w:val="20"/>
          <w:szCs w:val="20"/>
          <w:lang w:val="en"/>
        </w:rPr>
        <w:t>. With more analysis of the latent space combined with other analyses performed on the biopsy, it would be possible to better understand how much the cancer changed and why the cancer changed.</w:t>
      </w:r>
    </w:p>
    <w:p w14:paraId="5B685950" w14:textId="77777777" w:rsidR="00290F61" w:rsidRPr="00D0572D" w:rsidRDefault="00290F61" w:rsidP="006876D1">
      <w:pPr>
        <w:pStyle w:val="Heading2"/>
        <w:rPr>
          <w:b/>
          <w:bCs/>
          <w:sz w:val="28"/>
          <w:szCs w:val="28"/>
        </w:rPr>
      </w:pPr>
      <w:r w:rsidRPr="00D0572D">
        <w:rPr>
          <w:b/>
          <w:bCs/>
          <w:sz w:val="28"/>
          <w:szCs w:val="28"/>
        </w:rPr>
        <w:t>Methods</w:t>
      </w:r>
    </w:p>
    <w:p w14:paraId="4D37400F" w14:textId="77777777" w:rsidR="00290F61" w:rsidRPr="00BA3A48" w:rsidRDefault="00290F61" w:rsidP="006876D1">
      <w:pPr>
        <w:pStyle w:val="Heading3"/>
        <w:rPr>
          <w:rFonts w:eastAsia="Times New Roman"/>
          <w:b/>
          <w:bCs/>
          <w:lang w:eastAsia="en-US"/>
        </w:rPr>
      </w:pPr>
      <w:r w:rsidRPr="00BA3A48">
        <w:rPr>
          <w:rFonts w:eastAsia="Times New Roman"/>
          <w:b/>
          <w:bCs/>
          <w:lang w:eastAsia="en-US"/>
        </w:rPr>
        <w:t>Data: </w:t>
      </w:r>
    </w:p>
    <w:p w14:paraId="5BA14BCD" w14:textId="77777777" w:rsidR="00290F61" w:rsidRPr="00D0572D" w:rsidRDefault="00290F61" w:rsidP="006876D1">
      <w:pPr>
        <w:spacing w:line="240" w:lineRule="auto"/>
        <w:rPr>
          <w:rFonts w:eastAsia="Times New Roman"/>
          <w:sz w:val="20"/>
          <w:szCs w:val="20"/>
          <w:lang w:eastAsia="en-US"/>
        </w:rPr>
      </w:pPr>
      <w:r w:rsidRPr="00D0572D">
        <w:rPr>
          <w:rFonts w:eastAsia="Times New Roman"/>
          <w:sz w:val="20"/>
          <w:szCs w:val="20"/>
          <w:lang w:eastAsia="en-US"/>
        </w:rPr>
        <w:t xml:space="preserve">The Human Tumor Atlas Network (HTAN) open dataset of imaging was accessed on their website. One breast cancer patient with serial biopsies each with </w:t>
      </w:r>
      <w:proofErr w:type="spellStart"/>
      <w:r w:rsidRPr="00D0572D">
        <w:rPr>
          <w:rFonts w:eastAsia="Times New Roman"/>
          <w:sz w:val="20"/>
          <w:szCs w:val="20"/>
          <w:lang w:eastAsia="en-US"/>
        </w:rPr>
        <w:t>CyCIF</w:t>
      </w:r>
      <w:proofErr w:type="spellEnd"/>
      <w:r w:rsidRPr="00D0572D">
        <w:rPr>
          <w:rFonts w:eastAsia="Times New Roman"/>
          <w:sz w:val="20"/>
          <w:szCs w:val="20"/>
          <w:lang w:eastAsia="en-US"/>
        </w:rPr>
        <w:t xml:space="preserve"> images available was selected. Imaging data of three biopsies (two at a concurrent time-point and one at a follow-up time-point) for this patient was gathered. Raw </w:t>
      </w:r>
      <w:proofErr w:type="spellStart"/>
      <w:r w:rsidRPr="00D0572D">
        <w:rPr>
          <w:rFonts w:eastAsia="Times New Roman"/>
          <w:sz w:val="20"/>
          <w:szCs w:val="20"/>
          <w:lang w:eastAsia="en-US"/>
        </w:rPr>
        <w:t>CyCIF</w:t>
      </w:r>
      <w:proofErr w:type="spellEnd"/>
      <w:r w:rsidRPr="00D0572D">
        <w:rPr>
          <w:rFonts w:eastAsia="Times New Roman"/>
          <w:sz w:val="20"/>
          <w:szCs w:val="20"/>
          <w:lang w:eastAsia="en-US"/>
        </w:rPr>
        <w:t xml:space="preserve"> files were downloaded via the Google cloud command line interface (</w:t>
      </w:r>
      <w:proofErr w:type="spellStart"/>
      <w:r w:rsidRPr="00D0572D">
        <w:rPr>
          <w:rFonts w:eastAsia="Times New Roman"/>
          <w:sz w:val="20"/>
          <w:szCs w:val="20"/>
          <w:lang w:eastAsia="en-US"/>
        </w:rPr>
        <w:t>gCloud</w:t>
      </w:r>
      <w:proofErr w:type="spellEnd"/>
      <w:r w:rsidRPr="00D0572D">
        <w:rPr>
          <w:rFonts w:eastAsia="Times New Roman"/>
          <w:sz w:val="20"/>
          <w:szCs w:val="20"/>
          <w:lang w:eastAsia="en-US"/>
        </w:rPr>
        <w:t xml:space="preserve"> CLI). All the files were downloaded in DICOM format, the common file type for medical images. Each DICOM file was a slide of the complete biopsy and represented a different marker.</w:t>
      </w:r>
    </w:p>
    <w:p w14:paraId="55E5D4D5" w14:textId="77777777" w:rsidR="00290F61" w:rsidRPr="00D0572D" w:rsidRDefault="00290F61" w:rsidP="006876D1">
      <w:pPr>
        <w:spacing w:line="240" w:lineRule="auto"/>
        <w:rPr>
          <w:rFonts w:eastAsia="Times New Roman"/>
          <w:sz w:val="20"/>
          <w:szCs w:val="20"/>
          <w:lang w:eastAsia="en-US"/>
        </w:rPr>
      </w:pPr>
      <w:r w:rsidRPr="00D0572D">
        <w:rPr>
          <w:rFonts w:eastAsia="Times New Roman"/>
          <w:sz w:val="20"/>
          <w:szCs w:val="20"/>
          <w:lang w:eastAsia="en-US"/>
        </w:rPr>
        <w:t>To run the data through the MCMICRO pipeline, a csv file that contains information on the marker associated with each channel in the DICOM image was necessary. Each DICOM file that was downloaded was associated with a singular marker, so the CSV file was needed to compile all the different markers that were present in the biopsy. Headers for all the DICOM files that were downloaded were parsed and used to generate a csv file for each biopsy.</w:t>
      </w:r>
    </w:p>
    <w:p w14:paraId="6D22D5A7" w14:textId="77777777" w:rsidR="00290F61" w:rsidRPr="00BA3A48" w:rsidRDefault="00290F61" w:rsidP="006876D1">
      <w:pPr>
        <w:pStyle w:val="Heading3"/>
        <w:rPr>
          <w:b/>
          <w:bCs/>
        </w:rPr>
      </w:pPr>
      <w:proofErr w:type="spellStart"/>
      <w:r w:rsidRPr="00BA3A48">
        <w:rPr>
          <w:b/>
          <w:bCs/>
        </w:rPr>
        <w:t>MCMicro</w:t>
      </w:r>
      <w:proofErr w:type="spellEnd"/>
      <w:r w:rsidRPr="00BA3A48">
        <w:rPr>
          <w:b/>
          <w:bCs/>
        </w:rPr>
        <w:t>:</w:t>
      </w:r>
    </w:p>
    <w:p w14:paraId="6C6B658C" w14:textId="77777777" w:rsidR="00290F61" w:rsidRPr="00D0572D" w:rsidRDefault="00290F61" w:rsidP="006876D1">
      <w:pPr>
        <w:spacing w:line="240" w:lineRule="auto"/>
        <w:rPr>
          <w:rFonts w:eastAsia="Times New Roman"/>
          <w:sz w:val="20"/>
          <w:szCs w:val="20"/>
          <w:lang w:eastAsia="en-US"/>
        </w:rPr>
      </w:pPr>
      <w:r w:rsidRPr="00D0572D">
        <w:rPr>
          <w:rFonts w:eastAsia="Times New Roman"/>
          <w:sz w:val="20"/>
          <w:szCs w:val="20"/>
          <w:lang w:eastAsia="en-US"/>
        </w:rPr>
        <w:t xml:space="preserve">Using </w:t>
      </w:r>
      <w:proofErr w:type="spellStart"/>
      <w:r w:rsidRPr="00D0572D">
        <w:rPr>
          <w:rFonts w:eastAsia="Times New Roman"/>
          <w:sz w:val="20"/>
          <w:szCs w:val="20"/>
          <w:lang w:eastAsia="en-US"/>
        </w:rPr>
        <w:t>nextcloud</w:t>
      </w:r>
      <w:proofErr w:type="spellEnd"/>
      <w:r w:rsidRPr="00D0572D">
        <w:rPr>
          <w:rFonts w:eastAsia="Times New Roman"/>
          <w:sz w:val="20"/>
          <w:szCs w:val="20"/>
          <w:lang w:eastAsia="en-US"/>
        </w:rPr>
        <w:t>, the MCMICRO pipeline was run on the dataset with the generated csv file.</w:t>
      </w:r>
    </w:p>
    <w:p w14:paraId="6F238BB1" w14:textId="77777777" w:rsidR="00290F61" w:rsidRPr="00D0572D" w:rsidRDefault="00290F61" w:rsidP="006876D1">
      <w:pPr>
        <w:spacing w:line="240" w:lineRule="auto"/>
        <w:rPr>
          <w:rFonts w:eastAsia="Times New Roman"/>
          <w:sz w:val="20"/>
          <w:szCs w:val="20"/>
          <w:lang w:eastAsia="en-US"/>
        </w:rPr>
      </w:pPr>
      <w:r w:rsidRPr="00D0572D">
        <w:rPr>
          <w:rFonts w:eastAsia="Times New Roman"/>
          <w:sz w:val="20"/>
          <w:szCs w:val="20"/>
          <w:lang w:eastAsia="en-US"/>
        </w:rPr>
        <w:lastRenderedPageBreak/>
        <w:t xml:space="preserve">To create training data for the VAE, the segmentation of the dataset that was performed by the MCMICRO pipeline was used to generate small images (24 by 24 pixels) for each of the cells that were found. The image size is 24 x 24 because it was the maximum size of any given cell that was segmented so it would for sure capture each of the cells that were segmented. The data was then saved into a </w:t>
      </w:r>
      <w:proofErr w:type="spellStart"/>
      <w:r w:rsidRPr="00D0572D">
        <w:rPr>
          <w:rFonts w:eastAsia="Times New Roman"/>
          <w:sz w:val="20"/>
          <w:szCs w:val="20"/>
          <w:lang w:eastAsia="en-US"/>
        </w:rPr>
        <w:t>numpy</w:t>
      </w:r>
      <w:proofErr w:type="spellEnd"/>
      <w:r w:rsidRPr="00D0572D">
        <w:rPr>
          <w:rFonts w:eastAsia="Times New Roman"/>
          <w:sz w:val="20"/>
          <w:szCs w:val="20"/>
          <w:lang w:eastAsia="en-US"/>
        </w:rPr>
        <w:t xml:space="preserve"> array.</w:t>
      </w:r>
    </w:p>
    <w:p w14:paraId="41B2EB6E" w14:textId="77777777" w:rsidR="00290F61" w:rsidRPr="00BA3A48" w:rsidRDefault="00290F61" w:rsidP="006876D1">
      <w:pPr>
        <w:pStyle w:val="Heading3"/>
        <w:rPr>
          <w:rFonts w:eastAsia="Times New Roman"/>
          <w:b/>
          <w:bCs/>
          <w:lang w:eastAsia="en-US"/>
        </w:rPr>
      </w:pPr>
      <w:r w:rsidRPr="00BA3A48">
        <w:rPr>
          <w:rFonts w:eastAsia="Times New Roman"/>
          <w:b/>
          <w:bCs/>
          <w:lang w:eastAsia="en-US"/>
        </w:rPr>
        <w:t>VAE:</w:t>
      </w:r>
    </w:p>
    <w:p w14:paraId="07FEA49F" w14:textId="77777777" w:rsidR="00290F61" w:rsidRPr="00D0572D" w:rsidRDefault="00290F61" w:rsidP="006876D1">
      <w:pPr>
        <w:spacing w:line="240" w:lineRule="auto"/>
        <w:rPr>
          <w:rFonts w:eastAsia="Times New Roman"/>
          <w:sz w:val="20"/>
          <w:szCs w:val="20"/>
          <w:lang w:eastAsia="en-US"/>
        </w:rPr>
      </w:pPr>
      <w:r w:rsidRPr="00D0572D">
        <w:rPr>
          <w:rFonts w:eastAsia="Times New Roman"/>
          <w:sz w:val="20"/>
          <w:szCs w:val="20"/>
          <w:lang w:eastAsia="en-US"/>
        </w:rPr>
        <w:t xml:space="preserve">The Variational Auto-Encoder was created using </w:t>
      </w:r>
      <w:proofErr w:type="spellStart"/>
      <w:r w:rsidRPr="00D0572D">
        <w:rPr>
          <w:rFonts w:eastAsia="Times New Roman"/>
          <w:sz w:val="20"/>
          <w:szCs w:val="20"/>
          <w:lang w:eastAsia="en-US"/>
        </w:rPr>
        <w:t>Keras</w:t>
      </w:r>
      <w:proofErr w:type="spellEnd"/>
      <w:r w:rsidRPr="00D0572D">
        <w:rPr>
          <w:rFonts w:eastAsia="Times New Roman"/>
          <w:sz w:val="20"/>
          <w:szCs w:val="20"/>
          <w:lang w:eastAsia="en-US"/>
        </w:rPr>
        <w:t xml:space="preserve">, a neural network library. The model that was created has 4 2D convolutional layers, 2 dense layers, 1 flatten layer, and 1 2D Convolutional up sampling layer. To train the model, saved data was loaded in the form of a </w:t>
      </w:r>
      <w:proofErr w:type="spellStart"/>
      <w:r w:rsidRPr="00D0572D">
        <w:rPr>
          <w:rFonts w:eastAsia="Times New Roman"/>
          <w:sz w:val="20"/>
          <w:szCs w:val="20"/>
          <w:lang w:eastAsia="en-US"/>
        </w:rPr>
        <w:t>numpy</w:t>
      </w:r>
      <w:proofErr w:type="spellEnd"/>
      <w:r w:rsidRPr="00D0572D">
        <w:rPr>
          <w:rFonts w:eastAsia="Times New Roman"/>
          <w:sz w:val="20"/>
          <w:szCs w:val="20"/>
          <w:lang w:eastAsia="en-US"/>
        </w:rPr>
        <w:t xml:space="preserve"> array and then partitioned so that 75% of the data stored in the file was used for training while the other 25% was used for testing.</w:t>
      </w:r>
    </w:p>
    <w:p w14:paraId="426EAD5C" w14:textId="740B5D9C" w:rsidR="00290F61" w:rsidRPr="00D0572D" w:rsidRDefault="00290F61" w:rsidP="006876D1">
      <w:pPr>
        <w:spacing w:line="240" w:lineRule="auto"/>
        <w:rPr>
          <w:rFonts w:eastAsia="Times New Roman"/>
          <w:sz w:val="20"/>
          <w:szCs w:val="20"/>
          <w:lang w:eastAsia="en-US"/>
        </w:rPr>
      </w:pPr>
      <w:r w:rsidRPr="00D0572D">
        <w:rPr>
          <w:rFonts w:eastAsia="Times New Roman"/>
          <w:sz w:val="20"/>
          <w:szCs w:val="20"/>
          <w:lang w:eastAsia="en-US"/>
        </w:rPr>
        <w:t xml:space="preserve">The VAE was trained on one biopsy from one time point and tested on held out test data from the same biopsy/time point, a different biopsy at the same time point, and a different biopsy </w:t>
      </w:r>
      <w:proofErr w:type="gramStart"/>
      <w:r w:rsidRPr="00D0572D">
        <w:rPr>
          <w:rFonts w:eastAsia="Times New Roman"/>
          <w:sz w:val="20"/>
          <w:szCs w:val="20"/>
          <w:lang w:eastAsia="en-US"/>
        </w:rPr>
        <w:t>at a later time</w:t>
      </w:r>
      <w:proofErr w:type="gramEnd"/>
      <w:r w:rsidRPr="00D0572D">
        <w:rPr>
          <w:rFonts w:eastAsia="Times New Roman"/>
          <w:sz w:val="20"/>
          <w:szCs w:val="20"/>
          <w:lang w:eastAsia="en-US"/>
        </w:rPr>
        <w:t xml:space="preserve"> point, The latent vectors of each run were visualized and used to quantify how much the cancer changed. The KL divergence statistic was used to quantify the difference in the probability distributions.</w:t>
      </w:r>
    </w:p>
    <w:p w14:paraId="3672E5E3" w14:textId="57598280" w:rsidR="00F01EBE" w:rsidRPr="00D0572D" w:rsidRDefault="003E5E8B" w:rsidP="006876D1">
      <w:pPr>
        <w:pStyle w:val="Heading2"/>
        <w:rPr>
          <w:b/>
          <w:bCs/>
          <w:sz w:val="28"/>
          <w:szCs w:val="28"/>
        </w:rPr>
      </w:pPr>
      <w:r w:rsidRPr="00D0572D">
        <w:rPr>
          <w:b/>
          <w:bCs/>
          <w:sz w:val="28"/>
          <w:szCs w:val="28"/>
        </w:rPr>
        <w:t>Conclusion</w:t>
      </w:r>
    </w:p>
    <w:p w14:paraId="6AFD97FA" w14:textId="0A42063D" w:rsidR="00252CC6" w:rsidRPr="00D0572D" w:rsidRDefault="00F01EBE" w:rsidP="006876D1">
      <w:pPr>
        <w:spacing w:line="240" w:lineRule="auto"/>
        <w:rPr>
          <w:sz w:val="20"/>
          <w:szCs w:val="20"/>
        </w:rPr>
      </w:pPr>
      <w:r w:rsidRPr="00D0572D">
        <w:rPr>
          <w:sz w:val="20"/>
          <w:szCs w:val="20"/>
        </w:rPr>
        <w:t>This project applied a Deep Learning-based segmentation module to quantify tumor marker</w:t>
      </w:r>
      <w:r w:rsidR="00252CC6" w:rsidRPr="00D0572D">
        <w:rPr>
          <w:sz w:val="20"/>
          <w:szCs w:val="20"/>
        </w:rPr>
        <w:t xml:space="preserve"> </w:t>
      </w:r>
      <w:r w:rsidRPr="00D0572D">
        <w:rPr>
          <w:sz w:val="20"/>
          <w:szCs w:val="20"/>
        </w:rPr>
        <w:t>expression in breast cancer molecular imaging over time as a patient underwent breast cancer treatment. A VAE trained on baseline data showed that it was able to track and quantify the differences in single-cell expression over time. Future research on this topic should focus on validating this pipeline in multiple other subjects who have serial biopsies and better understanding the implications in tumor progression from the latent space changes.</w:t>
      </w:r>
    </w:p>
    <w:p w14:paraId="2F09FE60" w14:textId="7F3AD9E4" w:rsidR="00290F61" w:rsidRPr="00D0572D" w:rsidRDefault="00290F61" w:rsidP="006876D1">
      <w:pPr>
        <w:pStyle w:val="Heading2"/>
        <w:rPr>
          <w:b/>
          <w:bCs/>
          <w:sz w:val="28"/>
          <w:szCs w:val="28"/>
        </w:rPr>
      </w:pPr>
      <w:r w:rsidRPr="00D0572D">
        <w:rPr>
          <w:b/>
          <w:bCs/>
          <w:sz w:val="28"/>
          <w:szCs w:val="28"/>
        </w:rPr>
        <w:t>Acknowledgments</w:t>
      </w:r>
    </w:p>
    <w:p w14:paraId="681E2120" w14:textId="22D7895B" w:rsidR="00290F61" w:rsidRPr="00D0572D" w:rsidRDefault="00290F61" w:rsidP="006876D1">
      <w:pPr>
        <w:spacing w:line="240" w:lineRule="auto"/>
        <w:rPr>
          <w:rFonts w:eastAsia="Times New Roman"/>
          <w:sz w:val="20"/>
          <w:szCs w:val="20"/>
        </w:rPr>
      </w:pPr>
      <w:r w:rsidRPr="00D0572D">
        <w:rPr>
          <w:sz w:val="20"/>
          <w:szCs w:val="20"/>
        </w:rPr>
        <w:t>I would like to thank our computer science teacher and guide Mr. Kevin Hare for the support and encouragement to complete this project. I would like to acknowledge the guidance and help received from Mr. Gunvant Chaudhari, who taught me cancer biology and machine learning concepts that helped me to implement this project. Finally, I would like to thank my parents for being a source of information and providing the components, supplies needed for this project and to proofread the draft write-ups and material to evolve to the current version.</w:t>
      </w:r>
    </w:p>
    <w:p w14:paraId="722EBB44" w14:textId="7C0D4327" w:rsidR="00290F61" w:rsidRPr="00D0572D" w:rsidRDefault="00290F61" w:rsidP="006876D1">
      <w:pPr>
        <w:pStyle w:val="Heading2"/>
        <w:rPr>
          <w:b/>
          <w:bCs/>
          <w:sz w:val="28"/>
          <w:szCs w:val="28"/>
        </w:rPr>
      </w:pPr>
      <w:r w:rsidRPr="00D0572D">
        <w:rPr>
          <w:b/>
          <w:bCs/>
          <w:sz w:val="28"/>
          <w:szCs w:val="28"/>
        </w:rPr>
        <w:t>References</w:t>
      </w:r>
    </w:p>
    <w:p w14:paraId="1E5B2634" w14:textId="3D0F2908" w:rsidR="006773FF" w:rsidRDefault="00252CC6" w:rsidP="00D0572D">
      <w:pPr>
        <w:pStyle w:val="Bibliography"/>
        <w:spacing w:line="240" w:lineRule="auto"/>
        <w:rPr>
          <w:rFonts w:ascii="Times New Roman" w:cs="Times New Roman"/>
          <w:color w:val="000000"/>
          <w:sz w:val="20"/>
          <w:szCs w:val="20"/>
        </w:rPr>
      </w:pPr>
      <w:r w:rsidRPr="00D0572D">
        <w:rPr>
          <w:sz w:val="20"/>
          <w:szCs w:val="20"/>
        </w:rPr>
        <w:fldChar w:fldCharType="begin"/>
      </w:r>
      <w:r w:rsidRPr="00D0572D">
        <w:rPr>
          <w:sz w:val="20"/>
          <w:szCs w:val="20"/>
        </w:rPr>
        <w:instrText xml:space="preserve"> ADDIN ZOTERO_BIBL {"uncited":[],"omitted":[],"custom":[]} CSL_BIBLIOGRAPHY </w:instrText>
      </w:r>
      <w:r w:rsidRPr="00D0572D">
        <w:rPr>
          <w:sz w:val="20"/>
          <w:szCs w:val="20"/>
        </w:rPr>
        <w:fldChar w:fldCharType="separate"/>
      </w:r>
      <w:r w:rsidRPr="00D0572D">
        <w:rPr>
          <w:rFonts w:ascii="Times New Roman" w:cs="Times New Roman"/>
          <w:color w:val="000000"/>
          <w:sz w:val="20"/>
          <w:szCs w:val="20"/>
        </w:rPr>
        <w:t>1.</w:t>
      </w:r>
      <w:r w:rsidRPr="00D0572D">
        <w:rPr>
          <w:rFonts w:ascii="Times New Roman" w:cs="Times New Roman"/>
          <w:color w:val="000000"/>
          <w:sz w:val="20"/>
          <w:szCs w:val="20"/>
        </w:rPr>
        <w:tab/>
        <w:t xml:space="preserve">Wu, F. </w:t>
      </w:r>
      <w:r w:rsidRPr="00D0572D">
        <w:rPr>
          <w:rFonts w:ascii="Times New Roman" w:cs="Times New Roman"/>
          <w:i/>
          <w:iCs/>
          <w:color w:val="000000"/>
          <w:sz w:val="20"/>
          <w:szCs w:val="20"/>
        </w:rPr>
        <w:t>et al.</w:t>
      </w:r>
      <w:r w:rsidRPr="00D0572D">
        <w:rPr>
          <w:rFonts w:ascii="Times New Roman" w:cs="Times New Roman"/>
          <w:color w:val="000000"/>
          <w:sz w:val="20"/>
          <w:szCs w:val="20"/>
        </w:rPr>
        <w:t xml:space="preserve"> Single-cell profiling of tumor heterogeneity and the microenvironment in advanced non-small cell lung cancer. </w:t>
      </w:r>
      <w:r w:rsidRPr="00D0572D">
        <w:rPr>
          <w:rFonts w:ascii="Times New Roman" w:cs="Times New Roman"/>
          <w:i/>
          <w:iCs/>
          <w:color w:val="000000"/>
          <w:sz w:val="20"/>
          <w:szCs w:val="20"/>
        </w:rPr>
        <w:t>Nat. Commun.</w:t>
      </w:r>
      <w:r w:rsidRPr="00D0572D">
        <w:rPr>
          <w:rFonts w:ascii="Times New Roman" w:cs="Times New Roman"/>
          <w:color w:val="000000"/>
          <w:sz w:val="20"/>
          <w:szCs w:val="20"/>
        </w:rPr>
        <w:t xml:space="preserve"> </w:t>
      </w:r>
      <w:r w:rsidRPr="00D0572D">
        <w:rPr>
          <w:rFonts w:ascii="Times New Roman" w:cs="Times New Roman"/>
          <w:b/>
          <w:bCs/>
          <w:color w:val="000000"/>
          <w:sz w:val="20"/>
          <w:szCs w:val="20"/>
        </w:rPr>
        <w:t>12</w:t>
      </w:r>
      <w:r w:rsidRPr="00D0572D">
        <w:rPr>
          <w:rFonts w:ascii="Times New Roman" w:cs="Times New Roman"/>
          <w:color w:val="000000"/>
          <w:sz w:val="20"/>
          <w:szCs w:val="20"/>
        </w:rPr>
        <w:t>, 2540 (2021).</w:t>
      </w:r>
    </w:p>
    <w:p w14:paraId="09A5F63F" w14:textId="77777777" w:rsidR="00D0572D" w:rsidRPr="00D0572D" w:rsidRDefault="00D0572D" w:rsidP="00D0572D"/>
    <w:p w14:paraId="2270ADB8" w14:textId="77777777" w:rsidR="00252CC6" w:rsidRPr="00D0572D" w:rsidRDefault="00252CC6" w:rsidP="006876D1">
      <w:pPr>
        <w:pStyle w:val="Bibliography"/>
        <w:spacing w:line="240" w:lineRule="auto"/>
        <w:rPr>
          <w:rFonts w:ascii="Times New Roman" w:cs="Times New Roman"/>
          <w:color w:val="000000"/>
          <w:sz w:val="20"/>
          <w:szCs w:val="20"/>
        </w:rPr>
      </w:pPr>
      <w:r w:rsidRPr="00D0572D">
        <w:rPr>
          <w:rFonts w:ascii="Times New Roman" w:cs="Times New Roman"/>
          <w:color w:val="000000"/>
          <w:sz w:val="20"/>
          <w:szCs w:val="20"/>
        </w:rPr>
        <w:t>2.</w:t>
      </w:r>
      <w:r w:rsidRPr="00D0572D">
        <w:rPr>
          <w:rFonts w:ascii="Times New Roman" w:cs="Times New Roman"/>
          <w:color w:val="000000"/>
          <w:sz w:val="20"/>
          <w:szCs w:val="20"/>
        </w:rPr>
        <w:tab/>
        <w:t>Breast Cancer Hormone Receptor Status | Estrogen Receptor. https://www.cancer.org/cancer/types/breast-cancer/understanding-a-breast-cancer-diagnosis/breast-cancer-hormone-receptor-status.html.</w:t>
      </w:r>
    </w:p>
    <w:p w14:paraId="7B37F1C5" w14:textId="77777777" w:rsidR="006773FF" w:rsidRPr="00D0572D" w:rsidRDefault="006773FF" w:rsidP="006773FF">
      <w:pPr>
        <w:rPr>
          <w:sz w:val="20"/>
          <w:szCs w:val="20"/>
        </w:rPr>
      </w:pPr>
    </w:p>
    <w:p w14:paraId="57C5363F" w14:textId="77777777" w:rsidR="00252CC6" w:rsidRPr="00D0572D" w:rsidRDefault="00252CC6" w:rsidP="006876D1">
      <w:pPr>
        <w:pStyle w:val="Bibliography"/>
        <w:spacing w:line="240" w:lineRule="auto"/>
        <w:rPr>
          <w:rFonts w:ascii="Times New Roman" w:cs="Times New Roman"/>
          <w:color w:val="000000"/>
          <w:sz w:val="20"/>
          <w:szCs w:val="20"/>
        </w:rPr>
      </w:pPr>
      <w:r w:rsidRPr="00D0572D">
        <w:rPr>
          <w:rFonts w:ascii="Times New Roman" w:cs="Times New Roman"/>
          <w:color w:val="000000"/>
          <w:sz w:val="20"/>
          <w:szCs w:val="20"/>
        </w:rPr>
        <w:t>3.</w:t>
      </w:r>
      <w:r w:rsidRPr="00D0572D">
        <w:rPr>
          <w:rFonts w:ascii="Times New Roman" w:cs="Times New Roman"/>
          <w:color w:val="000000"/>
          <w:sz w:val="20"/>
          <w:szCs w:val="20"/>
        </w:rPr>
        <w:tab/>
        <w:t>Estrogen Receptor, Progesterone Receptor Tests: MedlinePlus Medical Test. https://medlineplus.gov/lab-tests/estrogen-receptor-progesterone-receptor-tests/.</w:t>
      </w:r>
    </w:p>
    <w:p w14:paraId="4C3F5190" w14:textId="77777777" w:rsidR="006773FF" w:rsidRPr="00D0572D" w:rsidRDefault="006773FF" w:rsidP="006773FF">
      <w:pPr>
        <w:rPr>
          <w:sz w:val="20"/>
          <w:szCs w:val="20"/>
        </w:rPr>
      </w:pPr>
    </w:p>
    <w:p w14:paraId="43BEF6E3" w14:textId="77777777" w:rsidR="00252CC6" w:rsidRPr="00D0572D" w:rsidRDefault="00252CC6" w:rsidP="006876D1">
      <w:pPr>
        <w:pStyle w:val="Bibliography"/>
        <w:spacing w:line="240" w:lineRule="auto"/>
        <w:rPr>
          <w:rFonts w:ascii="Times New Roman" w:cs="Times New Roman"/>
          <w:color w:val="000000"/>
          <w:sz w:val="20"/>
          <w:szCs w:val="20"/>
        </w:rPr>
      </w:pPr>
      <w:r w:rsidRPr="00D0572D">
        <w:rPr>
          <w:rFonts w:ascii="Times New Roman" w:cs="Times New Roman"/>
          <w:color w:val="000000"/>
          <w:sz w:val="20"/>
          <w:szCs w:val="20"/>
        </w:rPr>
        <w:t>4.</w:t>
      </w:r>
      <w:r w:rsidRPr="00D0572D">
        <w:rPr>
          <w:rFonts w:ascii="Times New Roman" w:cs="Times New Roman"/>
          <w:color w:val="000000"/>
          <w:sz w:val="20"/>
          <w:szCs w:val="20"/>
        </w:rPr>
        <w:tab/>
        <w:t xml:space="preserve">Gupta, R. K. &amp; Kuznicki, J. Biological and Medical Importance of Cellular Heterogeneity Deciphered by Single-Cell RNA Sequencing. </w:t>
      </w:r>
      <w:r w:rsidRPr="00D0572D">
        <w:rPr>
          <w:rFonts w:ascii="Times New Roman" w:cs="Times New Roman"/>
          <w:i/>
          <w:iCs/>
          <w:color w:val="000000"/>
          <w:sz w:val="20"/>
          <w:szCs w:val="20"/>
        </w:rPr>
        <w:t>Cells</w:t>
      </w:r>
      <w:r w:rsidRPr="00D0572D">
        <w:rPr>
          <w:rFonts w:ascii="Times New Roman" w:cs="Times New Roman"/>
          <w:color w:val="000000"/>
          <w:sz w:val="20"/>
          <w:szCs w:val="20"/>
        </w:rPr>
        <w:t xml:space="preserve"> </w:t>
      </w:r>
      <w:r w:rsidRPr="00D0572D">
        <w:rPr>
          <w:rFonts w:ascii="Times New Roman" w:cs="Times New Roman"/>
          <w:b/>
          <w:bCs/>
          <w:color w:val="000000"/>
          <w:sz w:val="20"/>
          <w:szCs w:val="20"/>
        </w:rPr>
        <w:t>9</w:t>
      </w:r>
      <w:r w:rsidRPr="00D0572D">
        <w:rPr>
          <w:rFonts w:ascii="Times New Roman" w:cs="Times New Roman"/>
          <w:color w:val="000000"/>
          <w:sz w:val="20"/>
          <w:szCs w:val="20"/>
        </w:rPr>
        <w:t>, 1751 (2020).</w:t>
      </w:r>
    </w:p>
    <w:p w14:paraId="1E1BBC77" w14:textId="77777777" w:rsidR="006773FF" w:rsidRPr="00D0572D" w:rsidRDefault="006773FF" w:rsidP="006773FF">
      <w:pPr>
        <w:rPr>
          <w:sz w:val="20"/>
          <w:szCs w:val="20"/>
        </w:rPr>
      </w:pPr>
    </w:p>
    <w:p w14:paraId="101240CE" w14:textId="77777777" w:rsidR="00252CC6" w:rsidRPr="00D0572D" w:rsidRDefault="00252CC6" w:rsidP="006876D1">
      <w:pPr>
        <w:pStyle w:val="Bibliography"/>
        <w:spacing w:line="240" w:lineRule="auto"/>
        <w:rPr>
          <w:rFonts w:ascii="Times New Roman" w:cs="Times New Roman"/>
          <w:color w:val="000000"/>
          <w:sz w:val="20"/>
          <w:szCs w:val="20"/>
        </w:rPr>
      </w:pPr>
      <w:r w:rsidRPr="00D0572D">
        <w:rPr>
          <w:rFonts w:ascii="Times New Roman" w:cs="Times New Roman"/>
          <w:color w:val="000000"/>
          <w:sz w:val="20"/>
          <w:szCs w:val="20"/>
        </w:rPr>
        <w:lastRenderedPageBreak/>
        <w:t>5.</w:t>
      </w:r>
      <w:r w:rsidRPr="00D0572D">
        <w:rPr>
          <w:rFonts w:ascii="Times New Roman" w:cs="Times New Roman"/>
          <w:color w:val="000000"/>
          <w:sz w:val="20"/>
          <w:szCs w:val="20"/>
        </w:rPr>
        <w:tab/>
        <w:t xml:space="preserve">Li, A. </w:t>
      </w:r>
      <w:r w:rsidRPr="00D0572D">
        <w:rPr>
          <w:rFonts w:ascii="Times New Roman" w:cs="Times New Roman"/>
          <w:i/>
          <w:iCs/>
          <w:color w:val="000000"/>
          <w:sz w:val="20"/>
          <w:szCs w:val="20"/>
        </w:rPr>
        <w:t>et al.</w:t>
      </w:r>
      <w:r w:rsidRPr="00D0572D">
        <w:rPr>
          <w:rFonts w:ascii="Times New Roman" w:cs="Times New Roman"/>
          <w:color w:val="000000"/>
          <w:sz w:val="20"/>
          <w:szCs w:val="20"/>
        </w:rPr>
        <w:t xml:space="preserve"> Characterizing advanced breast cancer heterogeneity and treatment resistance through serial biopsies and comprehensive analytics. </w:t>
      </w:r>
      <w:r w:rsidRPr="00D0572D">
        <w:rPr>
          <w:rFonts w:ascii="Times New Roman" w:cs="Times New Roman"/>
          <w:i/>
          <w:iCs/>
          <w:color w:val="000000"/>
          <w:sz w:val="20"/>
          <w:szCs w:val="20"/>
        </w:rPr>
        <w:t>Npj Precis. Oncol.</w:t>
      </w:r>
      <w:r w:rsidRPr="00D0572D">
        <w:rPr>
          <w:rFonts w:ascii="Times New Roman" w:cs="Times New Roman"/>
          <w:color w:val="000000"/>
          <w:sz w:val="20"/>
          <w:szCs w:val="20"/>
        </w:rPr>
        <w:t xml:space="preserve"> </w:t>
      </w:r>
      <w:r w:rsidRPr="00D0572D">
        <w:rPr>
          <w:rFonts w:ascii="Times New Roman" w:cs="Times New Roman"/>
          <w:b/>
          <w:bCs/>
          <w:color w:val="000000"/>
          <w:sz w:val="20"/>
          <w:szCs w:val="20"/>
        </w:rPr>
        <w:t>5</w:t>
      </w:r>
      <w:r w:rsidRPr="00D0572D">
        <w:rPr>
          <w:rFonts w:ascii="Times New Roman" w:cs="Times New Roman"/>
          <w:color w:val="000000"/>
          <w:sz w:val="20"/>
          <w:szCs w:val="20"/>
        </w:rPr>
        <w:t>, 1–12 (2021).</w:t>
      </w:r>
    </w:p>
    <w:p w14:paraId="5EFC35AF" w14:textId="77777777" w:rsidR="006773FF" w:rsidRPr="00D0572D" w:rsidRDefault="006773FF" w:rsidP="006773FF">
      <w:pPr>
        <w:rPr>
          <w:sz w:val="20"/>
          <w:szCs w:val="20"/>
        </w:rPr>
      </w:pPr>
    </w:p>
    <w:p w14:paraId="274CC640" w14:textId="77777777" w:rsidR="00252CC6" w:rsidRPr="00D0572D" w:rsidRDefault="00252CC6" w:rsidP="006876D1">
      <w:pPr>
        <w:pStyle w:val="Bibliography"/>
        <w:spacing w:line="240" w:lineRule="auto"/>
        <w:rPr>
          <w:rFonts w:ascii="Times New Roman" w:cs="Times New Roman"/>
          <w:color w:val="000000"/>
          <w:sz w:val="20"/>
          <w:szCs w:val="20"/>
        </w:rPr>
      </w:pPr>
      <w:r w:rsidRPr="00D0572D">
        <w:rPr>
          <w:rFonts w:ascii="Times New Roman" w:cs="Times New Roman"/>
          <w:color w:val="000000"/>
          <w:sz w:val="20"/>
          <w:szCs w:val="20"/>
        </w:rPr>
        <w:t>6.</w:t>
      </w:r>
      <w:r w:rsidRPr="00D0572D">
        <w:rPr>
          <w:rFonts w:ascii="Times New Roman" w:cs="Times New Roman"/>
          <w:color w:val="000000"/>
          <w:sz w:val="20"/>
          <w:szCs w:val="20"/>
        </w:rPr>
        <w:tab/>
        <w:t xml:space="preserve">Lin, J.-R., Fallahi-Sichani, M., Chen, J.-Y. &amp; Sorger, P. K. Cyclic Immunofluorescence (CycIF), A Highly Multiplexed Method for Single-cell Imaging. </w:t>
      </w:r>
      <w:r w:rsidRPr="00D0572D">
        <w:rPr>
          <w:rFonts w:ascii="Times New Roman" w:cs="Times New Roman"/>
          <w:i/>
          <w:iCs/>
          <w:color w:val="000000"/>
          <w:sz w:val="20"/>
          <w:szCs w:val="20"/>
        </w:rPr>
        <w:t>Curr. Protoc. Chem. Biol.</w:t>
      </w:r>
      <w:r w:rsidRPr="00D0572D">
        <w:rPr>
          <w:rFonts w:ascii="Times New Roman" w:cs="Times New Roman"/>
          <w:color w:val="000000"/>
          <w:sz w:val="20"/>
          <w:szCs w:val="20"/>
        </w:rPr>
        <w:t xml:space="preserve"> </w:t>
      </w:r>
      <w:r w:rsidRPr="00D0572D">
        <w:rPr>
          <w:rFonts w:ascii="Times New Roman" w:cs="Times New Roman"/>
          <w:b/>
          <w:bCs/>
          <w:color w:val="000000"/>
          <w:sz w:val="20"/>
          <w:szCs w:val="20"/>
        </w:rPr>
        <w:t>8</w:t>
      </w:r>
      <w:r w:rsidRPr="00D0572D">
        <w:rPr>
          <w:rFonts w:ascii="Times New Roman" w:cs="Times New Roman"/>
          <w:color w:val="000000"/>
          <w:sz w:val="20"/>
          <w:szCs w:val="20"/>
        </w:rPr>
        <w:t>, 251–264 (2016).</w:t>
      </w:r>
    </w:p>
    <w:p w14:paraId="18722ABC" w14:textId="77777777" w:rsidR="006773FF" w:rsidRPr="00D0572D" w:rsidRDefault="006773FF" w:rsidP="006773FF">
      <w:pPr>
        <w:rPr>
          <w:sz w:val="20"/>
          <w:szCs w:val="20"/>
        </w:rPr>
      </w:pPr>
    </w:p>
    <w:p w14:paraId="475E4D8E" w14:textId="77777777" w:rsidR="00252CC6" w:rsidRPr="00D0572D" w:rsidRDefault="00252CC6" w:rsidP="006876D1">
      <w:pPr>
        <w:pStyle w:val="Bibliography"/>
        <w:spacing w:line="240" w:lineRule="auto"/>
        <w:rPr>
          <w:rFonts w:ascii="Times New Roman" w:cs="Times New Roman"/>
          <w:color w:val="000000"/>
          <w:sz w:val="20"/>
          <w:szCs w:val="20"/>
        </w:rPr>
      </w:pPr>
      <w:r w:rsidRPr="00D0572D">
        <w:rPr>
          <w:rFonts w:ascii="Times New Roman" w:cs="Times New Roman"/>
          <w:color w:val="000000"/>
          <w:sz w:val="20"/>
          <w:szCs w:val="20"/>
        </w:rPr>
        <w:t>7.</w:t>
      </w:r>
      <w:r w:rsidRPr="00D0572D">
        <w:rPr>
          <w:rFonts w:ascii="Times New Roman" w:cs="Times New Roman"/>
          <w:color w:val="000000"/>
          <w:sz w:val="20"/>
          <w:szCs w:val="20"/>
        </w:rPr>
        <w:tab/>
        <w:t xml:space="preserve">Basu, K., Sinha, R., Ong, A. &amp; Basu, T. Artificial Intelligence: How is It Changing Medical Sciences and Its Future? </w:t>
      </w:r>
      <w:r w:rsidRPr="00D0572D">
        <w:rPr>
          <w:rFonts w:ascii="Times New Roman" w:cs="Times New Roman"/>
          <w:i/>
          <w:iCs/>
          <w:color w:val="000000"/>
          <w:sz w:val="20"/>
          <w:szCs w:val="20"/>
        </w:rPr>
        <w:t>Indian J. Dermatol.</w:t>
      </w:r>
      <w:r w:rsidRPr="00D0572D">
        <w:rPr>
          <w:rFonts w:ascii="Times New Roman" w:cs="Times New Roman"/>
          <w:color w:val="000000"/>
          <w:sz w:val="20"/>
          <w:szCs w:val="20"/>
        </w:rPr>
        <w:t xml:space="preserve"> </w:t>
      </w:r>
      <w:r w:rsidRPr="00D0572D">
        <w:rPr>
          <w:rFonts w:ascii="Times New Roman" w:cs="Times New Roman"/>
          <w:b/>
          <w:bCs/>
          <w:color w:val="000000"/>
          <w:sz w:val="20"/>
          <w:szCs w:val="20"/>
        </w:rPr>
        <w:t>65</w:t>
      </w:r>
      <w:r w:rsidRPr="00D0572D">
        <w:rPr>
          <w:rFonts w:ascii="Times New Roman" w:cs="Times New Roman"/>
          <w:color w:val="000000"/>
          <w:sz w:val="20"/>
          <w:szCs w:val="20"/>
        </w:rPr>
        <w:t>, 365–370 (2020).</w:t>
      </w:r>
    </w:p>
    <w:p w14:paraId="59B446C2" w14:textId="77777777" w:rsidR="006773FF" w:rsidRPr="00D0572D" w:rsidRDefault="006773FF" w:rsidP="006773FF">
      <w:pPr>
        <w:rPr>
          <w:sz w:val="20"/>
          <w:szCs w:val="20"/>
        </w:rPr>
      </w:pPr>
    </w:p>
    <w:p w14:paraId="07D2254B" w14:textId="77777777" w:rsidR="00252CC6" w:rsidRPr="00D0572D" w:rsidRDefault="00252CC6" w:rsidP="006876D1">
      <w:pPr>
        <w:pStyle w:val="Bibliography"/>
        <w:spacing w:line="240" w:lineRule="auto"/>
        <w:rPr>
          <w:rFonts w:ascii="Times New Roman" w:cs="Times New Roman"/>
          <w:color w:val="000000"/>
          <w:sz w:val="20"/>
          <w:szCs w:val="20"/>
        </w:rPr>
      </w:pPr>
      <w:r w:rsidRPr="00D0572D">
        <w:rPr>
          <w:rFonts w:ascii="Times New Roman" w:cs="Times New Roman"/>
          <w:color w:val="000000"/>
          <w:sz w:val="20"/>
          <w:szCs w:val="20"/>
        </w:rPr>
        <w:t>8.</w:t>
      </w:r>
      <w:r w:rsidRPr="00D0572D">
        <w:rPr>
          <w:rFonts w:ascii="Times New Roman" w:cs="Times New Roman"/>
          <w:color w:val="000000"/>
          <w:sz w:val="20"/>
          <w:szCs w:val="20"/>
        </w:rPr>
        <w:tab/>
        <w:t xml:space="preserve">Cheung, A. M.-Y. </w:t>
      </w:r>
      <w:r w:rsidRPr="00D0572D">
        <w:rPr>
          <w:rFonts w:ascii="Times New Roman" w:cs="Times New Roman"/>
          <w:i/>
          <w:iCs/>
          <w:color w:val="000000"/>
          <w:sz w:val="20"/>
          <w:szCs w:val="20"/>
        </w:rPr>
        <w:t>et al.</w:t>
      </w:r>
      <w:r w:rsidRPr="00D0572D">
        <w:rPr>
          <w:rFonts w:ascii="Times New Roman" w:cs="Times New Roman"/>
          <w:color w:val="000000"/>
          <w:sz w:val="20"/>
          <w:szCs w:val="20"/>
        </w:rPr>
        <w:t xml:space="preserve"> Quantitative single-cell analysis of immunofluorescence protein multiplex images illustrates biomarker spatial heterogeneity within breast cancer subtypes. </w:t>
      </w:r>
      <w:r w:rsidRPr="00D0572D">
        <w:rPr>
          <w:rFonts w:ascii="Times New Roman" w:cs="Times New Roman"/>
          <w:i/>
          <w:iCs/>
          <w:color w:val="000000"/>
          <w:sz w:val="20"/>
          <w:szCs w:val="20"/>
        </w:rPr>
        <w:t>Breast Cancer Res.</w:t>
      </w:r>
      <w:r w:rsidRPr="00D0572D">
        <w:rPr>
          <w:rFonts w:ascii="Times New Roman" w:cs="Times New Roman"/>
          <w:color w:val="000000"/>
          <w:sz w:val="20"/>
          <w:szCs w:val="20"/>
        </w:rPr>
        <w:t xml:space="preserve"> </w:t>
      </w:r>
      <w:r w:rsidRPr="00D0572D">
        <w:rPr>
          <w:rFonts w:ascii="Times New Roman" w:cs="Times New Roman"/>
          <w:b/>
          <w:bCs/>
          <w:color w:val="000000"/>
          <w:sz w:val="20"/>
          <w:szCs w:val="20"/>
        </w:rPr>
        <w:t>23</w:t>
      </w:r>
      <w:r w:rsidRPr="00D0572D">
        <w:rPr>
          <w:rFonts w:ascii="Times New Roman" w:cs="Times New Roman"/>
          <w:color w:val="000000"/>
          <w:sz w:val="20"/>
          <w:szCs w:val="20"/>
        </w:rPr>
        <w:t>, 114 (2021).</w:t>
      </w:r>
    </w:p>
    <w:p w14:paraId="5F2BCB91" w14:textId="08B7B932" w:rsidR="00F01EBE" w:rsidRPr="00F01EBE" w:rsidRDefault="00252CC6" w:rsidP="006876D1">
      <w:pPr>
        <w:spacing w:line="240" w:lineRule="auto"/>
      </w:pPr>
      <w:r w:rsidRPr="00D0572D">
        <w:rPr>
          <w:sz w:val="20"/>
          <w:szCs w:val="20"/>
        </w:rPr>
        <w:fldChar w:fldCharType="end"/>
      </w:r>
    </w:p>
    <w:sectPr w:rsidR="00F01EBE" w:rsidRPr="00F01EBE">
      <w:footerReference w:type="default" r:id="rId13"/>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35530" w14:textId="77777777" w:rsidR="001C084A" w:rsidRDefault="001C084A">
      <w:pPr>
        <w:spacing w:after="0" w:line="240" w:lineRule="auto"/>
      </w:pPr>
      <w:r>
        <w:separator/>
      </w:r>
    </w:p>
    <w:p w14:paraId="2B9813D7" w14:textId="77777777" w:rsidR="001C084A" w:rsidRDefault="001C084A"/>
    <w:p w14:paraId="043DED2F" w14:textId="77777777" w:rsidR="001C084A" w:rsidRDefault="001C084A"/>
  </w:endnote>
  <w:endnote w:type="continuationSeparator" w:id="0">
    <w:p w14:paraId="40A6BC0C" w14:textId="77777777" w:rsidR="001C084A" w:rsidRDefault="001C084A">
      <w:pPr>
        <w:spacing w:after="0" w:line="240" w:lineRule="auto"/>
      </w:pPr>
      <w:r>
        <w:continuationSeparator/>
      </w:r>
    </w:p>
    <w:p w14:paraId="5788F87E" w14:textId="77777777" w:rsidR="001C084A" w:rsidRDefault="001C084A"/>
    <w:p w14:paraId="3CB1D556" w14:textId="77777777" w:rsidR="001C084A" w:rsidRDefault="001C08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096742D" w14:textId="77777777" w:rsidR="00A844CF"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37857" w14:textId="77777777" w:rsidR="001C084A" w:rsidRDefault="001C084A">
      <w:pPr>
        <w:spacing w:after="0" w:line="240" w:lineRule="auto"/>
      </w:pPr>
      <w:r>
        <w:separator/>
      </w:r>
    </w:p>
    <w:p w14:paraId="47FC7D2B" w14:textId="77777777" w:rsidR="001C084A" w:rsidRDefault="001C084A"/>
    <w:p w14:paraId="3C5AB31D" w14:textId="77777777" w:rsidR="001C084A" w:rsidRDefault="001C084A"/>
  </w:footnote>
  <w:footnote w:type="continuationSeparator" w:id="0">
    <w:p w14:paraId="615DE97D" w14:textId="77777777" w:rsidR="001C084A" w:rsidRDefault="001C084A">
      <w:pPr>
        <w:spacing w:after="0" w:line="240" w:lineRule="auto"/>
      </w:pPr>
      <w:r>
        <w:continuationSeparator/>
      </w:r>
    </w:p>
    <w:p w14:paraId="6AD34E54" w14:textId="77777777" w:rsidR="001C084A" w:rsidRDefault="001C084A"/>
    <w:p w14:paraId="4770D843" w14:textId="77777777" w:rsidR="001C084A" w:rsidRDefault="001C08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9324990">
    <w:abstractNumId w:val="9"/>
  </w:num>
  <w:num w:numId="2" w16cid:durableId="1956478938">
    <w:abstractNumId w:val="11"/>
  </w:num>
  <w:num w:numId="3" w16cid:durableId="1825925681">
    <w:abstractNumId w:val="14"/>
  </w:num>
  <w:num w:numId="4" w16cid:durableId="763067405">
    <w:abstractNumId w:val="12"/>
  </w:num>
  <w:num w:numId="5" w16cid:durableId="194773503">
    <w:abstractNumId w:val="10"/>
  </w:num>
  <w:num w:numId="6" w16cid:durableId="1916741653">
    <w:abstractNumId w:val="7"/>
  </w:num>
  <w:num w:numId="7" w16cid:durableId="501286537">
    <w:abstractNumId w:val="6"/>
  </w:num>
  <w:num w:numId="8" w16cid:durableId="7755794">
    <w:abstractNumId w:val="5"/>
  </w:num>
  <w:num w:numId="9" w16cid:durableId="1715428903">
    <w:abstractNumId w:val="4"/>
  </w:num>
  <w:num w:numId="10" w16cid:durableId="384649275">
    <w:abstractNumId w:val="8"/>
  </w:num>
  <w:num w:numId="11" w16cid:durableId="579414526">
    <w:abstractNumId w:val="3"/>
  </w:num>
  <w:num w:numId="12" w16cid:durableId="1957910343">
    <w:abstractNumId w:val="2"/>
  </w:num>
  <w:num w:numId="13" w16cid:durableId="311567241">
    <w:abstractNumId w:val="1"/>
  </w:num>
  <w:num w:numId="14" w16cid:durableId="1107312129">
    <w:abstractNumId w:val="0"/>
  </w:num>
  <w:num w:numId="15" w16cid:durableId="1665938727">
    <w:abstractNumId w:val="13"/>
  </w:num>
  <w:num w:numId="16" w16cid:durableId="16800381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8B"/>
    <w:rsid w:val="00004F87"/>
    <w:rsid w:val="000241AB"/>
    <w:rsid w:val="0005056C"/>
    <w:rsid w:val="00091D92"/>
    <w:rsid w:val="000F3ACA"/>
    <w:rsid w:val="000F5D51"/>
    <w:rsid w:val="00121065"/>
    <w:rsid w:val="0014496F"/>
    <w:rsid w:val="00167934"/>
    <w:rsid w:val="001C084A"/>
    <w:rsid w:val="001C568D"/>
    <w:rsid w:val="001C6288"/>
    <w:rsid w:val="001D4C27"/>
    <w:rsid w:val="002472FE"/>
    <w:rsid w:val="00252CC6"/>
    <w:rsid w:val="00256215"/>
    <w:rsid w:val="00290F61"/>
    <w:rsid w:val="003105D6"/>
    <w:rsid w:val="00365DAE"/>
    <w:rsid w:val="003E5E8B"/>
    <w:rsid w:val="00424D4C"/>
    <w:rsid w:val="00452BA1"/>
    <w:rsid w:val="004F158D"/>
    <w:rsid w:val="00502893"/>
    <w:rsid w:val="00524ACF"/>
    <w:rsid w:val="005C4D87"/>
    <w:rsid w:val="00603072"/>
    <w:rsid w:val="00611A53"/>
    <w:rsid w:val="00644C20"/>
    <w:rsid w:val="006523F5"/>
    <w:rsid w:val="006773FF"/>
    <w:rsid w:val="006876D1"/>
    <w:rsid w:val="006B6E63"/>
    <w:rsid w:val="006D79B7"/>
    <w:rsid w:val="00752DCB"/>
    <w:rsid w:val="0077036B"/>
    <w:rsid w:val="00872886"/>
    <w:rsid w:val="008D57F2"/>
    <w:rsid w:val="00963CF4"/>
    <w:rsid w:val="009C27E1"/>
    <w:rsid w:val="00A131D7"/>
    <w:rsid w:val="00A844CF"/>
    <w:rsid w:val="00B3667B"/>
    <w:rsid w:val="00BA3A48"/>
    <w:rsid w:val="00BE0825"/>
    <w:rsid w:val="00BF2111"/>
    <w:rsid w:val="00C74E00"/>
    <w:rsid w:val="00C974E6"/>
    <w:rsid w:val="00D0572D"/>
    <w:rsid w:val="00DD1658"/>
    <w:rsid w:val="00DF2A49"/>
    <w:rsid w:val="00E3020E"/>
    <w:rsid w:val="00F01EBE"/>
    <w:rsid w:val="00FE0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EBCAB"/>
  <w15:docId w15:val="{9D5B10B3-4275-054A-8CD4-EF22387C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E63"/>
    <w:pPr>
      <w:keepNext/>
      <w:keepLines/>
      <w:spacing w:before="400" w:line="240" w:lineRule="auto"/>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6B6E63"/>
    <w:pPr>
      <w:keepNext/>
      <w:keepLines/>
      <w:spacing w:before="400" w:line="240" w:lineRule="auto"/>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unhideWhenUsed/>
    <w:qFormat/>
    <w:rsid w:val="006B6E63"/>
    <w:pPr>
      <w:keepNext/>
      <w:keepLines/>
      <w:spacing w:before="400" w:line="240" w:lineRule="auto"/>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6B6E63"/>
    <w:pPr>
      <w:keepNext/>
      <w:keepLines/>
      <w:spacing w:before="400" w:line="240" w:lineRule="auto"/>
      <w:outlineLvl w:val="3"/>
    </w:pPr>
    <w:rPr>
      <w:rFonts w:asciiTheme="majorHAnsi" w:eastAsiaTheme="majorEastAsia" w:hAnsiTheme="majorHAnsi" w:cstheme="majorBidi"/>
      <w:iCs/>
      <w:sz w:val="20"/>
      <w:u w:val="single"/>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sid w:val="006B6E63"/>
    <w:rPr>
      <w:rFonts w:asciiTheme="majorHAnsi" w:eastAsiaTheme="majorEastAsia" w:hAnsiTheme="majorHAnsi" w:cstheme="majorBidi"/>
      <w:b/>
      <w:sz w:val="28"/>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6B6E63"/>
    <w:rPr>
      <w:rFonts w:asciiTheme="majorHAnsi" w:eastAsiaTheme="majorEastAsia" w:hAnsiTheme="majorHAnsi" w:cstheme="majorBidi"/>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sid w:val="006B6E63"/>
    <w:rPr>
      <w:rFonts w:asciiTheme="majorHAnsi" w:eastAsiaTheme="majorEastAsia" w:hAnsiTheme="majorHAnsi" w:cstheme="majorBidi"/>
      <w:i/>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sid w:val="006B6E63"/>
    <w:rPr>
      <w:rFonts w:asciiTheme="majorHAnsi" w:eastAsiaTheme="majorEastAsia" w:hAnsiTheme="majorHAnsi" w:cstheme="majorBidi"/>
      <w:iCs/>
      <w:sz w:val="20"/>
      <w:u w:val="single"/>
    </w:rPr>
  </w:style>
  <w:style w:type="paragraph" w:styleId="NormalWeb">
    <w:name w:val="Normal (Web)"/>
    <w:basedOn w:val="Normal"/>
    <w:uiPriority w:val="99"/>
    <w:semiHidden/>
    <w:unhideWhenUsed/>
    <w:rsid w:val="003E5E8B"/>
    <w:pPr>
      <w:spacing w:before="100" w:beforeAutospacing="1" w:after="100" w:afterAutospacing="1" w:line="240" w:lineRule="auto"/>
    </w:pPr>
    <w:rPr>
      <w:rFonts w:ascii="Times New Roman" w:eastAsia="Times New Roman" w:hAnsi="Times New Roman" w:cs="Times New Roman"/>
      <w:color w:val="auto"/>
      <w:lang w:eastAsia="en-US"/>
    </w:rPr>
  </w:style>
  <w:style w:type="paragraph" w:styleId="FootnoteText">
    <w:name w:val="footnote text"/>
    <w:basedOn w:val="Normal"/>
    <w:link w:val="FootnoteTextChar"/>
    <w:uiPriority w:val="99"/>
    <w:semiHidden/>
    <w:unhideWhenUsed/>
    <w:rsid w:val="006030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3072"/>
    <w:rPr>
      <w:sz w:val="20"/>
      <w:szCs w:val="20"/>
    </w:rPr>
  </w:style>
  <w:style w:type="character" w:styleId="FootnoteReference">
    <w:name w:val="footnote reference"/>
    <w:basedOn w:val="DefaultParagraphFont"/>
    <w:uiPriority w:val="99"/>
    <w:semiHidden/>
    <w:unhideWhenUsed/>
    <w:rsid w:val="00603072"/>
    <w:rPr>
      <w:vertAlign w:val="superscript"/>
    </w:rPr>
  </w:style>
  <w:style w:type="paragraph" w:styleId="EndnoteText">
    <w:name w:val="endnote text"/>
    <w:basedOn w:val="Normal"/>
    <w:link w:val="EndnoteTextChar"/>
    <w:uiPriority w:val="99"/>
    <w:semiHidden/>
    <w:unhideWhenUsed/>
    <w:rsid w:val="00DD16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658"/>
    <w:rPr>
      <w:sz w:val="20"/>
      <w:szCs w:val="20"/>
    </w:rPr>
  </w:style>
  <w:style w:type="character" w:styleId="EndnoteReference">
    <w:name w:val="endnote reference"/>
    <w:basedOn w:val="DefaultParagraphFont"/>
    <w:uiPriority w:val="99"/>
    <w:semiHidden/>
    <w:unhideWhenUsed/>
    <w:rsid w:val="00DD1658"/>
    <w:rPr>
      <w:vertAlign w:val="superscript"/>
    </w:rPr>
  </w:style>
  <w:style w:type="paragraph" w:styleId="Revision">
    <w:name w:val="Revision"/>
    <w:hidden/>
    <w:uiPriority w:val="99"/>
    <w:semiHidden/>
    <w:rsid w:val="00752DCB"/>
    <w:pPr>
      <w:spacing w:after="0" w:line="240" w:lineRule="auto"/>
    </w:pPr>
  </w:style>
  <w:style w:type="character" w:styleId="CommentReference">
    <w:name w:val="annotation reference"/>
    <w:basedOn w:val="DefaultParagraphFont"/>
    <w:uiPriority w:val="99"/>
    <w:semiHidden/>
    <w:unhideWhenUsed/>
    <w:rsid w:val="00167934"/>
    <w:rPr>
      <w:sz w:val="16"/>
      <w:szCs w:val="16"/>
    </w:rPr>
  </w:style>
  <w:style w:type="paragraph" w:styleId="CommentText">
    <w:name w:val="annotation text"/>
    <w:basedOn w:val="Normal"/>
    <w:link w:val="CommentTextChar"/>
    <w:uiPriority w:val="99"/>
    <w:unhideWhenUsed/>
    <w:rsid w:val="00167934"/>
    <w:pPr>
      <w:spacing w:line="240" w:lineRule="auto"/>
    </w:pPr>
    <w:rPr>
      <w:sz w:val="20"/>
      <w:szCs w:val="20"/>
    </w:rPr>
  </w:style>
  <w:style w:type="character" w:customStyle="1" w:styleId="CommentTextChar">
    <w:name w:val="Comment Text Char"/>
    <w:basedOn w:val="DefaultParagraphFont"/>
    <w:link w:val="CommentText"/>
    <w:uiPriority w:val="99"/>
    <w:rsid w:val="00167934"/>
    <w:rPr>
      <w:sz w:val="20"/>
      <w:szCs w:val="20"/>
    </w:rPr>
  </w:style>
  <w:style w:type="paragraph" w:styleId="CommentSubject">
    <w:name w:val="annotation subject"/>
    <w:basedOn w:val="CommentText"/>
    <w:next w:val="CommentText"/>
    <w:link w:val="CommentSubjectChar"/>
    <w:uiPriority w:val="99"/>
    <w:semiHidden/>
    <w:unhideWhenUsed/>
    <w:rsid w:val="00167934"/>
    <w:rPr>
      <w:b/>
      <w:bCs/>
    </w:rPr>
  </w:style>
  <w:style w:type="character" w:customStyle="1" w:styleId="CommentSubjectChar">
    <w:name w:val="Comment Subject Char"/>
    <w:basedOn w:val="CommentTextChar"/>
    <w:link w:val="CommentSubject"/>
    <w:uiPriority w:val="99"/>
    <w:semiHidden/>
    <w:rsid w:val="00167934"/>
    <w:rPr>
      <w:b/>
      <w:bCs/>
      <w:sz w:val="20"/>
      <w:szCs w:val="20"/>
    </w:rPr>
  </w:style>
  <w:style w:type="paragraph" w:styleId="Bibliography">
    <w:name w:val="Bibliography"/>
    <w:basedOn w:val="Normal"/>
    <w:next w:val="Normal"/>
    <w:uiPriority w:val="37"/>
    <w:unhideWhenUsed/>
    <w:rsid w:val="00252CC6"/>
    <w:pPr>
      <w:tabs>
        <w:tab w:val="left" w:pos="260"/>
      </w:tabs>
      <w:spacing w:after="0" w:line="480" w:lineRule="auto"/>
      <w:ind w:left="264" w:hanging="264"/>
    </w:pPr>
  </w:style>
  <w:style w:type="paragraph" w:customStyle="1" w:styleId="Body">
    <w:name w:val="Body"/>
    <w:rsid w:val="00290F61"/>
    <w:pPr>
      <w:spacing w:after="160" w:line="256" w:lineRule="auto"/>
    </w:pPr>
    <w:rPr>
      <w:rFonts w:ascii="Calibri" w:eastAsia="Calibri" w:hAnsi="Calibri" w:cs="Calibri"/>
      <w:color w:val="000000"/>
      <w:sz w:val="22"/>
      <w:szCs w:val="22"/>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6187">
      <w:bodyDiv w:val="1"/>
      <w:marLeft w:val="0"/>
      <w:marRight w:val="0"/>
      <w:marTop w:val="0"/>
      <w:marBottom w:val="0"/>
      <w:divBdr>
        <w:top w:val="none" w:sz="0" w:space="0" w:color="auto"/>
        <w:left w:val="none" w:sz="0" w:space="0" w:color="auto"/>
        <w:bottom w:val="none" w:sz="0" w:space="0" w:color="auto"/>
        <w:right w:val="none" w:sz="0" w:space="0" w:color="auto"/>
      </w:divBdr>
    </w:div>
    <w:div w:id="253516485">
      <w:bodyDiv w:val="1"/>
      <w:marLeft w:val="0"/>
      <w:marRight w:val="0"/>
      <w:marTop w:val="0"/>
      <w:marBottom w:val="0"/>
      <w:divBdr>
        <w:top w:val="none" w:sz="0" w:space="0" w:color="auto"/>
        <w:left w:val="none" w:sz="0" w:space="0" w:color="auto"/>
        <w:bottom w:val="none" w:sz="0" w:space="0" w:color="auto"/>
        <w:right w:val="none" w:sz="0" w:space="0" w:color="auto"/>
      </w:divBdr>
    </w:div>
    <w:div w:id="443888451">
      <w:bodyDiv w:val="1"/>
      <w:marLeft w:val="0"/>
      <w:marRight w:val="0"/>
      <w:marTop w:val="0"/>
      <w:marBottom w:val="0"/>
      <w:divBdr>
        <w:top w:val="none" w:sz="0" w:space="0" w:color="auto"/>
        <w:left w:val="none" w:sz="0" w:space="0" w:color="auto"/>
        <w:bottom w:val="none" w:sz="0" w:space="0" w:color="auto"/>
        <w:right w:val="none" w:sz="0" w:space="0" w:color="auto"/>
      </w:divBdr>
    </w:div>
    <w:div w:id="765078240">
      <w:bodyDiv w:val="1"/>
      <w:marLeft w:val="0"/>
      <w:marRight w:val="0"/>
      <w:marTop w:val="0"/>
      <w:marBottom w:val="0"/>
      <w:divBdr>
        <w:top w:val="none" w:sz="0" w:space="0" w:color="auto"/>
        <w:left w:val="none" w:sz="0" w:space="0" w:color="auto"/>
        <w:bottom w:val="none" w:sz="0" w:space="0" w:color="auto"/>
        <w:right w:val="none" w:sz="0" w:space="0" w:color="auto"/>
      </w:divBdr>
    </w:div>
    <w:div w:id="1170872838">
      <w:bodyDiv w:val="1"/>
      <w:marLeft w:val="0"/>
      <w:marRight w:val="0"/>
      <w:marTop w:val="0"/>
      <w:marBottom w:val="0"/>
      <w:divBdr>
        <w:top w:val="none" w:sz="0" w:space="0" w:color="auto"/>
        <w:left w:val="none" w:sz="0" w:space="0" w:color="auto"/>
        <w:bottom w:val="none" w:sz="0" w:space="0" w:color="auto"/>
        <w:right w:val="none" w:sz="0" w:space="0" w:color="auto"/>
      </w:divBdr>
    </w:div>
    <w:div w:id="1650288579">
      <w:bodyDiv w:val="1"/>
      <w:marLeft w:val="0"/>
      <w:marRight w:val="0"/>
      <w:marTop w:val="0"/>
      <w:marBottom w:val="0"/>
      <w:divBdr>
        <w:top w:val="none" w:sz="0" w:space="0" w:color="auto"/>
        <w:left w:val="none" w:sz="0" w:space="0" w:color="auto"/>
        <w:bottom w:val="none" w:sz="0" w:space="0" w:color="auto"/>
        <w:right w:val="none" w:sz="0" w:space="0" w:color="auto"/>
      </w:divBdr>
    </w:div>
    <w:div w:id="172663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9C952-AFAB-5F49-992C-AC1A9A623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4149</Words>
  <Characters>23651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Rikhil Rao</dc:creator>
  <cp:keywords/>
  <dc:description/>
  <cp:lastModifiedBy>Rikhil Rao</cp:lastModifiedBy>
  <cp:revision>3</cp:revision>
  <dcterms:created xsi:type="dcterms:W3CDTF">2023-08-31T00:24:00Z</dcterms:created>
  <dcterms:modified xsi:type="dcterms:W3CDTF">2023-08-31T04:10:00Z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y fmtid="{D5CDD505-2E9C-101B-9397-08002B2CF9AE}" pid="3" name="ZOTERO_PREF_1">
    <vt:lpwstr>&lt;data data-version="3" zotero-version="6.0.26"&gt;&lt;session id="5095kNMT"/&gt;&lt;style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value="true"/&gt;&lt;/prefs&gt;&lt;/data&gt;</vt:lpwstr>
  </property>
</Properties>
</file>