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resubmission"/>
    <w:p>
      <w:pPr>
        <w:pStyle w:val="Heading1"/>
      </w:pPr>
      <w:r>
        <w:t xml:space="preserve">Cover letter — resubmission</w:t>
      </w:r>
    </w:p>
    <w:p>
      <w:pPr>
        <w:pStyle w:val="FirstParagraph"/>
      </w:pPr>
      <w:r>
        <w:t xml:space="preserve">To: Dr. Lina Ma, Editor-in-Chief, and the Editorial Office</w:t>
      </w:r>
      <w:r>
        <w:br/>
      </w:r>
      <w:r>
        <w:t xml:space="preserve">Bioinformatics Advances</w:t>
      </w:r>
    </w:p>
    <w:p>
      <w:pPr>
        <w:pStyle w:val="BodyText"/>
      </w:pPr>
      <w:r>
        <w:t xml:space="preserve">Dear Dr. Ma and Editors,</w:t>
      </w:r>
    </w:p>
    <w:p>
      <w:pPr>
        <w:pStyle w:val="BodyText"/>
      </w:pPr>
      <w:r>
        <w:t xml:space="preserve">Please find enclosed a thoroughly revised manuscript,</w:t>
      </w:r>
      <w:r>
        <w:t xml:space="preserve"> </w:t>
      </w:r>
      <w:r>
        <w:rPr>
          <w:b/>
          <w:bCs/>
        </w:rPr>
        <w:t xml:space="preserve">“Near-duplicate leakage can reorder model rankings on a genomic benchmark suite: an audit of Genomic Benchmarks.”</w:t>
      </w:r>
      <w:r>
        <w:t xml:space="preserve"> </w:t>
      </w:r>
      <w:r>
        <w:t xml:space="preserve">This is a resubmission of manuscript</w:t>
      </w:r>
      <w:r>
        <w:t xml:space="preserve"> </w:t>
      </w:r>
      <w:r>
        <w:rPr>
          <w:b/>
          <w:bCs/>
        </w:rPr>
        <w:t xml:space="preserve">BIOADV-2026-296</w:t>
      </w:r>
      <w:r>
        <w:t xml:space="preserve"> </w:t>
      </w:r>
      <w:r>
        <w:t xml:space="preserve">(previously titled</w:t>
      </w:r>
      <w:r>
        <w:t xml:space="preserve"> </w:t>
      </w:r>
      <w:r>
        <w:rPr>
          <w:i/>
          <w:iCs/>
        </w:rPr>
        <w:t xml:space="preserve">“Homology leakage selectively changes which model wins on genomic sequence-classification benchmarks,”</w:t>
      </w:r>
      <w:r>
        <w:t xml:space="preserve"> </w:t>
      </w:r>
      <w:r>
        <w:t xml:space="preserve">Associate Editor: Prof. Shanfeng Zhu), which received a Reject &amp; Revise decision. As instructed, we submit it as new work and reference the prior manuscript number here so the records can be linked; a point-by-point response to every reviewer and Associate-Editor comment is included as a separate document.</w:t>
      </w:r>
    </w:p>
    <w:p>
      <w:pPr>
        <w:pStyle w:val="BodyText"/>
      </w:pPr>
      <w:r>
        <w:t xml:space="preserve">The decision turned on a single question — whether the ranking result is general or an artifact of one narrow comparison — and we treated it as a mandate to test the paper’s central claim far harder than the original submission did. Four additions carry the revision:</w:t>
      </w:r>
    </w:p>
    <w:p>
      <w:pPr>
        <w:numPr>
          <w:ilvl w:val="0"/>
          <w:numId w:val="1001"/>
        </w:numPr>
      </w:pPr>
      <w:r>
        <w:rPr>
          <w:b/>
          <w:bCs/>
        </w:rPr>
        <w:t xml:space="preserve">A nine-model roster (§4.4).</w:t>
      </w:r>
      <w:r>
        <w:t xml:space="preserve"> </w:t>
      </w:r>
      <w:r>
        <w:t xml:space="preserve">The strongest form of the objection is that a claim about</w:t>
      </w:r>
      <w:r>
        <w:t xml:space="preserve"> </w:t>
      </w:r>
      <w:r>
        <w:t xml:space="preserve">“rankings”</w:t>
      </w:r>
      <w:r>
        <w:t xml:space="preserve"> </w:t>
      </w:r>
      <w:r>
        <w:t xml:space="preserve">made over four models is a claim about nothing. We widened the comparison to nine learners spanning memorization propensity end to end. The result is both stronger and sharper than before: the leaky split</w:t>
      </w:r>
      <w:r>
        <w:t xml:space="preserve"> </w:t>
      </w:r>
      <w:r>
        <w:rPr>
          <w:b/>
          <w:bCs/>
        </w:rPr>
        <w:t xml:space="preserve">cannot separate its top three models at all</w:t>
      </w:r>
      <w:r>
        <w:t xml:space="preserve"> </w:t>
      </w:r>
      <w:r>
        <w:t xml:space="preserve">— they finish within 0.0015 of one another —</w:t>
      </w:r>
      <w:r>
        <w:t xml:space="preserve"> </w:t>
      </w:r>
      <w:r>
        <w:rPr>
          <w:b/>
          <w:bCs/>
        </w:rPr>
        <w:t xml:space="preserve">yet those same three span 23 accuracy points once the split is corrected</w:t>
      </w:r>
      <w:r>
        <w:t xml:space="preserve">, and 1-nearest-neighbour falls from rank 2 to last, 0.873 to 0.537. The benchmark is not merely crowning the wrong model; it is blind to large real differences between models it reports as tied.</w:t>
      </w:r>
    </w:p>
    <w:p>
      <w:pPr>
        <w:numPr>
          <w:ilvl w:val="0"/>
          <w:numId w:val="1001"/>
        </w:numPr>
      </w:pPr>
      <w:r>
        <w:rPr>
          <w:b/>
          <w:bCs/>
        </w:rPr>
        <w:t xml:space="preserve">A construct-and-break manipulation (§4.7).</w:t>
      </w:r>
      <w:r>
        <w:t xml:space="preserve"> </w:t>
      </w:r>
      <w:r>
        <w:t xml:space="preserve">The previous submission argued the cause was a curation defect but did not test it. We now intervene on the construction step alone, in both directions: applying the omitted merge step to the leaky dataset abolishes the reordering, and imposing the same defect on a clean dataset — at matched size and balance, with model code and sequences untouched — manufactures it on demand. This makes the causal claim interventional rather than correlational.</w:t>
      </w:r>
    </w:p>
    <w:p>
      <w:pPr>
        <w:numPr>
          <w:ilvl w:val="0"/>
          <w:numId w:val="1001"/>
        </w:numPr>
      </w:pPr>
      <w:r>
        <w:rPr>
          <w:b/>
          <w:bCs/>
        </w:rPr>
        <w:t xml:space="preserve">A cross-suite census, and an honest null (§4.10).</w:t>
      </w:r>
      <w:r>
        <w:t xml:space="preserve"> </w:t>
      </w:r>
      <w:r>
        <w:t xml:space="preserve">Applying the census unchanged to the Nucleotide Transformer downstream tasks finds three of eleven independent tasks leaky — one at 25% byte-identical overlap — and six more borderline.</w:t>
      </w:r>
      <w:r>
        <w:t xml:space="preserve"> </w:t>
      </w:r>
      <w:r>
        <w:rPr>
          <w:b/>
          <w:bCs/>
        </w:rPr>
        <w:t xml:space="preserve">No ranking inverts materially there, and we report that null prominently.</w:t>
      </w:r>
      <w:r>
        <w:t xml:space="preserve"> </w:t>
      </w:r>
      <w:r>
        <w:t xml:space="preserve">(One swap does occur, but the two models were separated by only 0.005 on the as-shipped split, so it is immaterial under our own criterion — we state it either way.) It is a test passed rather than an embarrassment: our diagnostic condition predicts the null in advance from the as-shipped split alone, because reordering requires not just leakage but a challenger genuinely better on novel sequences — a condition this second suite does not supply.</w:t>
      </w:r>
    </w:p>
    <w:p>
      <w:pPr>
        <w:numPr>
          <w:ilvl w:val="0"/>
          <w:numId w:val="1001"/>
        </w:numPr>
      </w:pPr>
      <w:r>
        <w:rPr>
          <w:b/>
          <w:bCs/>
        </w:rPr>
        <w:t xml:space="preserve">Honest rescoping.</w:t>
      </w:r>
      <w:r>
        <w:t xml:space="preserve"> </w:t>
      </w:r>
      <w:r>
        <w:t xml:space="preserve">We now demonstrate the ranking-change claim</w:t>
      </w:r>
      <w:r>
        <w:t xml:space="preserve"> </w:t>
      </w:r>
      <w:r>
        <w:rPr>
          <w:b/>
          <w:bCs/>
        </w:rPr>
        <w:t xml:space="preserve">cleanly on one dataset</w:t>
      </w:r>
      <w:r>
        <w:t xml:space="preserve"> </w:t>
      </w:r>
      <w:r>
        <w:t xml:space="preserve">(</w:t>
      </w:r>
      <w:r>
        <w:rPr>
          <w:rStyle w:val="VerbatimChar"/>
        </w:rPr>
        <w:t xml:space="preserve">human_enhancers_ensembl</w:t>
      </w:r>
      <w:r>
        <w:t xml:space="preserve">, holding under accuracy, AUROC, F1, a chromosome-holdout control, an alignment-scored re-measure and a bootstrap winner probability) and present the second (</w:t>
      </w:r>
      <w:r>
        <w:rPr>
          <w:rStyle w:val="VerbatimChar"/>
        </w:rPr>
        <w:t xml:space="preserve">human_nontata_promoters</w:t>
      </w:r>
      <w:r>
        <w:t xml:space="preserve">) as an explicit</w:t>
      </w:r>
      <w:r>
        <w:t xml:space="preserve"> </w:t>
      </w:r>
      <w:r>
        <w:rPr>
          <w:b/>
          <w:bCs/>
        </w:rPr>
        <w:t xml:space="preserve">cautionary partial case</w:t>
      </w:r>
      <w:r>
        <w:t xml:space="preserve">, with five independent signals showing why. The title, abstract, Discussion and new Conclusion all carry that scope.</w:t>
      </w:r>
    </w:p>
    <w:p>
      <w:pPr>
        <w:pStyle w:val="FirstParagraph"/>
      </w:pPr>
      <w:r>
        <w:t xml:space="preserve">The revision also answers the specific methodological requests: a from-scratch 1D CNN with a pre-registered grid and a binding refutation condition (the named pretrained models are scoped out with a</w:t>
      </w:r>
      <w:r>
        <w:t xml:space="preserve"> </w:t>
      </w:r>
      <w:r>
        <w:rPr>
          <w:i/>
          <w:iCs/>
        </w:rPr>
        <w:t xml:space="preserve">quantified</w:t>
      </w:r>
      <w:r>
        <w:t xml:space="preserve"> </w:t>
      </w:r>
      <w:r>
        <w:t xml:space="preserve">≈100% pretraining-overlap confound, not an asserted one); MMseqs2 alignment validation and a length-robust containment index, which honestly flags one previously-clean dataset as borderline; a cluster bootstrap with intraclass correlation, design effect, an analytic cluster-robust cross-check and a combined-source interval; a prevalence-aware imbalanced evaluation; and a random-forest regularization path. On that last point we ran the experiment the objection really demands — whether ordinary cross-validation would rescue a practitioner — and found it does not. On</w:t>
      </w:r>
      <w:r>
        <w:t xml:space="preserve"> </w:t>
      </w:r>
      <w:r>
        <w:rPr>
          <w:rStyle w:val="VerbatimChar"/>
        </w:rPr>
        <w:t xml:space="preserve">human_enhancers_ensembl</w:t>
      </w:r>
      <w:r>
        <w:t xml:space="preserve">, the dataset carrying the reordering claim, ordinary cross-validation selects the memorizing default and the model it picks loses 16.4 points once the leakage is removed, while the leakage-aware procedure selects a regularized forest that loses 2.2 — and on the as-shipped split the leakage-aware tuner’s model appears 10.8 points worse than the memorizing one (0.751 against 0.860) while in fact being 3.3 points better on the corrected split. On</w:t>
      </w:r>
      <w:r>
        <w:t xml:space="preserve"> </w:t>
      </w:r>
      <w:r>
        <w:rPr>
          <w:rStyle w:val="VerbatimChar"/>
        </w:rPr>
        <w:t xml:space="preserve">human_nontata_promoters</w:t>
      </w:r>
      <w:r>
        <w:t xml:space="preserve"> </w:t>
      </w:r>
      <w:r>
        <w:t xml:space="preserve">both procedures select the same configuration. Our pre-registered expectation P5 therefore holds on the first dataset and ties on the second, and we score it that way.</w:t>
      </w:r>
    </w:p>
    <w:p>
      <w:pPr>
        <w:pStyle w:val="BodyText"/>
      </w:pPr>
      <w:r>
        <w:t xml:space="preserve">We have tried throughout to report what did not work as prominently as what did: a pre-registered dose-response that turned out non-monotone; our first pre-registered prediction (P1) failing outright, and a corrected statistic that favours it labelled post hoc rather than counted as a rescue; two more holding only conditionally; all six scored in the text whether or not they held; and a cross-suite null we report prominently. Where evidence is slender we say so rather than presenting it as more.</w:t>
      </w:r>
    </w:p>
    <w:p>
      <w:pPr>
        <w:pStyle w:val="BodyText"/>
      </w:pPr>
      <w:r>
        <w:t xml:space="preserve">The study remains fully reproducible; all code, the report card, and the near-duplicate-aware splitter and certification tool are available in the linked repository, and the manuscript now states its pinned software environment. The work is original, is not under consideration elsewhere, and all authors approve this submission. We have no competing interests to declare.</w:t>
      </w:r>
    </w:p>
    <w:p>
      <w:pPr>
        <w:pStyle w:val="BodyText"/>
      </w:pPr>
      <w:r>
        <w:t xml:space="preserve">We are grateful to the reviewers and the Associate Editor — their comments materially improved the paper — and we hope the revised manuscript now meets the standard for publication.</w:t>
      </w:r>
    </w:p>
    <w:p>
      <w:pPr>
        <w:pStyle w:val="BodyText"/>
      </w:pPr>
      <w:r>
        <w:t xml:space="preserve">Sincerely,</w:t>
      </w:r>
      <w:r>
        <w:br/>
      </w:r>
      <w:r>
        <w:t xml:space="preserve">Rikhin Kavuru</w:t>
      </w:r>
      <w:r>
        <w:br/>
      </w:r>
      <w:r>
        <w:t xml:space="preserve">Independent Researcher</w:t>
      </w:r>
      <w:r>
        <w:br/>
      </w:r>
      <w:r>
        <w:t xml:space="preserve">rikhinkavuru@gmail.com</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2026-07-19T14:42:13Z</dcterms:created>
  <dcterms:modified xsi:type="dcterms:W3CDTF">2026-07-19T14:42:13Z</dcterms:modified>
</cp:coreProperties>
</file>

<file path=docProps/custom.xml><?xml version="1.0" encoding="utf-8"?>
<Properties xmlns="http://schemas.openxmlformats.org/officeDocument/2006/custom-properties" xmlns:vt="http://schemas.openxmlformats.org/officeDocument/2006/docPropsVTypes"/>
</file>