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decision turned on one question —</w:t>
      </w:r>
      <w:r>
        <w:t xml:space="preserve"> </w:t>
      </w:r>
      <w:r>
        <w:rPr>
          <w:i/>
          <w:iCs/>
        </w:rPr>
        <w:t xml:space="preserve">is the ranking result general, or</w:t>
      </w:r>
      <w:r>
        <w:rPr>
          <w:i/>
          <w:iCs/>
        </w:rPr>
        <w:t xml:space="preserve"> </w:t>
      </w:r>
      <w:r>
        <w:rPr>
          <w:i/>
          <w:iCs/>
        </w:rPr>
        <w:t xml:space="preserve">is it an artifact of this particular comparison?</w:t>
      </w:r>
      <w:r>
        <w:t xml:space="preserve"> </w:t>
      </w:r>
      <w:r>
        <w:t xml:space="preserve">— and we have tried to answer</w:t>
      </w:r>
      <w:r>
        <w:t xml:space="preserve"> </w:t>
      </w:r>
      <w:r>
        <w:t xml:space="preserve">it with experiments rather than argument.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Four additions carry the revision. We put them first because each targets the</w:t>
      </w:r>
      <w:r>
        <w:t xml:space="preserve"> </w:t>
      </w:r>
      <w:r>
        <w:t xml:space="preserve">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 (§4.4, Table 3).</w:t>
      </w:r>
      <w:r>
        <w:t xml:space="preserve"> </w:t>
      </w:r>
      <w:r>
        <w:t xml:space="preserve">The sharpest form of the objection is</w:t>
      </w:r>
      <w:r>
        <w:t xml:space="preserve"> </w:t>
      </w:r>
      <w:r>
        <w:t xml:space="preserve">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</w:t>
      </w:r>
      <w:r>
        <w:t xml:space="preserve"> </w:t>
      </w:r>
      <w:r>
        <w:t xml:space="preserve">We widened the comparison to nine learners spanning memorization propensity end</w:t>
      </w:r>
      <w:r>
        <w:t xml:space="preserve"> </w:t>
      </w:r>
      <w:r>
        <w:t xml:space="preserve">to end — 1- and 15-nearest neighbours, random forest, extremely randomized</w:t>
      </w:r>
      <w:r>
        <w:t xml:space="preserve"> </w:t>
      </w:r>
      <w:r>
        <w:t xml:space="preserve">trees, a multilayer perceptron, gradient boosting, linear SVM, logistic</w:t>
      </w:r>
      <w:r>
        <w:t xml:space="preserve"> </w:t>
      </w:r>
      <w:r>
        <w:t xml:space="preserve">regression, Gaussian naive Bayes — all trained from scratch on the same splits</w:t>
      </w:r>
      <w:r>
        <w:t xml:space="preserve"> </w:t>
      </w:r>
      <w:r>
        <w:t xml:space="preserve">with the same decision rule. The result is stronger than the four-model version</w:t>
      </w:r>
      <w:r>
        <w:t xml:space="preserve"> </w:t>
      </w:r>
      <w:r>
        <w:t xml:space="preserve">and sharper:</w:t>
      </w:r>
      <w:r>
        <w:t xml:space="preserve"> </w:t>
      </w:r>
      <w:r>
        <w:rPr>
          <w:b/>
          <w:bCs/>
        </w:rPr>
        <w:t xml:space="preserve">the leaky split cannot separate its top three models at all</w:t>
      </w:r>
      <w:r>
        <w:t xml:space="preserve"> </w:t>
      </w:r>
      <w:r>
        <w:t xml:space="preserve">(0.8736 / 0.8729 / 0.8721, within 0.0015, paired interval on the top-two margin</w:t>
      </w:r>
      <w:r>
        <w:t xml:space="preserve"> </w:t>
      </w:r>
      <w:r>
        <w:t xml:space="preserve">including zero)</w:t>
      </w:r>
      <w:r>
        <w:t xml:space="preserve"> </w:t>
      </w:r>
      <w:r>
        <w:rPr>
          <w:b/>
          <w:bCs/>
        </w:rPr>
        <w:t xml:space="preserve">yet those same three span 23 accuracy points once corrected</w:t>
      </w:r>
      <w:r>
        <w:t xml:space="preserve"> </w:t>
      </w:r>
      <w:r>
        <w:t xml:space="preserve">(0.768 / 0.537 / 0.628). 1-NN falls from rank 2 to rank 9, 0.873 → 0.537. The</w:t>
      </w:r>
      <w:r>
        <w:t xml:space="preserve"> </w:t>
      </w:r>
      <w:r>
        <w:t xml:space="preserve">benchmark is not merely crowning the wrong model; it is blind to enormous real</w:t>
      </w:r>
      <w:r>
        <w:t xml:space="preserve"> </w:t>
      </w:r>
      <w:r>
        <w:t xml:space="preserve">differences between models it reports as tied. The corrected winner is the</w:t>
      </w:r>
      <w:r>
        <w:t xml:space="preserve"> </w:t>
      </w:r>
      <w:r>
        <w:t xml:space="preserve">linear SVM — the same model the four-model comparison selects, so the two</w:t>
      </w:r>
      <w:r>
        <w:t xml:space="preserve"> </w:t>
      </w:r>
      <w:r>
        <w:t xml:space="preserve">analyses agree. Four predictions (P1–P4) were committed before the run and all</w:t>
      </w:r>
      <w:r>
        <w:t xml:space="preserve"> </w:t>
      </w:r>
      <w:r>
        <w:t xml:space="preserve">four are scored in the text whether or not they held.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construct-and-break manipulation (§4.7, Table 4).</w:t>
      </w:r>
      <w:r>
        <w:t xml:space="preserve"> </w:t>
      </w:r>
      <w:r>
        <w:t xml:space="preserve">The previous submission</w:t>
      </w:r>
      <w:r>
        <w:t xml:space="preserve"> </w:t>
      </w:r>
      <w:r>
        <w:t xml:space="preserve">argued the cause was a curation defect; it did not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it. We now intervene</w:t>
      </w:r>
      <w:r>
        <w:t xml:space="preserve"> </w:t>
      </w:r>
      <w:r>
        <w:t xml:space="preserve">on the construction step alone, in both directions. Applying the omitted merge</w:t>
      </w:r>
      <w:r>
        <w:t xml:space="preserve"> </w:t>
      </w:r>
      <w:r>
        <w:t xml:space="preserve">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 leak fraction 0.390 → 0.012, its</w:t>
      </w:r>
      <w:r>
        <w:t xml:space="preserve"> </w:t>
      </w:r>
      <w:r>
        <w:t xml:space="preserve">random-forest inflation +0.165 → −0.008, and the reordering disappears.</w:t>
      </w:r>
      <w:r>
        <w:t xml:space="preserve"> </w:t>
      </w:r>
      <w:r>
        <w:t xml:space="preserve">Conversely, 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 </w:t>
      </w:r>
      <w:r>
        <w:t xml:space="preserve">— at</w:t>
      </w:r>
      <w:r>
        <w:t xml:space="preserve"> </w:t>
      </w:r>
      <w:r>
        <w:t xml:space="preserve">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 — raises leakage 0.004 → 0.204, inflation</w:t>
      </w:r>
      <w:r>
        <w:t xml:space="preserve"> </w:t>
      </w:r>
      <w:r>
        <w:t xml:space="preserve">+0.002 → +0.105, and</w:t>
      </w:r>
      <w:r>
        <w:t xml:space="preserve"> </w:t>
      </w:r>
      <w:r>
        <w:rPr>
          <w:b/>
          <w:bCs/>
        </w:rPr>
        <w:t xml:space="preserve">manufactures the reordering on demand</w:t>
      </w:r>
      <w:r>
        <w:t xml:space="preserve"> </w:t>
      </w:r>
      <w:r>
        <w:t xml:space="preserve">(RF promoted</w:t>
      </w:r>
      <w:r>
        <w:t xml:space="preserve"> </w:t>
      </w:r>
      <w:r>
        <w:t xml:space="preserve">1st on the contaminated split, demoted to 4th by correction). Model code,</w:t>
      </w:r>
      <w:r>
        <w:t xml:space="preserve"> </w:t>
      </w:r>
      <w:r>
        <w:t xml:space="preserve">split ratio and (in the fix-a-leaky direction) the sequences themselves are</w:t>
      </w:r>
      <w:r>
        <w:t xml:space="preserve"> </w:t>
      </w:r>
      <w:r>
        <w:t xml:space="preserve">untouched; the intervention is on the construction step alone. This converts</w:t>
      </w:r>
      <w:r>
        <w:t xml:space="preserve"> </w:t>
      </w:r>
      <w:r>
        <w:t xml:space="preserve">the causal claim from correlational to interventional.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cross-suite census (§4.10) — and an honest null.</w:t>
      </w:r>
      <w:r>
        <w:t xml:space="preserve"> </w:t>
      </w:r>
      <w:r>
        <w:t xml:space="preserve">We applied the census</w:t>
      </w:r>
      <w:r>
        <w:t xml:space="preserve"> </w:t>
      </w:r>
      <w:r>
        <w:t xml:space="preserve">unchanged to the Nucleotide Transformer downstream tasks. Three of eleven</w:t>
      </w:r>
      <w:r>
        <w:t xml:space="preserve"> </w:t>
      </w:r>
      <w:r>
        <w:t xml:space="preserve">independent tasks are leaky — one at 25.0%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overlap,</w:t>
      </w:r>
      <w:r>
        <w:t xml:space="preserve"> </w:t>
      </w:r>
      <w:r>
        <w:t xml:space="preserve">verified on a separate code path using no k-mers — and six more borderline.</w:t>
      </w:r>
      <w:r>
        <w:t xml:space="preserve"> </w:t>
      </w:r>
      <w:r>
        <w:rPr>
          <w:b/>
          <w:bCs/>
        </w:rPr>
        <w:t xml:space="preserve">No ranking inverts</w:t>
      </w:r>
      <w:r>
        <w:rPr>
          <w:b/>
          <w:bCs/>
        </w:rPr>
        <w:t xml:space="preserve"> </w:t>
      </w:r>
      <w:r>
        <w:rPr>
          <w:b/>
          <w:bCs/>
        </w:rPr>
        <w:t xml:space="preserve">materially on any of them, and we report that null prominently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burying it.</w:t>
      </w:r>
      <w:r>
        <w:t xml:space="preserve"> </w:t>
      </w:r>
      <w:r>
        <w:t xml:space="preserve">One swap does occur — HistGradientBoosting overtakes the forest on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after correction, 0.887 vs 0.869 — but the two were separated by only</w:t>
      </w:r>
      <w:r>
        <w:t xml:space="preserve"> </w:t>
      </w:r>
      <w:r>
        <w:t xml:space="preserve">0.005 on the as-shipped split, so it is immaterial under our own inversion</w:t>
      </w:r>
      <w:r>
        <w:t xml:space="preserve"> </w:t>
      </w:r>
      <w:r>
        <w:t xml:space="preserve">criterion, and we say so rather than counting it either way. The null</w:t>
      </w:r>
      <w:r>
        <w:t xml:space="preserve"> </w:t>
      </w:r>
      <w:r>
        <w:t xml:space="preserve">is not an embarrassment but a test passed: our diagnostic condition (§3.13)</w:t>
      </w:r>
      <w:r>
        <w:t xml:space="preserve"> </w:t>
      </w:r>
      <w:r>
        <w:t xml:space="preserve">predicts it in advance from the as-shipped split, because reordering requires</w:t>
      </w:r>
      <w:r>
        <w:t xml:space="preserve"> </w:t>
      </w:r>
      <w:r>
        <w:t xml:space="preserve">not just leakage but a challenger that is genuinely better on novel sequences,</w:t>
      </w:r>
      <w:r>
        <w:t xml:space="preserve"> </w:t>
      </w:r>
      <w:r>
        <w:t xml:space="preserve">and on 22 of 24 pairs the as-shipped leader is also the novel-sequence leader.</w:t>
      </w:r>
      <w:r>
        <w:t xml:space="preserve"> </w:t>
      </w:r>
      <w:r>
        <w:t xml:space="preserve">On the two pairs where the condition had something to say it was right both</w:t>
      </w:r>
      <w:r>
        <w:t xml:space="preserve"> </w:t>
      </w:r>
      <w:r>
        <w:t xml:space="preserve">times — including the one case a trivial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baseline gets wrong.</w:t>
      </w:r>
      <w:r>
        <w:t xml:space="preserve"> </w:t>
      </w:r>
      <w:r>
        <w:t xml:space="preserve">Only one of those two is admissible under our own Methods §3.13, which permits</w:t>
      </w:r>
      <w:r>
        <w:t xml:space="preserve"> </w:t>
      </w:r>
      <w:r>
        <w:t xml:space="preserve">the condition only where the intermediate similarity band is small: the</w:t>
      </w:r>
      <w:r>
        <w:t xml:space="preserve"> </w:t>
      </w:r>
      <w:r>
        <w:rPr>
          <w:rStyle w:val="VerbatimChar"/>
        </w:rPr>
        <w:t xml:space="preserve">splice_sites_acceptors</w:t>
      </w:r>
      <w:r>
        <w:t xml:space="preserve"> </w:t>
      </w:r>
      <w:r>
        <w:t xml:space="preserve">pair’s band is 33.3%, so we rule that call out and do</w:t>
      </w:r>
      <w:r>
        <w:t xml:space="preserve"> </w:t>
      </w:r>
      <w:r>
        <w:t xml:space="preserve">not count it. The condition therefore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admissible out-of-sample</w:t>
      </w:r>
      <w:r>
        <w:t xml:space="preserve"> </w:t>
      </w:r>
      <w:r>
        <w:t xml:space="preserve">call, and we state it that way in §4.10 rather than claiming the two.</w:t>
      </w:r>
      <w:r>
        <w:t xml:space="preserve"> </w:t>
      </w:r>
      <w:r>
        <w:t xml:space="preserve">We also state plainly that the aggregate 24/24 score is nearly uninformative,</w:t>
      </w:r>
      <w:r>
        <w:t xml:space="preserve"> </w:t>
      </w:r>
      <w:r>
        <w:t xml:space="preserve">since that baseline scores 23/24.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accuracy@0.5: it reverses under AUROC and F1, is a</w:t>
      </w:r>
      <w:r>
        <w:t xml:space="preserve"> </w:t>
      </w:r>
      <w:r>
        <w:t xml:space="preserve">CI-overlap tie, does not reproduce under chromosome holdout, is milder under</w:t>
      </w:r>
      <w:r>
        <w:t xml:space="preserve"> </w:t>
      </w:r>
      <w:r>
        <w:t xml:space="preserve">alignment, and the prevalence-corrected graded gap does not separate the model</w:t>
      </w:r>
      <w:r>
        <w:t xml:space="preserve"> </w:t>
      </w:r>
      <w:r>
        <w:t xml:space="preserve">families there at all. The 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holding on every axis tested)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as an explicit cautionary partial 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.</w:t>
      </w:r>
      <w:r>
        <w:t xml:space="preserve"> </w:t>
      </w:r>
      <w:r>
        <w:t xml:space="preserve">The title, abstract, Discussion and new Conclusion all carry that scope.</w:t>
      </w:r>
    </w:p>
    <w:p>
      <w:pPr>
        <w:pStyle w:val="FirstParagraph"/>
      </w:pPr>
      <w:r>
        <w:t xml:space="preserve">Three further structural changes: the paper adopts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</w:t>
      </w:r>
      <w:r>
        <w:t xml:space="preserve"> </w:t>
      </w:r>
      <w:r>
        <w:t xml:space="preserve">its primary term and reserves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 alignment or containment</w:t>
      </w:r>
      <w:r>
        <w:t xml:space="preserve"> </w:t>
      </w:r>
      <w:r>
        <w:t xml:space="preserve">evidence earns it (R3.4); it adds a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(§6); and it now reports its</w:t>
      </w:r>
      <w:r>
        <w:t xml:space="preserve"> </w:t>
      </w:r>
      <w:r>
        <w:rPr>
          <w:b/>
          <w:bCs/>
        </w:rPr>
        <w:t xml:space="preserve">software environment</w:t>
      </w:r>
      <w:r>
        <w:t xml:space="preserve"> </w:t>
      </w:r>
      <w:r>
        <w:t xml:space="preserve">with pinned versions (§3.14).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addressed and</w:t>
      </w:r>
      <w:r>
        <w:t xml:space="preserve"> </w:t>
      </w:r>
      <w:r>
        <w:t xml:space="preserve">cross-referenced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twice over: the nine-model roster above</w:t>
      </w:r>
      <w:r>
        <w:t xml:space="preserve"> </w:t>
      </w:r>
      <w:r>
        <w:t xml:space="preserve">(§4.4), and a from-scratch 1D residual CNN with a pre-registered</w:t>
      </w:r>
      <w:r>
        <w:t xml:space="preserve"> </w:t>
      </w:r>
      <w:r>
        <w:t xml:space="preserve">dropout×weight-decay grid and a binding refutation condition (§4.9). The named</w:t>
      </w:r>
      <w:r>
        <w:t xml:space="preserve"> </w:t>
      </w:r>
      <w:r>
        <w:t xml:space="preserve">pretrained foundation models are scoped out with a</w:t>
      </w:r>
      <w:r>
        <w:t xml:space="preserve"> </w:t>
      </w:r>
      <w:r>
        <w:rPr>
          <w:i/>
          <w:iCs/>
        </w:rPr>
        <w:t xml:space="preserve">quantified</w:t>
      </w:r>
      <w:r>
        <w:t xml:space="preserve"> </w:t>
      </w:r>
      <w:r>
        <w:t xml:space="preserve">≈100%</w:t>
      </w:r>
      <w:r>
        <w:t xml:space="preserve"> </w:t>
      </w:r>
      <w:r>
        <w:t xml:space="preserve">pretraining-overlap confound rather than an asserted one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</w:t>
      </w:r>
      <w:r>
        <w:t xml:space="preserve"> </w:t>
      </w:r>
      <w:r>
        <w:t xml:space="preserve">effect metric-independently, and a length-robust containment index is added —</w:t>
      </w:r>
      <w:r>
        <w:t xml:space="preserve"> </w:t>
      </w:r>
      <w:r>
        <w:t xml:space="preserve">which honestly flags one previously-clean dataset as borderline (R1.3, R2.a2,</w:t>
      </w:r>
      <w:r>
        <w:t xml:space="preserve"> </w:t>
      </w:r>
      <w:r>
        <w:t xml:space="preserve">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</w:t>
      </w:r>
      <w:r>
        <w:t xml:space="preserve"> </w:t>
      </w:r>
      <w:r>
        <w:t xml:space="preserve">near-duplicate components, with intraclass correlation, design effect, an</w:t>
      </w:r>
      <w:r>
        <w:t xml:space="preserve"> </w:t>
      </w:r>
      <w:r>
        <w:t xml:space="preserve">analytic cluster-robust cross-check and a combined-source interval; it changes</w:t>
      </w:r>
      <w:r>
        <w:t xml:space="preserve"> </w:t>
      </w:r>
      <w:r>
        <w:t xml:space="preserve">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 natural,</w:t>
      </w:r>
      <w:r>
        <w:t xml:space="preserve"> </w:t>
      </w:r>
      <w:r>
        <w:t xml:space="preserve">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</w:t>
      </w:r>
      <w:r>
        <w:t xml:space="preserve"> </w:t>
      </w:r>
      <w:r>
        <w:t xml:space="preserve">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 — and, critically, that</w:t>
      </w:r>
      <w:r>
        <w:t xml:space="preserve"> </w:t>
      </w:r>
      <w:r>
        <w:t xml:space="preserve">cross-validation on the as-shipped training set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that configuration</w:t>
      </w:r>
      <w:r>
        <w:t xml:space="preserve"> </w:t>
      </w:r>
      <w:r>
        <w:t xml:space="preserve">(R3.2, and see the Discussion).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in the</w:t>
      </w:r>
      <w:r>
        <w:t xml:space="preserve"> </w:t>
      </w:r>
      <w:r>
        <w:t xml:space="preserve">Basset/DeepSEA lineage (one-hot input, no k-mer features, trained on each training</w:t>
      </w:r>
      <w:r>
        <w:t xml:space="preserve"> </w:t>
      </w:r>
      <w:r>
        <w:t xml:space="preserve">split only — no pretraining confound), 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</w:t>
      </w:r>
      <w:r>
        <w:t xml:space="preserve"> </w:t>
      </w:r>
      <w:r>
        <w:t xml:space="preserve">grid and a binding refutation condition pre-specified in a timestamped document in</w:t>
      </w:r>
      <w:r>
        <w:t xml:space="preserve"> </w:t>
      </w:r>
      <w:r>
        <w:t xml:space="preserve">the code release (</w:t>
      </w:r>
      <w:r>
        <w:rPr>
          <w:rStyle w:val="VerbatimChar"/>
        </w:rPr>
        <w:t xml:space="preserve">results/deep_preregistration.md</w:t>
      </w:r>
      <w:r>
        <w:t xml:space="preserve">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Nineteen of the 20 cells</w:t>
      </w:r>
      <w:r>
        <w:t xml:space="preserve"> </w:t>
      </w:r>
      <w:r>
        <w:t xml:space="preserve">drop with cluster CIs excluding zero; the sole exception is one nontata cell</w:t>
      </w:r>
      <w:r>
        <w:t xml:space="preserve"> </w:t>
      </w:r>
      <w:r>
        <w:t xml:space="preserve">(dropout 0.6 / wd 1e-4) where heavy dropout underfits, leaving no inflation to lose.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</w:t>
      </w:r>
      <w:r>
        <w:t xml:space="preserve"> </w:t>
      </w:r>
      <w:r>
        <w:t xml:space="preserve">hardest 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 The effect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.</w:t>
      </w:r>
    </w:p>
    <w:p>
      <w:pPr>
        <w:pStyle w:val="BodyText"/>
      </w:pPr>
      <w:r>
        <w:t xml:space="preserve">We also report one pre-registered expectation that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met: the</w:t>
      </w:r>
      <w:r>
        <w:t xml:space="preserve"> </w:t>
      </w:r>
      <w:r>
        <w:t xml:space="preserve">pre-registration called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 and it is not one — the drop is</w:t>
      </w:r>
      <w:r>
        <w:t xml:space="preserve"> </w:t>
      </w:r>
      <w:r>
        <w:t xml:space="preserve">non-monotone in both dropout and weight decay. We state this rather than quietly</w:t>
      </w:r>
      <w:r>
        <w:t xml:space="preserve"> </w:t>
      </w:r>
      <w:r>
        <w:t xml:space="preserve">restating the grid, since a pre-registration reported selectively is worth nothing.</w:t>
      </w:r>
    </w:p>
    <w:p>
      <w:pPr>
        <w:pStyle w:val="BodyText"/>
      </w:pPr>
      <w:r>
        <w:rPr>
          <w:b/>
          <w:bCs/>
        </w:rPr>
        <w:t xml:space="preserve">(c) The deep model is not just affected — it is the model the leaky split</w:t>
      </w:r>
      <w:r>
        <w:rPr>
          <w:b/>
          <w:bCs/>
        </w:rPr>
        <w:t xml:space="preserve"> </w:t>
      </w:r>
      <w:r>
        <w:rPr>
          <w:b/>
          <w:bCs/>
        </w:rPr>
        <w:t xml:space="preserve">penalises.</w:t>
      </w:r>
      <w:r>
        <w:t xml:space="preserve"> </w:t>
      </w:r>
      <w:r>
        <w:t xml:space="preserve">An earlier draft of this revision declined to rank the CNN, because the</w:t>
      </w:r>
      <w:r>
        <w:t xml:space="preserve"> </w:t>
      </w:r>
      <w:r>
        <w:t xml:space="preserve">evidence was a single run whose value sat inside a nine-cell grid spanning</w:t>
      </w:r>
      <w:r>
        <w:t xml:space="preserve"> </w:t>
      </w:r>
      <w:r>
        <w:t xml:space="preserve">0.749–0.813 with the linear SVM’s 0.7975 in the middle of it. We have since run the</w:t>
      </w:r>
      <w:r>
        <w:t xml:space="preserve"> </w:t>
      </w:r>
      <w:r>
        <w:t xml:space="preserve">replicated, interval-bearing comparison that situation called for (§4.4). Across</w:t>
      </w:r>
      <w:r>
        <w:t xml:space="preserve"> </w:t>
      </w:r>
      <w:r>
        <w:rPr>
          <w:b/>
          <w:bCs/>
        </w:rPr>
        <w:t xml:space="preserve">five training seeds</w:t>
      </w:r>
      <w:r>
        <w:t xml:space="preserve"> </w:t>
      </w:r>
      <w:r>
        <w:t xml:space="preserve">the network scores 0.8028–0.8131 corrected (mean 0.8086,</w:t>
      </w:r>
      <w:r>
        <w:t xml:space="preserve"> </w:t>
      </w:r>
      <w:r>
        <w:t xml:space="preserve">sd 0.0040) against the SVM’s 0.7975, and 0.8119–0.8359 as shipped.</w:t>
      </w:r>
      <w:r>
        <w:t xml:space="preserve"> </w:t>
      </w:r>
      <w:r>
        <w:rPr>
          <w:b/>
          <w:bCs/>
        </w:rPr>
        <w:t xml:space="preserve">On every seed it</w:t>
      </w:r>
      <w:r>
        <w:rPr>
          <w:b/>
          <w:bCs/>
        </w:rPr>
        <w:t xml:space="preserve"> </w:t>
      </w:r>
      <w:r>
        <w:rPr>
          <w:b/>
          <w:bCs/>
        </w:rPr>
        <w:t xml:space="preserve">ranks fifth on the leaky split and first on the corrected one.</w:t>
      </w:r>
      <w:r>
        <w:t xml:space="preserve"> </w:t>
      </w:r>
      <w:r>
        <w:t xml:space="preserve">Scoring both models</w:t>
      </w:r>
      <w:r>
        <w:t xml:space="preserve"> </w:t>
      </w:r>
      <w:r>
        <w:t xml:space="preserve">on the same corrected test set and differencing per example, the paired difference is</w:t>
      </w:r>
      <w:r>
        <w:t xml:space="preserve"> </w:t>
      </w:r>
      <w:r>
        <w:rPr>
          <w:b/>
          <w:bCs/>
        </w:rPr>
        <w:t xml:space="preserve">+0.0111, combined-source CI [0.0019, 0.0204]</w:t>
      </w:r>
      <w:r>
        <w:t xml:space="preserve">, excluding zero — so the comparison</w:t>
      </w:r>
      <w:r>
        <w:t xml:space="preserve"> </w:t>
      </w:r>
      <w:r>
        <w:t xml:space="preserve">now satisfies the inversion criterion (§3.3) that the earlier draft was unwilling to</w:t>
      </w:r>
      <w:r>
        <w:t xml:space="preserve"> </w:t>
      </w:r>
      <w:r>
        <w:t xml:space="preserve">bypass. That interval folds the seed-to-seed SD (0.0040) into the cluster-bootstrap SD</w:t>
      </w:r>
      <w:r>
        <w:t xml:space="preserve"> </w:t>
      </w:r>
      <w:r>
        <w:t xml:space="preserve">(0.0026) in quadrature, by the same rule used for the paper’s other combined-source</w:t>
      </w:r>
      <w:r>
        <w:t xml:space="preserve"> </w:t>
      </w:r>
      <w:r>
        <w:t xml:space="preserve">intervals, because the quantity of interest is the advantage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trained network,</w:t>
      </w:r>
      <w:r>
        <w:t xml:space="preserve"> </w:t>
      </w:r>
      <w:r>
        <w:t xml:space="preserve">not of an average over five. We flag that bootstrapping seed-averaged per-example</w:t>
      </w:r>
      <w:r>
        <w:t xml:space="preserve"> </w:t>
      </w:r>
      <w:r>
        <w:t xml:space="preserve">correctness instead yields [0.0063, 0.0161] — narrower than any single seed’s interval,</w:t>
      </w:r>
      <w:r>
        <w:t xml:space="preserve"> </w:t>
      </w:r>
      <w:r>
        <w:t xml:space="preserve">because averaging removes training variance rather than estimating it. We do not report</w:t>
      </w:r>
      <w:r>
        <w:t xml:space="preserve"> </w:t>
      </w:r>
      <w:r>
        <w:t xml:space="preserve">that figure as the result.</w:t>
      </w:r>
    </w:p>
    <w:p>
      <w:pPr>
        <w:pStyle w:val="BodyText"/>
      </w:pPr>
      <w:r>
        <w:t xml:space="preserve">So leakage does not only promote a memorizer; on this dataset it</w:t>
      </w:r>
      <w:r>
        <w:t xml:space="preserve"> </w:t>
      </w:r>
      <w:r>
        <w:rPr>
          <w:b/>
          <w:bCs/>
        </w:rPr>
        <w:t xml:space="preserve">demotes the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 family whose baselines this suite publishes</w:t>
      </w:r>
      <w:r>
        <w:t xml:space="preserve">. We attach three</w:t>
      </w:r>
      <w:r>
        <w:t xml:space="preserve"> </w:t>
      </w:r>
      <w:r>
        <w:t xml:space="preserve">qualifications rather than leave them for a referee: four of the five seeds’ paired</w:t>
      </w:r>
      <w:r>
        <w:t xml:space="preserve"> </w:t>
      </w:r>
      <w:r>
        <w:t xml:space="preserve">intervals exclude zero and the fifth does not (+0.0053, [−0.0006, 0.0109]), so the</w:t>
      </w:r>
      <w:r>
        <w:t xml:space="preserve"> </w:t>
      </w:r>
      <w:r>
        <w:t xml:space="preserve">advantage is uniform in rank but not in significance; the CNN was not in the</w:t>
      </w:r>
      <w:r>
        <w:t xml:space="preserve"> </w:t>
      </w:r>
      <w:r>
        <w:t xml:space="preserve">pre-registered nine-model roster, so this comparison is</w:t>
      </w:r>
      <w:r>
        <w:t xml:space="preserve"> </w:t>
      </w:r>
      <w:r>
        <w:rPr>
          <w:b/>
          <w:bCs/>
        </w:rPr>
        <w:t xml:space="preserve">post hoc</w:t>
      </w:r>
      <w:r>
        <w:t xml:space="preserve"> </w:t>
      </w:r>
      <w:r>
        <w:t xml:space="preserve">and labelled so;</w:t>
      </w:r>
      <w:r>
        <w:t xml:space="preserve"> </w:t>
      </w:r>
      <w:r>
        <w:t xml:space="preserve">and it is one dataset.</w:t>
      </w:r>
    </w:p>
    <w:p>
      <w:pPr>
        <w:pStyle w:val="BodyText"/>
      </w:pPr>
      <w:r>
        <w:t xml:space="preserve">Two by-products of running it are worth reporting. First, we</w:t>
      </w:r>
      <w:r>
        <w:t xml:space="preserve"> </w:t>
      </w:r>
      <w:r>
        <w:rPr>
          <w:b/>
          <w:bCs/>
        </w:rPr>
        <w:t xml:space="preserve">verified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assumed</w:t>
      </w:r>
      <w:r>
        <w:t xml:space="preserve"> </w:t>
      </w:r>
      <w:r>
        <w:t xml:space="preserve">that the deep-model and roster corrected splits are the same partition —</w:t>
      </w:r>
      <w:r>
        <w:t xml:space="preserve"> </w:t>
      </w:r>
      <w:r>
        <w:t xml:space="preserve">refitting the linear SVM on the deep-model split reproduces its published 0.7975</w:t>
      </w:r>
      <w:r>
        <w:t xml:space="preserve"> </w:t>
      </w:r>
      <w:r>
        <w:t xml:space="preserve">exactly. The manuscript had been comparing those two numbers without that check.</w:t>
      </w:r>
      <w:r>
        <w:t xml:space="preserve"> </w:t>
      </w:r>
      <w:r>
        <w:t xml:space="preserve">Second, the same replication</w:t>
      </w:r>
      <w:r>
        <w:t xml:space="preserve"> </w:t>
      </w:r>
      <w:r>
        <w:rPr>
          <w:b/>
          <w:bCs/>
        </w:rPr>
        <w:t xml:space="preserve">weakens</w:t>
      </w:r>
      <w:r>
        <w:t xml:space="preserve"> </w:t>
      </w:r>
      <w:r>
        <w:t xml:space="preserve">a number we had reported: the reference</w:t>
      </w:r>
      <w:r>
        <w:t xml:space="preserve"> </w:t>
      </w:r>
      <w:r>
        <w:t xml:space="preserve">cell’s drop is 0.014 at seed 0 but ranges 0.0049–0.0269 across seeds, a five-fold</w:t>
      </w:r>
      <w:r>
        <w:t xml:space="preserve"> </w:t>
      </w:r>
      <w:r>
        <w:t xml:space="preserve">spread, and the smallest seed’s interval includes zero. §4.9 now reports that range</w:t>
      </w:r>
      <w:r>
        <w:t xml:space="preserve"> </w:t>
      </w:r>
      <w:r>
        <w:t xml:space="preserve">and flags the +0.014 as one draw rather than the cell’s value. The corrected accuracy</w:t>
      </w:r>
      <w:r>
        <w:t xml:space="preserve"> </w:t>
      </w:r>
      <w:r>
        <w:t xml:space="preserve">is stable to ±0.004 while the drop varies five-fold, so it is the as-shipped score</w:t>
      </w:r>
      <w:r>
        <w:t xml:space="preserve"> </w:t>
      </w:r>
      <w:r>
        <w:t xml:space="preserve">that moves.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 and</w:t>
      </w:r>
      <w:r>
        <w:t xml:space="preserve"> </w:t>
      </w:r>
      <w:r>
        <w:t xml:space="preserve">reproduced only as a within-suite 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 to short human regulatory DNA plus a</w:t>
      </w:r>
      <w:r>
        <w:t xml:space="preserve"> </w:t>
      </w:r>
      <w:r>
        <w:t xml:space="preserve">memorization-prone model in the comparison set. The title carries that scope.</w:t>
      </w:r>
    </w:p>
    <w:p>
      <w:pPr>
        <w:pStyle w:val="BodyText"/>
      </w:pPr>
      <w:r>
        <w:t xml:space="preserve">We also tested the reach</w:t>
      </w:r>
      <w:r>
        <w:t xml:space="preserve"> </w:t>
      </w:r>
      <w:r>
        <w:rPr>
          <w:b/>
          <w:bCs/>
        </w:rPr>
        <w:t xml:space="preserve">empirically</w:t>
      </w:r>
      <w:r>
        <w:t xml:space="preserve">, on two further suites, rather than</w:t>
      </w:r>
      <w:r>
        <w:t xml:space="preserve"> </w:t>
      </w:r>
      <w:r>
        <w:t xml:space="preserve">arguing it. Applying the census unchanged to the</w:t>
      </w:r>
      <w:r>
        <w:t xml:space="preserve"> </w:t>
      </w:r>
      <w:r>
        <w:rPr>
          <w:b/>
          <w:bCs/>
        </w:rPr>
        <w:t xml:space="preserve">Nucleotide Transformer</w:t>
      </w:r>
      <w:r>
        <w:t xml:space="preserve"> </w:t>
      </w:r>
      <w:r>
        <w:t xml:space="preserve">downstream tasks (§4.10) finds</w:t>
      </w:r>
      <w:r>
        <w:t xml:space="preserve"> </w:t>
      </w:r>
      <w:r>
        <w:rPr>
          <w:b/>
          <w:bCs/>
        </w:rPr>
        <w:t xml:space="preserve">three of eleven independent tasks leaky</w:t>
      </w:r>
      <w:r>
        <w:t xml:space="preserve"> </w:t>
      </w:r>
      <w:r>
        <w:t xml:space="preserve">and six</w:t>
      </w:r>
      <w:r>
        <w:t xml:space="preserve"> </w:t>
      </w:r>
      <w:r>
        <w:t xml:space="preserve">more borderline, leaving two clean — so the defect is not confined to Genomic</w:t>
      </w:r>
      <w:r>
        <w:t xml:space="preserve"> </w:t>
      </w:r>
      <w:r>
        <w:t xml:space="preserve">Benchmarks. We then pre-registered predictions for</w:t>
      </w:r>
      <w:r>
        <w:t xml:space="preserve"> </w:t>
      </w:r>
      <w:r>
        <w:rPr>
          <w:b/>
          <w:bCs/>
        </w:rPr>
        <w:t xml:space="preserve">GUE</w:t>
      </w:r>
      <w:r>
        <w:t xml:space="preserve"> </w:t>
      </w:r>
      <w:r>
        <w:t xml:space="preserve">before examining it, and</w:t>
      </w:r>
      <w:r>
        <w:t xml:space="preserve"> </w:t>
      </w:r>
      <w:r>
        <w:rPr>
          <w:b/>
          <w:bCs/>
        </w:rPr>
        <w:t xml:space="preserve">they failed</w:t>
      </w:r>
      <w:r>
        <w:t xml:space="preserve"> </w:t>
      </w:r>
      <w:r>
        <w:t xml:space="preserve">(§4.10): we predicted its short fixed-length human regulatory tasks</w:t>
      </w:r>
      <w:r>
        <w:t xml:space="preserve"> </w:t>
      </w:r>
      <w:r>
        <w:t xml:space="preserve">(core promoter 70 bp, promoter 300 bp, TF binding 101 bp) would be leaky, and at</w:t>
      </w:r>
      <w:r>
        <w:t xml:space="preserve"> </w:t>
      </w:r>
      <w:r>
        <w:t xml:space="preserve">full scale</w:t>
      </w:r>
      <w:r>
        <w:t xml:space="preserve"> </w:t>
      </w:r>
      <w:r>
        <w:rPr>
          <w:b/>
          <w:bCs/>
        </w:rPr>
        <w:t xml:space="preserve">all eleven predicted-leaky tasks are clean</w:t>
      </w:r>
      <w:r>
        <w:t xml:space="preserve"> </w:t>
      </w:r>
      <w:r>
        <w:t xml:space="preserve">— near-duplicate fractions</w:t>
      </w:r>
      <w:r>
        <w:t xml:space="preserve"> </w:t>
      </w:r>
      <w:r>
        <w:t xml:space="preserve">0.009–0.041 by Jaccard, the largest under half the verdict cut. We count those</w:t>
      </w:r>
      <w:r>
        <w:t xml:space="preserve"> </w:t>
      </w:r>
      <w:r>
        <w:t xml:space="preserve">eleven conservatively as</w:t>
      </w:r>
      <w:r>
        <w:t xml:space="preserve"> </w:t>
      </w:r>
      <w:r>
        <w:rPr>
          <w:b/>
          <w:bCs/>
        </w:rPr>
        <w:t xml:space="preserve">seven</w:t>
      </w:r>
      <w:r>
        <w:t xml:space="preserve"> </w:t>
      </w:r>
      <w:r>
        <w:t xml:space="preserve">independent test partitions, since the</w:t>
      </w:r>
      <w:r>
        <w:t xml:space="preserve"> </w:t>
      </w:r>
      <w:r>
        <w:rPr>
          <w:rStyle w:val="VerbatimChar"/>
        </w:rPr>
        <w:t xml:space="preserve">_all</w:t>
      </w:r>
      <w:r>
        <w:t xml:space="preserve"> </w:t>
      </w:r>
      <w:r>
        <w:t xml:space="preserve">promoter test sets are exact unions of their own</w:t>
      </w:r>
      <w:r>
        <w:t xml:space="preserve"> </w:t>
      </w:r>
      <w:r>
        <w:rPr>
          <w:rStyle w:val="VerbatimChar"/>
        </w:rPr>
        <w:t xml:space="preserve">notata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tata</w:t>
      </w:r>
      <w:r>
        <w:t xml:space="preserve"> </w:t>
      </w:r>
      <w:r>
        <w:t xml:space="preserve">test sets and</w:t>
      </w:r>
      <w:r>
        <w:t xml:space="preserve"> </w:t>
      </w:r>
      <w:r>
        <w:t xml:space="preserve">the 70 bp and 300 bp families are the same loci at two window widths.</w:t>
      </w:r>
    </w:p>
    <w:p>
      <w:pPr>
        <w:pStyle w:val="BodyText"/>
      </w:pPr>
      <w:r>
        <w:t xml:space="preserve">We report that failure prominently because it is the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generalization</w:t>
      </w:r>
      <w:r>
        <w:t xml:space="preserve"> </w:t>
      </w:r>
      <w:r>
        <w:t xml:space="preserve">result. It refutes the natural reading of our own finding — that short human</w:t>
      </w:r>
      <w:r>
        <w:t xml:space="preserve"> </w:t>
      </w:r>
      <w:r>
        <w:t xml:space="preserve">regulatory DNA is inherently at risk — and replaces it with a sharper one:</w:t>
      </w:r>
      <w:r>
        <w:t xml:space="preserve"> </w:t>
      </w:r>
      <w:r>
        <w:rPr>
          <w:b/>
          <w:bCs/>
        </w:rPr>
        <w:t xml:space="preserve">leakage tracks how a dataset was constructed, not what kind of task it is.</w:t>
      </w:r>
      <w:r>
        <w:t xml:space="preserve"> </w:t>
      </w:r>
      <w:r>
        <w:t xml:space="preserve">Genomic Benchmarks’ leaky positive class is an un-deduplicated assembly with</w:t>
      </w:r>
      <w:r>
        <w:t xml:space="preserve"> </w:t>
      </w:r>
      <w:r>
        <w:t xml:space="preserve">77,421 intervals on 40,934 coordinates; GUE’s tasks, matching it on sequence type</w:t>
      </w:r>
      <w:r>
        <w:t xml:space="preserve"> </w:t>
      </w:r>
      <w:r>
        <w:t xml:space="preserve">and length, are clean because they were not built that way. That is a claim about</w:t>
      </w:r>
      <w:r>
        <w:t xml:space="preserve"> </w:t>
      </w:r>
      <w:r>
        <w:t xml:space="preserve">construction, and it is the one our manipulation experiment (§4.7) directly tests.</w:t>
      </w:r>
    </w:p>
    <w:p>
      <w:pPr>
        <w:pStyle w:val="BodyText"/>
      </w:pPr>
      <w:r>
        <w:t xml:space="preserve">Two parts of the reviewer’s question we have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answered and do not claim to:</w:t>
      </w:r>
      <w:r>
        <w:t xml:space="preserve"> </w:t>
      </w:r>
      <w:r>
        <w:rPr>
          <w:b/>
          <w:bCs/>
        </w:rPr>
        <w:t xml:space="preserve">protein sequence modelling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long-range regulatory</w:t>
      </w:r>
      <w:r>
        <w:t xml:space="preserve"> </w:t>
      </w:r>
      <w:r>
        <w:t xml:space="preserve">modelling. Both are</w:t>
      </w:r>
      <w:r>
        <w:t xml:space="preserve"> </w:t>
      </w:r>
      <w:r>
        <w:t xml:space="preserve">outside this study, and we name them as extensions rather than implying coverage</w:t>
      </w:r>
      <w:r>
        <w:t xml:space="preserve"> </w:t>
      </w:r>
      <w:r>
        <w:t xml:space="preserve">(§5). We would rather concede those two than stretch DNA-suite evidence to cover</w:t>
      </w:r>
      <w:r>
        <w:t xml:space="preserve"> </w:t>
      </w:r>
      <w:r>
        <w:t xml:space="preserve">them.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best on truly novel sequences, so its</w:t>
      </w:r>
      <w:r>
        <w:t xml:space="preserve"> </w:t>
      </w:r>
      <w:r>
        <w:t xml:space="preserve">advantage is partly genuine generalization. Single-linkage</w:t>
      </w:r>
      <w: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supplies the</w:t>
      </w:r>
      <w:r>
        <w:t xml:space="preserve"> </w:t>
      </w:r>
      <w:r>
        <w:t xml:space="preserve">biological reason (§4.13): ensembl’s clusters are 99.6% pairwise with largest-cluster</w:t>
      </w:r>
      <w:r>
        <w:t xml:space="preserve"> </w:t>
      </w:r>
      <w:r>
        <w:t xml:space="preserve">cohesion 0.96 — clean discrete locus duplication, where correction is a clean fix —</w:t>
      </w:r>
      <w:r>
        <w:t xml:space="preserve"> </w:t>
      </w:r>
      <w:r>
        <w:t xml:space="preserve">whereas nontata’s 420-member largest cluster has cohesion 0.083, i.e. heavy</w:t>
      </w:r>
      <w:r>
        <w:t xml:space="preserve"> </w:t>
      </w:r>
      <w:r>
        <w:t xml:space="preserve">transitive chaining that over-removes genuine promoter and gene-family signal. We</w:t>
      </w:r>
      <w:r>
        <w:t xml:space="preserve"> </w:t>
      </w:r>
      <w:r>
        <w:t xml:space="preserve">reframe both the corrected split and novel-only accuracy as explicit</w:t>
      </w:r>
      <w:r>
        <w:t xml:space="preserve"> </w:t>
      </w:r>
      <w:r>
        <w:t xml:space="preserve">near-duplicate-bounded proxies (Methods §3.5, §3.9) and name leave-one-chromosome-out</w:t>
      </w:r>
      <w:r>
        <w:t xml:space="preserve"> </w:t>
      </w:r>
      <w:r>
        <w:t xml:space="preserve">as the deployment-relevant control (§4.12). This is the core of the</w:t>
      </w:r>
      <w:r>
        <w:t xml:space="preserve"> </w:t>
      </w:r>
      <w:r>
        <w:t xml:space="preserve">nontata-as-cautionary-case framing (§4.3, §5).</w:t>
      </w:r>
    </w:p>
    <w:p>
      <w:pPr>
        <w:pStyle w:val="BodyText"/>
      </w:pPr>
      <w:r>
        <w:t xml:space="preserve">We also disclose a decomposition that cuts the other way and belongs in the record</w:t>
      </w:r>
      <w:r>
        <w:t xml:space="preserve"> </w:t>
      </w:r>
      <w:r>
        <w:t xml:space="preserve">(§4.3): on ensembl,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 with no</w:t>
      </w:r>
      <w:r>
        <w:t xml:space="preserve"> </w:t>
      </w:r>
      <w:r>
        <w:t xml:space="preserve">re-splitting and no retraining, the forest already ranks below the linear SVM, but</w:t>
      </w:r>
      <w:r>
        <w:t xml:space="preserve"> </w:t>
      </w:r>
      <w:r>
        <w:t xml:space="preserve">by only 1.2 points; after re-splitting and refitting it sits ~10 points below, so the remaining ~9 points are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, because</w:t>
      </w:r>
      <w:r>
        <w:t xml:space="preserve"> </w:t>
      </w:r>
      <w:r>
        <w:t xml:space="preserve">de-leaking removes near-duplicate partners from the training set too. Both are</w:t>
      </w:r>
      <w:r>
        <w:t xml:space="preserve"> </w:t>
      </w:r>
      <w:r>
        <w:t xml:space="preserve">consequences of leakage, but they are different quantities and we now say so.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 → 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“alignment-scored”</w:t>
      </w:r>
      <w:r>
        <w:t xml:space="preserve">, not k-mer-independent, since MMseqs2 is</w:t>
      </w:r>
      <w:r>
        <w:t xml:space="preserve"> </w:t>
      </w:r>
      <w:r>
        <w:t xml:space="preserve">itself k-mer-seeded (</w:t>
      </w:r>
      <w:r>
        <w:rPr>
          <w:b/>
          <w:bCs/>
        </w:rPr>
        <w:t xml:space="preserve">§4.12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Thresholds:</w:t>
      </w:r>
      <w:r>
        <w:t xml:space="preserve"> </w:t>
      </w:r>
      <w:r>
        <w:t xml:space="preserve">the clustering-threshold sweep (0.5/0.7/0.9) changes no verdict</w:t>
      </w:r>
      <w:r>
        <w:t xml:space="preserve"> </w:t>
      </w:r>
      <w:r>
        <w:t xml:space="preserve">(Methods §3.5); the length-robust containment re-measure and the bimodal-vs-graded</w:t>
      </w:r>
      <w:r>
        <w:t xml:space="preserve"> </w:t>
      </w:r>
      <w:r>
        <w:t xml:space="preserve">similarity structure (cohesion 0.96 vs 0.083) provide the decision basis. The new</w:t>
      </w:r>
      <w:r>
        <w:t xml:space="preserve"> </w:t>
      </w:r>
      <w:r>
        <w:t xml:space="preserve">Conclusion (§6) states the resulting recommendations plainly: audit at full dataset</w:t>
      </w:r>
      <w:r>
        <w:t xml:space="preserve"> </w:t>
      </w:r>
      <w:r>
        <w:t xml:space="preserve">scale, report both a length-blind and a length-robust similarity, deduplicate in</w:t>
      </w:r>
      <w:r>
        <w:t xml:space="preserve"> </w:t>
      </w:r>
      <w:r>
        <w:t xml:space="preserve">coordinate space before splitting, and keep a memorization-prone learner in the</w:t>
      </w:r>
      <w:r>
        <w:t xml:space="preserve"> </w:t>
      </w:r>
      <w:r>
        <w:t xml:space="preserve">comparison set as a tripwire.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 and MCC on both leaky datasets, and</w:t>
      </w:r>
      <w:r>
        <w:rPr>
          <w:b/>
          <w:bCs/>
        </w:rPr>
        <w:t xml:space="preserve"> </w:t>
      </w:r>
      <w:r>
        <w:rPr>
          <w:b/>
          <w:bCs/>
        </w:rPr>
        <w:t xml:space="preserve">additionally by minority recall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rPr>
          <w:b/>
          <w:bCs/>
        </w:rPr>
        <w:t xml:space="preserve">, but masked by accuracy on</w:t>
      </w:r>
      <w:r>
        <w:rPr>
          <w:b/>
          <w:bCs/>
        </w:rP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minority recall is flat, 0.673 -&gt; 0.674, and we</w:t>
      </w:r>
      <w:r>
        <w:t xml:space="preserve"> </w:t>
      </w:r>
      <w:r>
        <w:t xml:space="preserve">say so in §4.13) (ensembl π=0.2: AUPRC 0.622 → 0.477, MCC 0.422 → 0.182, minority recall</w:t>
      </w:r>
      <w:r>
        <w:t xml:space="preserve"> </w:t>
      </w:r>
      <w:r>
        <w:t xml:space="preserve">0.258 → 0.070, while accuracy barely moves, 0.844 → 0.808). The splitter is extended</w:t>
      </w:r>
      <w:r>
        <w:t xml:space="preserve"> </w:t>
      </w:r>
      <w:r>
        <w:t xml:space="preserve">with a per-class realized-fraction check and preserves the target prevalence</w:t>
      </w:r>
      <w:r>
        <w:t xml:space="preserve"> </w:t>
      </w:r>
      <w:r>
        <w:t xml:space="preserve">(realized 0.5001 / 0.2007 / 0.1001).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bookmarkEnd w:id="15"/>
    <w:bookmarkStart w:id="16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vs 0.162) and the demotion persists. We add two further</w:t>
      </w:r>
      <w:r>
        <w:t xml:space="preserve"> </w:t>
      </w:r>
      <w:r>
        <w:t xml:space="preserve">metric-independent lines of evidence. First, ensembl’s leakage is</w:t>
      </w:r>
      <w:r>
        <w:t xml:space="preserve"> </w:t>
      </w:r>
      <w:r>
        <w:rPr>
          <w:b/>
          <w:bCs/>
        </w:rPr>
        <w:t xml:space="preserve">38.0%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duplication — no similarity metric is involved in counting exact</w:t>
      </w:r>
      <w:r>
        <w:t xml:space="preserve"> </w:t>
      </w:r>
      <w:r>
        <w:t xml:space="preserve">copies. Second, and new in this revision,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(§4.6)</w:t>
      </w:r>
      <w:r>
        <w:t xml:space="preserve"> </w:t>
      </w:r>
      <w:r>
        <w:t xml:space="preserve">identifies the defect in the shipped genomic intervals, which are causally upstream</w:t>
      </w:r>
      <w:r>
        <w:t xml:space="preserve"> </w:t>
      </w:r>
      <w:r>
        <w:t xml:space="preserve">of and statistically independent from the k-mer clustering: 77,421 positive intervals</w:t>
      </w:r>
      <w:r>
        <w:t xml:space="preserve"> </w:t>
      </w:r>
      <w:r>
        <w:t xml:space="preserve">sit on only 40,934 distinct coordinates, and every one of the 36,487 duplicated pairs</w:t>
      </w:r>
      <w:r>
        <w:t xml:space="preserve"> </w:t>
      </w:r>
      <w:r>
        <w:t xml:space="preserve">carries byte-identical sequences and a single label. That is a cross-modal</w:t>
      </w:r>
      <w:r>
        <w:t xml:space="preserve"> </w:t>
      </w:r>
      <w:r>
        <w:t xml:space="preserve">confirmation, not a restatement.</w:t>
      </w:r>
      <w:r>
        <w:t xml:space="preserve"> </w:t>
      </w:r>
      <w:r>
        <w:rPr>
          <w:b/>
          <w:bCs/>
        </w:rPr>
        <w:t xml:space="preserve">§4.12</w:t>
      </w:r>
      <w:r>
        <w:t xml:space="preserve">,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 §3.4, §3.6, §3.10.</w:t>
      </w:r>
    </w:p>
    <w:bookmarkEnd w:id="16"/>
    <w:bookmarkStart w:id="17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the CNN (R1.1a, §4.9), now seed-replicated with a paired interval and</w:t>
      </w:r>
      <w:r>
        <w:t xml:space="preserve"> </w:t>
      </w:r>
      <w:r>
        <w:t xml:space="preserve">shown to move from rank 5 to rank 1 under correction on every seed — a</w:t>
      </w:r>
      <w:r>
        <w:t xml:space="preserve"> </w:t>
      </w:r>
      <w:r>
        <w:rPr>
          <w:b/>
          <w:bCs/>
        </w:rPr>
        <w:t xml:space="preserve">post hoc</w:t>
      </w:r>
      <w:r>
        <w:t xml:space="preserve"> </w:t>
      </w:r>
      <w:r>
        <w:t xml:space="preserve">comparison, and one in which four of the five seeds’ intervals exclude zero while the</w:t>
      </w:r>
      <w:r>
        <w:t xml:space="preserve"> </w:t>
      </w:r>
      <w:r>
        <w:t xml:space="preserve">fifth does not (R1.1c, §4.4); and the</w:t>
      </w:r>
      <w:r>
        <w:t xml:space="preserve"> </w:t>
      </w:r>
      <w:r>
        <w:t xml:space="preserve">multilayer perceptron in the nine-model roster (§4.4), whose drop also excludes zero</w:t>
      </w:r>
      <w:r>
        <w:t xml:space="preserve"> </w:t>
      </w:r>
      <w:r>
        <w:t xml:space="preserve">— the inflation reaches a neural learner that we had not designated</w:t>
      </w:r>
      <w:r>
        <w:t xml:space="preserve"> </w:t>
      </w:r>
      <w:r>
        <w:t xml:space="preserve">memorization-prone in advance.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 multiclass set is clean, so we answer by construction,</w:t>
      </w:r>
      <w:r>
        <w:t xml:space="preserve"> </w:t>
      </w:r>
      <w:r>
        <w:t xml:space="preserve">injecting label-carrying near-duplicates at f ∈ {0, 0.1, 0.2, 0.4} into the clean</w:t>
      </w:r>
      <w:r>
        <w:t xml:space="preserve"> </w:t>
      </w:r>
      <w:r>
        <w:t xml:space="preserve">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</w:t>
      </w:r>
      <w:r>
        <w:t xml:space="preserve"> </w:t>
      </w:r>
      <w:r>
        <w:t xml:space="preserve">(+0.0004, +0.118, +0.179, +0.258) while LR stays flat (≤0.066), and the corrected</w:t>
      </w:r>
      <w:r>
        <w:t xml:space="preserve"> </w:t>
      </w:r>
      <w:r>
        <w:t xml:space="preserve">accuracy is stable (~0.58) because the split removes the injected leakage.</w:t>
      </w:r>
      <w:r>
        <w:t xml:space="preserve"> </w:t>
      </w:r>
      <w:r>
        <w:rPr>
          <w:b/>
          <w:bCs/>
        </w:rPr>
        <w:t xml:space="preserve">§4.13</w:t>
      </w:r>
      <w:r>
        <w:t xml:space="preserve">;</w:t>
      </w:r>
      <w:r>
        <w:t xml:space="preserve"> </w:t>
      </w:r>
      <w:r>
        <w:t xml:space="preserve">Methods §3.9. We state explicitly that leakage is injected because the suite ships no</w:t>
      </w:r>
      <w:r>
        <w:t xml:space="preserve"> </w:t>
      </w:r>
      <w:r>
        <w:t xml:space="preserve">naturally leaky multiclass set.</w:t>
      </w:r>
    </w:p>
    <w:p>
      <w:pPr>
        <w:pStyle w:val="BodyText"/>
      </w:pPr>
      <w:r>
        <w:t xml:space="preserve">One part of this comment we have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fully met, and would rather name than let</w:t>
      </w:r>
      <w:r>
        <w:t xml:space="preserve"> </w:t>
      </w:r>
      <w:r>
        <w:t xml:space="preserve">pass: the reviewer asks for deep models</w:t>
      </w:r>
      <w:r>
        <w:t xml:space="preserve"> </w:t>
      </w:r>
      <w:r>
        <w:t xml:space="preserve">“in both binary and 3-class settings”</w:t>
      </w:r>
      <w:r>
        <w:t xml:space="preserve">, and our</w:t>
      </w:r>
      <w:r>
        <w:t xml:space="preserve"> </w:t>
      </w:r>
      <w:r>
        <w:t xml:space="preserve">multiclass arm is</w:t>
      </w:r>
      <w:r>
        <w:t xml:space="preserve"> </w:t>
      </w:r>
      <w:r>
        <w:rPr>
          <w:b/>
          <w:bCs/>
        </w:rPr>
        <w:t xml:space="preserve">classical only</w:t>
      </w:r>
      <w:r>
        <w:t xml:space="preserve"> </w:t>
      </w:r>
      <w:r>
        <w:t xml:space="preserve">(random forest against logistic regression). The</w:t>
      </w:r>
      <w:r>
        <w:t xml:space="preserve"> </w:t>
      </w:r>
      <w:r>
        <w:t xml:space="preserve">CNN evidence is binary. We did not extend the injected-leakage construction to the CNN</w:t>
      </w:r>
      <w:r>
        <w:t xml:space="preserve"> </w:t>
      </w:r>
      <w:r>
        <w:t xml:space="preserve">because the mechanism there is imposed by us rather than measured, so a deep replicate</w:t>
      </w:r>
      <w:r>
        <w:t xml:space="preserve"> </w:t>
      </w:r>
      <w:r>
        <w:t xml:space="preserve">would test our injection procedure rather than the suite; the binary CNN result, which</w:t>
      </w:r>
      <w:r>
        <w:t xml:space="preserve"> </w:t>
      </w:r>
      <w:r>
        <w:t xml:space="preserve">is measured on shipped data, is the stronger evidence and is where we put the compute.</w:t>
      </w:r>
      <w:r>
        <w:t xml:space="preserve"> </w:t>
      </w:r>
      <w:r>
        <w:t xml:space="preserve">That is a judgement, not a claim of coverage, and a referee who disagrees is entitled</w:t>
      </w:r>
      <w:r>
        <w:t xml:space="preserve"> </w:t>
      </w:r>
      <w:r>
        <w:t xml:space="preserve">to ask for the run.</w:t>
      </w:r>
    </w:p>
    <w:bookmarkEnd w:id="17"/>
    <w:bookmarkStart w:id="18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§3.5) and to removal of the single largest component. We report the geometry</w:t>
      </w:r>
      <w:r>
        <w:t xml:space="preserve"> </w:t>
      </w:r>
      <w:r>
        <w:t xml:space="preserve">that drives the recommendation: the length-robust containment index (§4.1, §4.13) as</w:t>
      </w:r>
      <w:r>
        <w:t xml:space="preserve"> </w:t>
      </w:r>
      <w:r>
        <w:t xml:space="preserve">the metric to prefer when lengths vary, and single-linkage cohesion as the diagnostic</w:t>
      </w:r>
      <w:r>
        <w:t xml:space="preserve"> </w:t>
      </w:r>
      <w:r>
        <w:t xml:space="preserve">separating a clean discrete-duplication case (ensembl — one threshold suffices) from</w:t>
      </w:r>
      <w:r>
        <w:t xml:space="preserve"> </w:t>
      </w:r>
      <w:r>
        <w:t xml:space="preserve">a transitive-chaining case (nontata — treat as partial scope, avoid over-removal).</w:t>
      </w:r>
      <w:r>
        <w:t xml:space="preserve"> </w:t>
      </w:r>
      <w:r>
        <w:t xml:space="preserve">Report-card guidance and the length-cap disclosure are in Table 2; the consolidated</w:t>
      </w:r>
      <w:r>
        <w:t xml:space="preserve"> </w:t>
      </w:r>
      <w:r>
        <w:t xml:space="preserve">recommendations are in §6.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the from-scratch 1D residual CNN (§4.9),</w:t>
      </w:r>
      <w:r>
        <w:t xml:space="preserve"> </w:t>
      </w:r>
      <w:r>
        <w:t xml:space="preserve">trained on the training split only, whose regularized reference cell drops on both</w:t>
      </w:r>
      <w:r>
        <w:t xml:space="preserve"> </w:t>
      </w:r>
      <w:r>
        <w:t xml:space="preserve">leaky datasets with cluster-bootstrap CIs excluding zero — the memorization mechanism</w:t>
      </w:r>
      <w:r>
        <w:t xml:space="preserve"> </w:t>
      </w:r>
      <w:r>
        <w:t xml:space="preserve">reaches a trained neural network with no pretraining confound. Since the first</w:t>
      </w:r>
      <w:r>
        <w:t xml:space="preserve"> </w:t>
      </w:r>
      <w:r>
        <w:t xml:space="preserve">revision we have strengthened this considerably: the CNN is now seed-replicated with a</w:t>
      </w:r>
      <w:r>
        <w:t xml:space="preserve"> </w:t>
      </w:r>
      <w:r>
        <w:t xml:space="preserve">paired cluster-bootstrap interval, and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it ranks</w:t>
      </w:r>
      <w:r>
        <w:t xml:space="preserve"> </w:t>
      </w:r>
      <w:r>
        <w:rPr>
          <w:b/>
          <w:bCs/>
        </w:rPr>
        <w:t xml:space="preserve">fifth</w:t>
      </w:r>
      <w:r>
        <w:rPr>
          <w:b/>
          <w:bCs/>
        </w:rPr>
        <w:t xml:space="preserve"> </w:t>
      </w:r>
      <w:r>
        <w:rPr>
          <w:b/>
          <w:bCs/>
        </w:rPr>
        <w:t xml:space="preserve">on the leaky split and first on the corrected one, on every one of five seeds</w:t>
      </w:r>
      <w:r>
        <w:t xml:space="preserve"> </w:t>
      </w:r>
      <w:r>
        <w:t xml:space="preserve">(R1.1c, §4.4). The leaky split does not merely fail to detect the deep model — it</w:t>
      </w:r>
      <w:r>
        <w:t xml:space="preserve"> </w:t>
      </w:r>
      <w:r>
        <w:t xml:space="preserve">actively demotes it. Three qualifications, repeated here rather than left to the</w:t>
      </w:r>
      <w:r>
        <w:t xml:space="preserve"> </w:t>
      </w:r>
      <w:r>
        <w:t xml:space="preserve">cross-reference: the rank is uniform across seeds but the</w:t>
      </w:r>
      <w:r>
        <w:t xml:space="preserve"> </w:t>
      </w:r>
      <w:r>
        <w:rPr>
          <w:i/>
          <w:iCs/>
        </w:rPr>
        <w:t xml:space="preserve">significance</w:t>
      </w:r>
      <w:r>
        <w:t xml:space="preserve"> </w:t>
      </w:r>
      <w:r>
        <w:t xml:space="preserve">is not — four</w:t>
      </w:r>
      <w:r>
        <w:t xml:space="preserve"> </w:t>
      </w:r>
      <w:r>
        <w:t xml:space="preserve">of five seeds’ paired intervals exclude zero and the fifth does not; the CNN was not in</w:t>
      </w:r>
      <w:r>
        <w:t xml:space="preserve"> </w:t>
      </w:r>
      <w:r>
        <w:t xml:space="preserve">the pre-registered nine-model roster, so this comparison is</w:t>
      </w:r>
      <w:r>
        <w:t xml:space="preserve"> </w:t>
      </w:r>
      <w:r>
        <w:rPr>
          <w:b/>
          <w:bCs/>
        </w:rPr>
        <w:t xml:space="preserve">post hoc</w:t>
      </w:r>
      <w:r>
        <w:t xml:space="preserve">; and it is one</w:t>
      </w:r>
      <w:r>
        <w:t xml:space="preserve"> </w:t>
      </w:r>
      <w:r>
        <w:t xml:space="preserve">dataset. We also attempted a</w:t>
      </w:r>
      <w:r>
        <w:t xml:space="preserve"> </w:t>
      </w:r>
      <w:r>
        <w:t xml:space="preserve">from-scratch attention (Transformer) encoder under the same protocol, and mention it</w:t>
      </w:r>
      <w:r>
        <w:t xml:space="preserve"> </w:t>
      </w:r>
      <w:r>
        <w:t xml:space="preserve">here only so the record is complete:</w:t>
      </w:r>
      <w:r>
        <w:t xml:space="preserve"> </w:t>
      </w:r>
      <w:r>
        <w:rPr>
          <w:b/>
          <w:bCs/>
        </w:rPr>
        <w:t xml:space="preserve">it is not in the manuscript and we rest no</w:t>
      </w:r>
      <w:r>
        <w:rPr>
          <w:b/>
          <w:bCs/>
        </w:rPr>
        <w:t xml:space="preserve"> </w:t>
      </w:r>
      <w:r>
        <w:rPr>
          <w:b/>
          <w:bCs/>
        </w:rPr>
        <w:t xml:space="preserve">claim on it.</w:t>
      </w:r>
      <w:r>
        <w:t xml:space="preserve"> </w:t>
      </w:r>
      <w:r>
        <w:t xml:space="preserve">It did not yield a usable comparison —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 slightly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 (drop −0.016),</w:t>
      </w:r>
      <w:r>
        <w:t xml:space="preserve"> </w:t>
      </w:r>
      <w:r>
        <w:t xml:space="preserve">consistent with a data-hungry architecture underfitting a short, local-motif task,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our compute budget. We</w:t>
      </w:r>
      <w:r>
        <w:t xml:space="preserve"> </w:t>
      </w:r>
      <w:r>
        <w:t xml:space="preserve">therefore report the CNN as the trained-deep-net instrument and leave the</w:t>
      </w:r>
      <w:r>
        <w:t xml:space="preserve"> </w:t>
      </w:r>
      <w:r>
        <w:t xml:space="preserve">from-scratch-attention question open rather than resting an argument on one</w:t>
      </w:r>
      <w:r>
        <w:t xml:space="preserve"> </w:t>
      </w:r>
      <w:r>
        <w:t xml:space="preserve">incomplete run. Separately, the pretraining-contamination argument below justifies</w:t>
      </w:r>
      <w:r>
        <w:t xml:space="preserve"> </w:t>
      </w:r>
      <w:r>
        <w:t xml:space="preserve">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</w:p>
    <w:p>
      <w:pPr>
        <w:pStyle w:val="BodyText"/>
      </w:pP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 and the Nucleotide</w:t>
      </w:r>
      <w:r>
        <w:t xml:space="preserve"> </w:t>
      </w:r>
      <w:r>
        <w:t xml:space="preserve">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</w:t>
      </w:r>
      <w:r>
        <w:t xml:space="preserve"> </w:t>
      </w:r>
      <w:r>
        <w:t xml:space="preserve">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 assert it. The two leaky datasets’</w:t>
      </w:r>
      <w:r>
        <w:t xml:space="preserve"> </w:t>
      </w:r>
      <w:r>
        <w:t xml:space="preserve">sequences are extracted from the human reference genome — we recovered their hg38</w:t>
      </w:r>
      <w:r>
        <w:t xml:space="preserve"> </w:t>
      </w:r>
      <w:r>
        <w:t xml:space="preserve">chromosomal coordinates to build the chromosome-holdout control — so</w:t>
      </w:r>
      <w:r>
        <w:t xml:space="preserve"> </w:t>
      </w:r>
      <w:r>
        <w:rPr>
          <w:b/>
          <w:bCs/>
        </w:rPr>
        <w:t xml:space="preserve">≈100%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test sequences already lie inside HyenaDNA’s whole-genome (hg38) pretraining corpus</w:t>
      </w:r>
      <w:r>
        <w:t xml:space="preserve"> </w:t>
      </w:r>
      <w:r>
        <w:t xml:space="preserve">and within the human component of DNABERT-2’s and the Nucleotide Transformer’s</w:t>
      </w:r>
      <w:r>
        <w:t xml:space="preserve"> </w:t>
      </w:r>
      <w:r>
        <w:t xml:space="preserve">multispecies corpora. That is a second leakage channel no train/test re-split can</w:t>
      </w:r>
      <w:r>
        <w:t xml:space="preserve"> </w:t>
      </w:r>
      <w:r>
        <w:t xml:space="preserve">close, so fine-tuning them would yield a confounded lower bound rather than</w:t>
      </w:r>
      <w:r>
        <w:t xml:space="preserve"> </w:t>
      </w:r>
      <w:r>
        <w:t xml:space="preserve">split-effect evidence. We therefore leave the deployed-foundation-model question</w:t>
      </w:r>
      <w:r>
        <w:t xml:space="preserve"> </w:t>
      </w:r>
      <w:r>
        <w:rPr>
          <w:b/>
          <w:bCs/>
        </w:rPr>
        <w:t xml:space="preserve">genuinely open</w:t>
      </w:r>
      <w:r>
        <w:t xml:space="preserve"> </w:t>
      </w:r>
      <w:r>
        <w:t xml:space="preserve">(§5) rather than answer it with a contaminated number. We note</w:t>
      </w:r>
      <w:r>
        <w:t xml:space="preserve"> </w:t>
      </w:r>
      <w:r>
        <w:t xml:space="preserve">this is not evasion but the same problem one level up: evaluating those models</w:t>
      </w:r>
      <w:r>
        <w:t xml:space="preserve"> </w:t>
      </w:r>
      <w:r>
        <w:t xml:space="preserve">properly requires a pretraining-overlap-aware protocol, which is itself an instance</w:t>
      </w:r>
      <w:r>
        <w:t xml:space="preserve"> </w:t>
      </w:r>
      <w:r>
        <w:t xml:space="preserve">of the leakage problem this paper studies.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we took most seriously, and we answer it empirically.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 {None…4},</w:t>
      </w:r>
      <w:r>
        <w:t xml:space="preserve"> </w:t>
      </w:r>
      <w:r>
        <w:t xml:space="preserve">at full scale, largest settings exceeding the largest near-duplicate cluster). At the</w:t>
      </w:r>
      <w:r>
        <w:t xml:space="preserve"> </w:t>
      </w:r>
      <w:r>
        <w:t xml:space="preserve">default the forest scores 1.000 on the ≥0.9-similarity bin with the full drop</w:t>
      </w:r>
      <w:r>
        <w:t xml:space="preserve"> </w:t>
      </w:r>
      <w:r>
        <w:t xml:space="preserve">(0.164 / 0.108) and graded gap (0.230 / 0.121); regularizing drives the drop to ≈0</w:t>
      </w:r>
      <w:r>
        <w:t xml:space="preserve"> </w:t>
      </w:r>
      <w:r>
        <w:t xml:space="preserve">(0.164 → −0.001; 0.108 → 0.000), collapses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— rank 1 flips to</w:t>
      </w:r>
      <w:r>
        <w:t xml:space="preserve"> </w:t>
      </w:r>
      <w:r>
        <w:t xml:space="preserve">rank 4 once min_samples_leaf ≥ 20.</w:t>
      </w:r>
      <w:r>
        <w:t xml:space="preserve"> </w:t>
      </w:r>
      <w:r>
        <w:rPr>
          <w:b/>
          <w:bCs/>
        </w:rPr>
        <w:t xml:space="preserve">§4.8</w:t>
      </w:r>
      <w:r>
        <w:t xml:space="preserve">; Methods §3.7.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We cross-validated the forest over</w:t>
      </w:r>
      <w:r>
        <w:t xml:space="preserve"> </w:t>
      </w:r>
      <w:r>
        <w:t xml:space="preserve">min_samples_leaf ∈ {1…500} on the 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</w:t>
      </w:r>
      <w:r>
        <w:t xml:space="preserve"> </w:t>
      </w:r>
      <w:r>
        <w:t xml:space="preserve">ordinary stratified 5-fold (what a practitioner would actually run) and 5-fold</w:t>
      </w:r>
      <w:r>
        <w:t xml:space="preserve"> </w:t>
      </w:r>
      <w:r>
        <w:t xml:space="preserve">holding whole near-duplicate clusters out together (the honest version). We ran both</w:t>
      </w:r>
      <w:r>
        <w:t xml:space="preserve"> </w:t>
      </w:r>
      <w:r>
        <w:t xml:space="preserve">schemes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 carrying the reordering claim, the two</w:t>
      </w:r>
      <w:r>
        <w:t xml:space="preserve"> </w:t>
      </w:r>
      <w:r>
        <w:t xml:space="preserve">procedures diverge and the consequence is stark. Ordinary cross-validation selects</w:t>
      </w:r>
      <w:r>
        <w:t xml:space="preserve"> </w:t>
      </w:r>
      <w:r>
        <w:rPr>
          <w:b/>
          <w:bCs/>
        </w:rPr>
        <w:t xml:space="preserve">min_samples_leaf = 1</w:t>
      </w:r>
      <w:r>
        <w:t xml:space="preserve">, the memorizing default, and the model it selects scores 0.860</w:t>
      </w:r>
      <w:r>
        <w:t xml:space="preserve"> </w:t>
      </w:r>
      <w:r>
        <w:t xml:space="preserve">as shipped but 0.696 once the leakage is removed — a loss of 16.4 points. Cluster-grouped</w:t>
      </w:r>
      <w:r>
        <w:t xml:space="preserve"> </w:t>
      </w:r>
      <w:r>
        <w:t xml:space="preserve">cross-validation selects</w:t>
      </w:r>
      <w:r>
        <w:t xml:space="preserve"> </w:t>
      </w:r>
      <w:r>
        <w:rPr>
          <w:b/>
          <w:bCs/>
        </w:rPr>
        <w:t xml:space="preserve">min_samples_leaf = 20</w:t>
      </w:r>
      <w:r>
        <w:t xml:space="preserve">, and that model loses only 2.2 points</w:t>
      </w:r>
      <w:r>
        <w:t xml:space="preserve"> </w:t>
      </w:r>
      <w:r>
        <w:t xml:space="preserve">(0.751 → 0.729). So tuning does not rescue the practitioner: ordinary tuning actively</w:t>
      </w:r>
      <w:r>
        <w:t xml:space="preserve"> </w:t>
      </w:r>
      <w:r>
        <w:t xml:space="preserve">selects the configuration whose apparent advantage is almost entirely leakage. Worse, the</w:t>
      </w:r>
      <w:r>
        <w:t xml:space="preserve"> </w:t>
      </w:r>
      <w:r>
        <w:t xml:space="preserve">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 </w:t>
      </w:r>
      <w:r>
        <w:t xml:space="preserve">— the leakage-aware tuner’s model looks</w:t>
      </w:r>
      <w:r>
        <w:t xml:space="preserve"> </w:t>
      </w:r>
      <w:r>
        <w:t xml:space="preserve">10.8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while being 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 select leaf = 1, so our pre-registered</w:t>
      </w:r>
      <w:r>
        <w:t xml:space="preserve"> </w:t>
      </w:r>
      <w:r>
        <w:t xml:space="preserve">expectation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ties, rather than reverses,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. Discussion §5.</w:t>
      </w:r>
    </w:p>
    <w:p>
      <w:pPr>
        <w:pStyle w:val="BodyText"/>
      </w:pPr>
      <w:r>
        <w:t xml:space="preserve">The objection is therefore answered on the dataset where it matters: the untuned default</w:t>
      </w:r>
      <w:r>
        <w:t xml:space="preserve"> </w:t>
      </w:r>
      <w:r>
        <w:t xml:space="preserve">is not a careless choice a tuner would correct, it is</w:t>
      </w:r>
      <w:r>
        <w:t xml:space="preserve"> </w:t>
      </w:r>
      <w:r>
        <w:rPr>
          <w:i/>
          <w:iCs/>
        </w:rPr>
        <w:t xml:space="preserve">what ordinary tuning selects</w:t>
      </w:r>
      <w:r>
        <w:t xml:space="preserve">.</w:t>
      </w:r>
    </w:p>
    <w:p>
      <w:pPr>
        <w:pStyle w:val="BodyText"/>
      </w:pPr>
      <w:r>
        <w:t xml:space="preserve">Finally, we note the objection does not reach the core finding in any case, because</w:t>
      </w:r>
      <w:r>
        <w:t xml:space="preserve"> </w:t>
      </w:r>
      <w:r>
        <w:t xml:space="preserve">§4.7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: editing coordinates alone, with</w:t>
      </w:r>
      <w:r>
        <w:t xml:space="preserve"> </w:t>
      </w:r>
      <w:r>
        <w:t xml:space="preserve">model code untouched, both removes the reordering and 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reported in full. Resampling whole within-test near-duplicate</w:t>
      </w:r>
      <w:r>
        <w:t xml:space="preserve"> </w:t>
      </w:r>
      <w:r>
        <w:t xml:space="preserve">components as blocks widens the CIs by</w:t>
      </w:r>
      <w:r>
        <w:t xml:space="preserve"> </w:t>
      </w:r>
      <w:r>
        <w:rPr>
          <w:b/>
          <w:bCs/>
        </w:rPr>
        <w:t xml:space="preserve">1.0–1.8×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: the RF</w:t>
      </w:r>
      <w:r>
        <w:t xml:space="preserve"> </w:t>
      </w:r>
      <w:r>
        <w:t xml:space="preserve">drop still excludes zero on both datasets (ensembl [0.155, 0.173]; nontata</w:t>
      </w:r>
      <w:r>
        <w:t xml:space="preserve"> </w:t>
      </w:r>
      <w:r>
        <w:t xml:space="preserve">[0.092, 0.126]) and the ensembl LR drop stays null. We now also report the diagnostics</w:t>
      </w:r>
      <w:r>
        <w:t xml:space="preserve"> </w:t>
      </w:r>
      <w:r>
        <w:t xml:space="preserve">the reviewer’s request implies: the intraclass correlation is high (0.78–0.99) yet the</w:t>
      </w:r>
      <w:r>
        <w:t xml:space="preserve"> </w:t>
      </w:r>
      <w:r>
        <w:rPr>
          <w:b/>
          <w:bCs/>
        </w:rPr>
        <w:t xml:space="preserve">design effect is small</w:t>
      </w:r>
      <w:r>
        <w:t xml:space="preserve"> </w:t>
      </w:r>
      <w:r>
        <w:t xml:space="preserve">(1.06–1.17), because the correlated near-duplicates are</w:t>
      </w:r>
      <w:r>
        <w:t xml:space="preserve"> </w:t>
      </w:r>
      <w:r>
        <w:t xml:space="preserve">test-to-</w:t>
      </w:r>
      <w:r>
        <w:rPr>
          <w:b/>
          <w:bCs/>
        </w:rPr>
        <w:t xml:space="preserve">train</w:t>
      </w:r>
      <w:r>
        <w:t xml:space="preserve">, not test-to-test — within-test clustering is only 1.06–1.19</w:t>
      </w:r>
      <w:r>
        <w:t xml:space="preserve"> </w:t>
      </w:r>
      <w:r>
        <w:t xml:space="preserve">sequences per component, a regime in which a sample-wise bootstrap of a fixed trained</w:t>
      </w:r>
      <w:r>
        <w:t xml:space="preserve"> </w:t>
      </w:r>
      <w:r>
        <w:t xml:space="preserve">model’s test correctness is nearly unbiased. An analytic Liang–Zeger cluster-robust</w:t>
      </w:r>
      <w:r>
        <w:t xml:space="preserve"> </w:t>
      </w:r>
      <w:r>
        <w:t xml:space="preserve">standard error agrees with the block bootstrap, and a</w:t>
      </w:r>
      <w:r>
        <w:t xml:space="preserve"> </w:t>
      </w:r>
      <w:r>
        <w:rPr>
          <w:b/>
          <w:bCs/>
        </w:rPr>
        <w:t xml:space="preserve">combined-source interval</w:t>
      </w:r>
      <w:r>
        <w:t xml:space="preserve"> </w:t>
      </w:r>
      <w:r>
        <w:t xml:space="preserve">folding in the five re-split-seed variance still excludes zero for both leaky RF drops</w:t>
      </w:r>
      <w:r>
        <w:t xml:space="preserve"> </w:t>
      </w:r>
      <w:r>
        <w:t xml:space="preserve">(ensembl [0.154, 0.174]; nontata [0.088, 0.129]). Every deep-model drop CI (§4.9) uses</w:t>
      </w:r>
      <w:r>
        <w:t xml:space="preserve"> </w:t>
      </w:r>
      <w:r>
        <w:t xml:space="preserve">this cluster bootstrap.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p>
      <w:pPr>
        <w:pStyle w:val="BodyText"/>
      </w:pPr>
      <w:r>
        <w:t xml:space="preserve">Relatedly, because we report roughly a dozen leaky-versus-clean delta intervals, we</w:t>
      </w:r>
      <w:r>
        <w:t xml:space="preserve"> </w:t>
      </w:r>
      <w:r>
        <w:t xml:space="preserve">applied a</w:t>
      </w:r>
      <w:r>
        <w:t xml:space="preserve"> </w:t>
      </w:r>
      <w:r>
        <w:rPr>
          <w:b/>
          <w:bCs/>
        </w:rPr>
        <w:t xml:space="preserve">Benjamini–Hochberg correction</w:t>
      </w:r>
      <w:r>
        <w:t xml:space="preserve"> </w:t>
      </w:r>
      <w:r>
        <w:t xml:space="preserve">at q = 0.05: it leaves the two leaky RF</w:t>
      </w:r>
      <w:r>
        <w:t xml:space="preserve"> </w:t>
      </w:r>
      <w:r>
        <w:t xml:space="preserve">drops and the nontata LR drop significant and no clean or three-class delta</w:t>
      </w:r>
      <w:r>
        <w:t xml:space="preserve"> </w:t>
      </w:r>
      <w:r>
        <w:t xml:space="preserve">significant, so multiplicity changes no verdict either.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the matter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</w:t>
      </w:r>
      <w:r>
        <w:t xml:space="preserve"> </w:t>
      </w:r>
      <w:r>
        <w:t xml:space="preserve">byte-identical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duplicates yet 22.5%</w:t>
      </w:r>
      <w:r>
        <w:t xml:space="preserve"> </w:t>
      </w:r>
      <w:r>
        <w:t xml:space="preserve">near-duplicates at Jaccard ≥ 0.9 — the more homology-like but statistically weaker</w:t>
      </w:r>
      <w:r>
        <w:t xml:space="preserve"> </w:t>
      </w:r>
      <w:r>
        <w:t xml:space="preserve">case).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 or containment re-measure earns it</w:t>
      </w:r>
      <w:r>
        <w:t xml:space="preserve"> </w:t>
      </w:r>
      <w:r>
        <w:t xml:space="preserve">(Methods §3.4),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 §5),</w:t>
      </w:r>
      <w:r>
        <w:t xml:space="preserve"> </w:t>
      </w:r>
      <w:r>
        <w:t xml:space="preserve">since a clean verdict carries a heavier evidential burden than a leaky one.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We agree it could not be addressed quickly, and did not try to. The revision adds the</w:t>
      </w:r>
      <w:r>
        <w:t xml:space="preserve"> </w:t>
      </w:r>
      <w:r>
        <w:t xml:space="preserve">two hard-gate experiments the panel expected — a trained deep model (§4.9) and</w:t>
      </w:r>
      <w:r>
        <w:t xml:space="preserve"> </w:t>
      </w:r>
      <w:r>
        <w:t xml:space="preserve">alignment-based validation (§4.12) — plus the genomics-standard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(§4.12),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 → 4, identical 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 partial case (RF stays rank 1). Beyond those, it adds</w:t>
      </w:r>
      <w:r>
        <w:t xml:space="preserve"> </w:t>
      </w:r>
      <w:r>
        <w:t xml:space="preserve">the nine-model roster, the construct-and-break manipulation, the coordinate-space</w:t>
      </w:r>
      <w:r>
        <w:t xml:space="preserve"> </w:t>
      </w:r>
      <w:r>
        <w:t xml:space="preserve">analysis, the cross-suite census with its honest null, the tuning-selection experiment,</w:t>
      </w:r>
      <w:r>
        <w:t xml:space="preserve"> </w:t>
      </w:r>
      <w:r>
        <w:t xml:space="preserve">and the diagnostic condition — six experiments that did not exist in the prior</w:t>
      </w:r>
      <w:r>
        <w:t xml:space="preserve"> </w:t>
      </w:r>
      <w:r>
        <w:t xml:space="preserve">submission.</w:t>
      </w:r>
    </w:p>
    <w:p>
      <w:pPr>
        <w:pStyle w:val="BodyText"/>
      </w:pPr>
      <w:r>
        <w:t xml:space="preserve">We also closed three internal issues a careful reviewer would have flagged:</w:t>
      </w:r>
    </w:p>
    <w:p>
      <w:pPr>
        <w:pStyle w:val="Compact"/>
        <w:numPr>
          <w:ilvl w:val="0"/>
          <w:numId w:val="1003"/>
        </w:numPr>
      </w:pPr>
      <w:r>
        <w:t xml:space="preserve">the central claim is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</w:t>
      </w:r>
      <w:r>
        <w:t xml:space="preserve"> </w:t>
      </w:r>
      <w:r>
        <w:t xml:space="preserve">partial on the second);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(5-seed mean + bootstrap CI),</w:t>
      </w:r>
      <w:r>
        <w:t xml:space="preserve"> </w:t>
      </w:r>
      <w:r>
        <w:t xml:space="preserve">removing the earlier 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— the true causes were a decision-rule</w:t>
      </w:r>
      <w:r>
        <w:t xml:space="preserve"> </w:t>
      </w:r>
      <w:r>
        <w:t xml:space="preserve">inconsistency and a point-vs-mean estimator choice, and we say so;</w:t>
      </w:r>
    </w:p>
    <w:p>
      <w:pPr>
        <w:pStyle w:val="Compact"/>
        <w:numPr>
          <w:ilvl w:val="0"/>
          <w:numId w:val="1003"/>
        </w:numPr>
      </w:pPr>
      <w:r>
        <w:t xml:space="preserve">every pre-registered prediction is now scored in the text whether or not it held.</w:t>
      </w:r>
      <w:r>
        <w:t xml:space="preserve"> </w:t>
      </w:r>
      <w:r>
        <w:t xml:space="preserve">Of the six, P1</w:t>
      </w:r>
      <w:r>
        <w:t xml:space="preserve"> </w:t>
      </w:r>
      <w:r>
        <w:rPr>
          <w:b/>
          <w:bCs/>
        </w:rPr>
        <w:t xml:space="preserve">fails as registered</w:t>
      </w:r>
      <w:r>
        <w:t xml:space="preserve"> </w:t>
      </w:r>
      <w:r>
        <w:t xml:space="preserve">— the corrected-gap result that favours it was</w:t>
      </w:r>
      <w:r>
        <w:t xml:space="preserve"> </w:t>
      </w:r>
      <w:r>
        <w:t xml:space="preserve">defined after P1 was committed and we label it post hoc rather than count it — P2 holds</w:t>
      </w:r>
      <w:r>
        <w:t xml:space="preserve"> </w:t>
      </w:r>
      <w:r>
        <w:t xml:space="preserve">on one leaky dataset and fails on the other, P3 and P4 hold,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 and P6 holds on all ten</w:t>
      </w:r>
      <w:r>
        <w:t xml:space="preserve"> </w:t>
      </w:r>
      <w:r>
        <w:t xml:space="preserve">doses. We report the failures as prominently as the successes.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2026-07-19T19:34:51Z</dcterms:created>
  <dcterms:modified xsi:type="dcterms:W3CDTF">2026-07-19T19:34:51Z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