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revision makes three structural changes before addressing the</w:t>
      </w:r>
      <w:r>
        <w:t xml:space="preserve"> </w:t>
      </w:r>
      <w:r>
        <w:t xml:space="preserve">individual comments: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Title and terminology.</w:t>
      </w:r>
      <w:r>
        <w:t xml:space="preserve"> </w:t>
      </w:r>
      <w:r>
        <w:t xml:space="preserve">The paper is retitled</w:t>
      </w:r>
      <w:r>
        <w:t xml:space="preserve"> </w:t>
      </w:r>
      <w:r>
        <w:rPr>
          <w:i/>
          <w:iCs/>
        </w:rPr>
        <w:t xml:space="preserve">“Near-duplicate leakage can</w:t>
      </w:r>
      <w:r>
        <w:rPr>
          <w:i/>
          <w:iCs/>
        </w:rPr>
        <w:t xml:space="preserve"> </w:t>
      </w:r>
      <w:r>
        <w:rPr>
          <w:i/>
          <w:iCs/>
        </w:rPr>
        <w:t xml:space="preserve">reorder model rankings on a genomic benchmark suite: an audit of Genomic</w:t>
      </w:r>
      <w:r>
        <w:rPr>
          <w:i/>
          <w:iCs/>
        </w:rPr>
        <w:t xml:space="preserve"> </w:t>
      </w:r>
      <w:r>
        <w:rPr>
          <w:i/>
          <w:iCs/>
        </w:rPr>
        <w:t xml:space="preserve">Benchmarks.”</w:t>
      </w:r>
      <w:r>
        <w:t xml:space="preserve"> </w:t>
      </w:r>
      <w:r>
        <w:t xml:space="preserve">We adopt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 the primary term (an</w:t>
      </w:r>
      <w:r>
        <w:t xml:space="preserve"> </w:t>
      </w:r>
      <w:r>
        <w:t xml:space="preserve">exact-duplicate census shows the strongest dataset,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is</w:t>
      </w:r>
      <w:r>
        <w:t xml:space="preserve"> </w:t>
      </w:r>
      <w:r>
        <w:t xml:space="preserve">38.0%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copies), reserve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</w:t>
      </w:r>
      <w:r>
        <w:t xml:space="preserve"> </w:t>
      </w:r>
      <w:r>
        <w:t xml:space="preserve">alignment/containment evidence earns it, and rename the splitter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 </w:t>
      </w:r>
      <w:r>
        <w:t xml:space="preserve">(addresses R3.4).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strong: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 (it reverses under AUROC/F1, is a</w:t>
      </w:r>
      <w:r>
        <w:t xml:space="preserve"> </w:t>
      </w:r>
      <w:r>
        <w:t xml:space="preserve">CI-overlap tie, and does not reproduce under a chromosome-holdout control). The</w:t>
      </w:r>
      <w:r>
        <w:t xml:space="preserve"> </w:t>
      </w:r>
      <w:r>
        <w:t xml:space="preserve">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airtight on every axis) and</w:t>
      </w:r>
      <w:r>
        <w:t xml:space="preserve"> </w:t>
      </w:r>
      <w:r>
        <w:rPr>
          <w:b/>
          <w:bCs/>
        </w:rPr>
        <w:t xml:space="preserve">as a cautionary partial</w:t>
      </w:r>
      <w:r>
        <w:rPr>
          <w:b/>
          <w:bCs/>
        </w:rPr>
        <w:t xml:space="preserve"> </w:t>
      </w:r>
      <w:r>
        <w:rPr>
          <w:b/>
          <w:bCs/>
        </w:rPr>
        <w:t xml:space="preserve">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 </w:t>
      </w:r>
      <w:r>
        <w:t xml:space="preserve">(§4.3, Discussion).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New experiments.</w:t>
      </w:r>
      <w:r>
        <w:t xml:space="preserve"> </w:t>
      </w:r>
      <w:r>
        <w:t xml:space="preserve">We added a from-scratch deep-model dose-response, an</w:t>
      </w:r>
      <w:r>
        <w:t xml:space="preserve"> </w:t>
      </w:r>
      <w:r>
        <w:t xml:space="preserve">alignment-based re-measure, a chromosome-holdout control, a random-forest</w:t>
      </w:r>
      <w:r>
        <w:t xml:space="preserve"> </w:t>
      </w:r>
      <w:r>
        <w:t xml:space="preserve">regularization path, a cluster/block bootstrap, a containment/canonical-k-mer/GC</w:t>
      </w:r>
      <w:r>
        <w:t xml:space="preserve"> </w:t>
      </w:r>
      <w:r>
        <w:t xml:space="preserve">robustness battery, an imbalanced-prevalence panel, and an injected-leakage</w:t>
      </w:r>
      <w:r>
        <w:t xml:space="preserve"> </w:t>
      </w:r>
      <w:r>
        <w:t xml:space="preserve">multiclass experiment. All numbers below are traceable to the results log.</w:t>
      </w:r>
    </w:p>
    <w:p>
      <w:r>
        <w:pict>
          <v:rect style="width:0;height:1.5pt" o:hralign="center" o:hrstd="t" o:hr="t"/>
        </w:pict>
      </w:r>
    </w:p>
    <w:bookmarkStart w:id="9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now addressed and cross-referenced to the detailed responses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 from-scratch 1D residual CNN with a pre-registered dropout×weight-decay dose-response now shows the effect reaches a trained neural network (regularized reference cell drops on both leaky datasets, CIs excluding zero); the named pretrained foundation models are scoped out with a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≈100% pretraining-overlap confound rather than merely asserted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 effect metric-independently, and a length-robust containment index is added — which honestly flags one previously-clean dataset as borderline (R1.3, R2.a2, 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 near-duplicate components, with intraclass correlation, design effect, and an analytic cluster-robust cross-check, now quantifies the correlated-sample uncertainty; it changes 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 (not natural), 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 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forest, dissolving under regularization (R3.2).</w:t>
      </w:r>
    </w:p>
    <w:p>
      <w:pPr>
        <w:pStyle w:val="FirstParagraph"/>
      </w:pPr>
      <w:r>
        <w:t xml:space="preserve">Most importantly, the central claim is now honestly rescoped from</w:t>
      </w:r>
      <w:r>
        <w:t xml:space="preserve"> </w:t>
      </w:r>
      <w:r>
        <w:t xml:space="preserve">“changes which model wins on 2/2 leaky datasets”</w:t>
      </w:r>
      <w:r>
        <w:t xml:space="preserve"> </w:t>
      </w:r>
      <w:r>
        <w:t xml:space="preserve">to a clean single-dataset existence proof plus an explicit cautionary partial case — directly addressing the generality-and-robustness concern at the heart of the decision.</w:t>
      </w:r>
    </w:p>
    <w:p>
      <w:r>
        <w:pict>
          <v:rect style="width:0;height:1.5pt" o:hralign="center" o:hrstd="t" o:hr="t"/>
        </w:pict>
      </w:r>
    </w:p>
    <w:bookmarkEnd w:id="9"/>
    <w:bookmarkStart w:id="13" w:name="reviewer-1"/>
    <w:p>
      <w:pPr>
        <w:pStyle w:val="Heading2"/>
      </w:pPr>
      <w:r>
        <w:t xml:space="preserve">Reviewer 1</w:t>
      </w:r>
    </w:p>
    <w:bookmarkStart w:id="10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(one-hot input, no</w:t>
      </w:r>
      <w:r>
        <w:t xml:space="preserve"> </w:t>
      </w:r>
      <w:r>
        <w:t xml:space="preserve">k-mer features, trained on each training split only — no pretraining confound),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 dose-response and a binding</w:t>
      </w:r>
      <w:r>
        <w:t xml:space="preserve"> </w:t>
      </w:r>
      <w:r>
        <w:t xml:space="preserve">refutation condition pre-specified in a timestamped document in the code release (results/deep_preregistration.md).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19 of the 20 cells drop</w:t>
      </w:r>
      <w:r>
        <w:t xml:space="preserve"> </w:t>
      </w:r>
      <w:r>
        <w:t xml:space="preserve">with cluster CIs excluding zero (the one exception is a single nontata cell,</w:t>
      </w:r>
      <w:r>
        <w:t xml:space="preserve"> </w:t>
      </w:r>
      <w:r>
        <w:t xml:space="preserve">dropout 0.6/wd 1e-4, where heavy dropout underfits so there is no inflation to lose);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 hardest</w:t>
      </w:r>
      <w:r>
        <w:t xml:space="preserve"> </w:t>
      </w:r>
      <w:r>
        <w:t xml:space="preserve">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</w:t>
      </w:r>
      <w:r>
        <w:t xml:space="preserve"> </w:t>
      </w:r>
      <w:r>
        <w:t xml:space="preserve">The effect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; pre-registration in</w:t>
      </w:r>
      <w:r>
        <w:t xml:space="preserve"> </w:t>
      </w:r>
      <w:r>
        <w:rPr>
          <w:rStyle w:val="VerbatimChar"/>
        </w:rPr>
        <w:t xml:space="preserve">results/deep_preregistration.md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</w:t>
      </w:r>
      <w:r>
        <w:t xml:space="preserve"> </w:t>
      </w:r>
      <w:r>
        <w:t xml:space="preserve">(Kapoor &amp; Narayanan; hashFrag/Rafi; Bushuiev; PINDER) and reproduced only as a</w:t>
      </w:r>
      <w:r>
        <w:t xml:space="preserve"> </w:t>
      </w:r>
      <w:r>
        <w:t xml:space="preserve">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</w:t>
      </w:r>
      <w:r>
        <w:t xml:space="preserve"> </w:t>
      </w:r>
      <w:r>
        <w:t xml:space="preserve">to short human regulatory DNA plus a memorization-prone model. The title now carries</w:t>
      </w:r>
      <w:r>
        <w:t xml:space="preserve"> </w:t>
      </w:r>
      <w:r>
        <w:t xml:space="preserve">that scope.</w:t>
      </w:r>
    </w:p>
    <w:bookmarkEnd w:id="10"/>
    <w:bookmarkStart w:id="11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this.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the best model on truly novel</w:t>
      </w:r>
      <w:r>
        <w:t xml:space="preserve"> </w:t>
      </w:r>
      <w:r>
        <w:t xml:space="preserve">sequences (accuracy 0.879, &lt;0.5 similarity), so its advantage is partly genuine</w:t>
      </w:r>
      <w:r>
        <w:t xml:space="preserve"> </w:t>
      </w:r>
      <w:r>
        <w:t xml:space="preserve">generalization. We reframe both the corrected split and novel-only accuracy as</w:t>
      </w:r>
      <w:r>
        <w:t xml:space="preserve"> </w:t>
      </w:r>
      <w:r>
        <w:t xml:space="preserve">explicit near-duplicate-bounded proxies (Methods §3.4/§3.7), name</w:t>
      </w:r>
      <w:r>
        <w:t xml:space="preserve"> </w:t>
      </w:r>
      <w:r>
        <w:t xml:space="preserve">leave-one-chromosome-out as the functional ground truth (§4.8), and single-linkage</w:t>
      </w:r>
      <w:r>
        <w:t xml:space="preserve"> </w:t>
      </w:r>
      <w:r>
        <w:t xml:space="preserve">cohesion (0.083 for nontata vs 0.96 for ensembl, §4.10) supplies the biological</w:t>
      </w:r>
      <w:r>
        <w:t xml:space="preserve"> </w:t>
      </w:r>
      <w:r>
        <w:t xml:space="preserve">reason correction over-removes signal on nontata. This is the core of the</w:t>
      </w:r>
      <w:r>
        <w:t xml:space="preserve"> </w:t>
      </w:r>
      <w:r>
        <w:t xml:space="preserve">nontata-as-cautionary-case framing (§4.3, Discussion).</w:t>
      </w:r>
    </w:p>
    <w:bookmarkEnd w:id="11"/>
    <w:bookmarkStart w:id="12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(0.108→0.064),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“alignment-scored,”</w:t>
      </w:r>
      <w:r>
        <w:t xml:space="preserve"> </w:t>
      </w:r>
      <w:r>
        <w:t xml:space="preserve">not k-mer-independent, since MMseqs2 is</w:t>
      </w:r>
      <w:r>
        <w:t xml:space="preserve"> </w:t>
      </w:r>
      <w:r>
        <w:t xml:space="preserve">k-mer-seeded (new</w:t>
      </w:r>
      <w:r>
        <w:t xml:space="preserve"> </w:t>
      </w:r>
      <w:r>
        <w:rPr>
          <w:b/>
          <w:bCs/>
        </w:rPr>
        <w:t xml:space="preserve">§4.7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§3.5</w:t>
      </w:r>
      <w:r>
        <w:t xml:space="preserve">).</w:t>
      </w:r>
      <w:r>
        <w:t xml:space="preserve"> </w:t>
      </w:r>
      <w:r>
        <w:rPr>
          <w:b/>
          <w:bCs/>
        </w:rPr>
        <w:t xml:space="preserve">Thresholds:</w:t>
      </w:r>
      <w:r>
        <w:t xml:space="preserve"> </w:t>
      </w:r>
      <w:r>
        <w:t xml:space="preserve">the clustering threshold</w:t>
      </w:r>
      <w:r>
        <w:t xml:space="preserve"> </w:t>
      </w:r>
      <w:r>
        <w:t xml:space="preserve">sweep (0.5/0.7/0.9) changes no verdict (Methods §3.4); the length-robust containment</w:t>
      </w:r>
      <w:r>
        <w:t xml:space="preserve"> </w:t>
      </w:r>
      <w:r>
        <w:t xml:space="preserve">re-measure and the bimodal-vs-graded similarity structure (cohesion 0.96 vs 0.083)</w:t>
      </w:r>
      <w:r>
        <w:t xml:space="preserve"> </w:t>
      </w:r>
      <w:r>
        <w:t xml:space="preserve">provide the decision basis — a single blind-antimode threshold suffices for the</w:t>
      </w:r>
      <w:r>
        <w:t xml:space="preserve"> </w:t>
      </w:r>
      <w:r>
        <w:t xml:space="preserve">discrete-duplication case (ensembl) whereas the chaining case (nontata) must be</w:t>
      </w:r>
      <w:r>
        <w:t xml:space="preserve"> </w:t>
      </w:r>
      <w:r>
        <w:t xml:space="preserve">treated as partial-scope (§4.1, §4.10).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reviewer-2"/>
    <w:p>
      <w:pPr>
        <w:pStyle w:val="Heading2"/>
      </w:pPr>
      <w:r>
        <w:t xml:space="preserve">Reviewer 2</w:t>
      </w:r>
    </w:p>
    <w:bookmarkStart w:id="14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0.622→0.477, MCC 0.422→0.182, minority recall</w:t>
      </w:r>
      <w:r>
        <w:t xml:space="preserve"> </w:t>
      </w:r>
      <w:r>
        <w:t xml:space="preserve">0.258→0.070, accuracy barely moves 0.844→0.808). The prevalence-aware splitter</w:t>
      </w:r>
      <w:r>
        <w:t xml:space="preserve"> </w:t>
      </w:r>
      <w:r>
        <w:t xml:space="preserve">preserves the target prevalence (realized 0.5001/0.2007/0.1001). New</w:t>
      </w:r>
      <w:r>
        <w:t xml:space="preserve"> </w:t>
      </w:r>
      <w:r>
        <w:rPr>
          <w:b/>
          <w:bCs/>
        </w:rPr>
        <w:t xml:space="preserve">§4.11</w:t>
      </w:r>
      <w:r>
        <w:t xml:space="preserve">;</w:t>
      </w:r>
      <w:r>
        <w:t xml:space="preserve"> </w:t>
      </w:r>
      <w:r>
        <w:t xml:space="preserve">Methods</w:t>
      </w:r>
      <w:r>
        <w:t xml:space="preserve"> </w:t>
      </w:r>
      <w:r>
        <w:rPr>
          <w:b/>
          <w:bCs/>
        </w:rPr>
        <w:t xml:space="preserve">§3.10</w:t>
      </w:r>
      <w:r>
        <w:t xml:space="preserve">.</w:t>
      </w:r>
    </w:p>
    <w:bookmarkEnd w:id="14"/>
    <w:bookmarkStart w:id="15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above (R1.3): with alignment identity as the</w:t>
      </w:r>
      <w:r>
        <w:t xml:space="preserve"> </w:t>
      </w:r>
      <w:r>
        <w:t xml:space="preserve">edge metric and the same splitter,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RF drop is</w:t>
      </w:r>
      <w:r>
        <w:t xml:space="preserve"> </w:t>
      </w:r>
      <w:r>
        <w:t xml:space="preserve">essentially unchanged (0.164 vs 0.162) and the demotion persists, so the effect does</w:t>
      </w:r>
      <w:r>
        <w:t xml:space="preserve"> </w:t>
      </w:r>
      <w:r>
        <w:t xml:space="preserve">not depend on the k-mer definition of similarity. We additionally note that</w:t>
      </w:r>
      <w:r>
        <w:t xml:space="preserve"> </w:t>
      </w:r>
      <w:r>
        <w:t xml:space="preserve">ensembl’s leakage is 38.0% byte-identical duplication (metric-independent by</w:t>
      </w:r>
      <w:r>
        <w:t xml:space="preserve"> </w:t>
      </w:r>
      <w:r>
        <w:t xml:space="preserve">construction). New</w:t>
      </w:r>
      <w:r>
        <w:t xml:space="preserve"> </w:t>
      </w:r>
      <w:r>
        <w:rPr>
          <w:b/>
          <w:bCs/>
        </w:rPr>
        <w:t xml:space="preserve">§4.7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§3.3/§3.5</w:t>
      </w:r>
      <w:r>
        <w:t xml:space="preserve">.</w:t>
      </w:r>
    </w:p>
    <w:bookmarkEnd w:id="15"/>
    <w:bookmarkStart w:id="16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covered by the CNN (R1.1a, §4.6).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</w:t>
      </w:r>
      <w:r>
        <w:t xml:space="preserve"> </w:t>
      </w:r>
      <w:r>
        <w:t xml:space="preserve">multiclass set is clean, so we answer by construction — injecting label-carrying</w:t>
      </w:r>
      <w:r>
        <w:t xml:space="preserve"> </w:t>
      </w:r>
      <w:r>
        <w:t xml:space="preserve">near-duplicates at fraction f ∈ {0, 0.1, 0.2, 0.4} into the clean 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 (+0.0004,</w:t>
      </w:r>
      <w:r>
        <w:t xml:space="preserve"> </w:t>
      </w:r>
      <w:r>
        <w:t xml:space="preserve">+0.118, +0.179, +0.258) while LR stays flat (≤0.066), and the split removes it</w:t>
      </w:r>
      <w:r>
        <w:t xml:space="preserve"> </w:t>
      </w:r>
      <w:r>
        <w:t xml:space="preserve">(corrected accuracy stable ≈0.58). New</w:t>
      </w:r>
      <w:r>
        <w:t xml:space="preserve"> </w:t>
      </w:r>
      <w:r>
        <w:rPr>
          <w:b/>
          <w:bCs/>
        </w:rPr>
        <w:t xml:space="preserve">§4.12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§3.11</w:t>
      </w:r>
      <w:r>
        <w:t xml:space="preserve">; we state</w:t>
      </w:r>
      <w:r>
        <w:t xml:space="preserve"> </w:t>
      </w:r>
      <w:r>
        <w:t xml:space="preserve">explicitly that leakage is injected because the suite ships no naturally leaky</w:t>
      </w:r>
      <w:r>
        <w:t xml:space="preserve"> </w:t>
      </w:r>
      <w:r>
        <w:t xml:space="preserve">multiclass set.</w:t>
      </w:r>
    </w:p>
    <w:bookmarkEnd w:id="16"/>
    <w:bookmarkStart w:id="17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§3.4), and we now report the geometry that drives the recommendation: the</w:t>
      </w:r>
      <w:r>
        <w:t xml:space="preserve"> </w:t>
      </w:r>
      <w:r>
        <w:t xml:space="preserve">length-robust containment index (§4.1/§4.10) as the metric to prefer when lengths</w:t>
      </w:r>
      <w:r>
        <w:t xml:space="preserve"> </w:t>
      </w:r>
      <w:r>
        <w:t xml:space="preserve">vary, and single-linkage cohesion as the diagnostic that separates a clean</w:t>
      </w:r>
      <w:r>
        <w:t xml:space="preserve"> </w:t>
      </w:r>
      <w:r>
        <w:t xml:space="preserve">discrete-duplication case (ensembl, treat with one threshold) from a transitive-chaining case</w:t>
      </w:r>
      <w:r>
        <w:t xml:space="preserve"> </w:t>
      </w:r>
      <w:r>
        <w:t xml:space="preserve">(nontata, treat as partial-scope and avoid over-removal). Report-card guidance and</w:t>
      </w:r>
      <w:r>
        <w:t xml:space="preserve"> </w:t>
      </w:r>
      <w:r>
        <w:t xml:space="preserve">the length-cap disclosure are in Table 2.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reviewer-3"/>
    <w:p>
      <w:pPr>
        <w:pStyle w:val="Heading2"/>
      </w:pPr>
      <w:r>
        <w:t xml:space="preserve">Reviewer 3</w:t>
      </w:r>
    </w:p>
    <w:bookmarkStart w:id="19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a from-scratch 1D residual CNN (§4.6, one-hot</w:t>
      </w:r>
      <w:r>
        <w:t xml:space="preserve"> </w:t>
      </w:r>
      <w:r>
        <w:t xml:space="preserve">input, no k-mer features, pre-registered dropout×weight-decay dose-response) trained on</w:t>
      </w:r>
      <w:r>
        <w:t xml:space="preserve"> </w:t>
      </w:r>
      <w:r>
        <w:t xml:space="preserve">the training split only, whose regularized reference cell drops on both leaky datasets</w:t>
      </w:r>
      <w:r>
        <w:t xml:space="preserve"> </w:t>
      </w:r>
      <w:r>
        <w:t xml:space="preserve">(cluster-bootstrap CIs excluding zero) — the memorization mechanism reaches a trained</w:t>
      </w:r>
      <w:r>
        <w:t xml:space="preserve"> </w:t>
      </w:r>
      <w:r>
        <w:t xml:space="preserve">neural network with no pretraining confound. We also probed a from-scratch attention</w:t>
      </w:r>
      <w:r>
        <w:t xml:space="preserve"> </w:t>
      </w:r>
      <w:r>
        <w:t xml:space="preserve">(Transformer) encoder under the identical protocol; consistent with transformers being</w:t>
      </w:r>
      <w:r>
        <w:t xml:space="preserve"> </w:t>
      </w:r>
      <w:r>
        <w:t xml:space="preserve">data-hungry and weaker than convolutions on short, local-motif inputs, it underfits</w:t>
      </w:r>
      <w:r>
        <w:t xml:space="preserve"> </w:t>
      </w:r>
      <w:r>
        <w:t xml:space="preserve">these 251–600 bp tasks and does not yield a clean aggregate-accuracy comparison, so we</w:t>
      </w:r>
      <w:r>
        <w:t xml:space="preserve"> </w:t>
      </w:r>
      <w:r>
        <w:t xml:space="preserve">do not report it as evidence. The CNN is the appropriate trained-deep-net instrument</w:t>
      </w:r>
      <w:r>
        <w:t xml:space="preserve"> </w:t>
      </w:r>
      <w:r>
        <w:t xml:space="preserve">here, and the pretraining-contamination argument below specifically justifies 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  <w:r>
        <w:t xml:space="preserve"> </w:t>
      </w: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HyenaDNA, and the Nucleotide 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 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</w:t>
      </w:r>
      <w:r>
        <w:t xml:space="preserve"> </w:t>
      </w:r>
      <w:r>
        <w:t xml:space="preserve">merely assert it: the two leaky datasets’ sequences are extracted from the human</w:t>
      </w:r>
      <w:r>
        <w:t xml:space="preserve"> </w:t>
      </w:r>
      <w:r>
        <w:t xml:space="preserve">reference genome (we recovered their hg38 chromosomal coordinates for the</w:t>
      </w:r>
      <w:r>
        <w:t xml:space="preserve"> </w:t>
      </w:r>
      <w:r>
        <w:t xml:space="preserve">chromosome-holdout control), so</w:t>
      </w:r>
      <w:r>
        <w:t xml:space="preserve"> </w:t>
      </w:r>
      <w:r>
        <w:rPr>
          <w:b/>
          <w:bCs/>
        </w:rPr>
        <w:t xml:space="preserve">≈100% of these test sequences already lie inside</w:t>
      </w:r>
      <w:r>
        <w:rPr>
          <w:b/>
          <w:bCs/>
        </w:rPr>
        <w:t xml:space="preserve"> </w:t>
      </w:r>
      <w:r>
        <w:rPr>
          <w:b/>
          <w:bCs/>
        </w:rPr>
        <w:t xml:space="preserve">HyenaDNA’s whole-genome (hg38) pretraining corpus</w:t>
      </w:r>
      <w:r>
        <w:t xml:space="preserve"> </w:t>
      </w:r>
      <w:r>
        <w:t xml:space="preserve">and within the human component of</w:t>
      </w:r>
      <w:r>
        <w:t xml:space="preserve"> </w:t>
      </w:r>
      <w:r>
        <w:t xml:space="preserve">DNABERT-2’s and the Nucleotide Transformer’s multispecies corpora — a second leakage</w:t>
      </w:r>
      <w:r>
        <w:t xml:space="preserve"> </w:t>
      </w:r>
      <w:r>
        <w:t xml:space="preserve">channel that no train/test re-split can close. Fine-tuning a model that has already</w:t>
      </w:r>
      <w:r>
        <w:t xml:space="preserve"> </w:t>
      </w:r>
      <w:r>
        <w:t xml:space="preserve">seen the test sequences during pretraining yields a confounded lower bound, not</w:t>
      </w:r>
      <w:r>
        <w:t xml:space="preserve"> </w:t>
      </w:r>
      <w:r>
        <w:t xml:space="preserve">split-effect evidence, so we leave the deployed-foundation-model question</w:t>
      </w:r>
      <w:r>
        <w:t xml:space="preserve"> </w:t>
      </w:r>
      <w:r>
        <w:rPr>
          <w:b/>
          <w:bCs/>
        </w:rPr>
        <w:t xml:space="preserve">genuinely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(Discussion, Limitations) rather than answer it with a contaminated number.</w:t>
      </w:r>
    </w:p>
    <w:bookmarkEnd w:id="19"/>
    <w:bookmarkStart w:id="20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We added a full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</w:t>
      </w:r>
      <w:r>
        <w:t xml:space="preserve"> </w:t>
      </w:r>
      <w:r>
        <w:t xml:space="preserve">{None…4}, at full scale, with the largest settings exceeding the largest</w:t>
      </w:r>
      <w:r>
        <w:t xml:space="preserve"> </w:t>
      </w:r>
      <w:r>
        <w:t xml:space="preserve">near-duplicate cluster). At the default the forest scores 1.000 on the ≥0.9-similarity bin</w:t>
      </w:r>
      <w:r>
        <w:t xml:space="preserve"> </w:t>
      </w:r>
      <w:r>
        <w:t xml:space="preserve">with the full drop (0.164/0.108) and graded gap (0.230/0.121); regularizing collapses</w:t>
      </w:r>
      <w:r>
        <w:t xml:space="preserve"> </w:t>
      </w:r>
      <w:r>
        <w:t xml:space="preserve">the drop to ≈0 (0.164→−0.001; 0.108→0.000) and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(rf_rank_orig flips 1→4</w:t>
      </w:r>
      <w:r>
        <w:t xml:space="preserve"> </w:t>
      </w:r>
      <w:r>
        <w:t xml:space="preserve">once min_samples_leaf ≥ 20). We frame this as an owned finding: the inflation and</w:t>
      </w:r>
      <w:r>
        <w:t xml:space="preserve"> </w:t>
      </w:r>
      <w:r>
        <w:t xml:space="preserve">demotion are a property of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high-capacity RF practitioners deploy, and</w:t>
      </w:r>
      <w:r>
        <w:t xml:space="preserve"> </w:t>
      </w:r>
      <w:r>
        <w:t xml:space="preserve">either regularization or a near-duplicate-aware split reveals the truth. New</w:t>
      </w:r>
      <w:r>
        <w:t xml:space="preserve"> </w:t>
      </w:r>
      <w:r>
        <w:rPr>
          <w:b/>
          <w:bCs/>
        </w:rPr>
        <w:t xml:space="preserve">§4.5</w:t>
      </w:r>
      <w:r>
        <w:t xml:space="preserve">;</w:t>
      </w:r>
      <w:r>
        <w:t xml:space="preserve"> </w:t>
      </w:r>
      <w:r>
        <w:t xml:space="preserve">Methods</w:t>
      </w:r>
      <w:r>
        <w:t xml:space="preserve"> </w:t>
      </w:r>
      <w:r>
        <w:rPr>
          <w:b/>
          <w:bCs/>
        </w:rPr>
        <w:t xml:space="preserve">§3.7</w:t>
      </w:r>
      <w:r>
        <w:t xml:space="preserve">. The graded memorization gap is used as the confound-immune headline</w:t>
      </w:r>
      <w:r>
        <w:t xml:space="preserve"> </w:t>
      </w:r>
      <w:r>
        <w:t xml:space="preserve">(immune to</w:t>
      </w:r>
      <w:r>
        <w:t xml:space="preserve"> </w:t>
      </w:r>
      <w:r>
        <w:t xml:space="preserve">“regularized RF just got worse everywhere”</w:t>
      </w:r>
      <w:r>
        <w:t xml:space="preserve">).</w:t>
      </w:r>
    </w:p>
    <w:bookmarkEnd w:id="20"/>
    <w:bookmarkStart w:id="21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run: resampling whole within-test near-duplicate components widens CIs</w:t>
      </w:r>
      <w:r>
        <w:t xml:space="preserve"> </w:t>
      </w:r>
      <w:r>
        <w:t xml:space="preserve">by 1.0–1.5× 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 </w:t>
      </w:r>
      <w:r>
        <w:t xml:space="preserve">— the RF drop still excludes zero on both datasets</w:t>
      </w:r>
      <w:r>
        <w:t xml:space="preserve"> </w:t>
      </w:r>
      <w:r>
        <w:t xml:space="preserve">(ensembl [0.156, 0.172]; nontata [0.092, 0.126]) and the ensembl-LR drop stays null.</w:t>
      </w:r>
      <w:r>
        <w:t xml:space="preserve"> </w:t>
      </w:r>
      <w:r>
        <w:t xml:space="preserve">The design effect is small because the correlated near-duplicates are test-to-</w:t>
      </w:r>
      <w:r>
        <w:rPr>
          <w:b/>
          <w:bCs/>
        </w:rPr>
        <w:t xml:space="preserve">train</w:t>
      </w:r>
      <w:r>
        <w:t xml:space="preserve">,</w:t>
      </w:r>
      <w:r>
        <w:t xml:space="preserve"> </w:t>
      </w:r>
      <w:r>
        <w:t xml:space="preserve">not test-to-test (within-test clustering only 1.06–1.19 sequences/component).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§3.9</w:t>
      </w:r>
      <w:r>
        <w:t xml:space="preserve">. Every deep-model drop CI (§4.6) already uses this cluster</w:t>
      </w:r>
      <w:r>
        <w:t xml:space="preserve"> </w:t>
      </w:r>
      <w:r>
        <w:t xml:space="preserve">bootstrap. (The full design-effect/ICC/CRVE/combined-source detail is marked as being</w:t>
      </w:r>
      <w:r>
        <w:t xml:space="preserve"> </w:t>
      </w:r>
      <w:r>
        <w:t xml:space="preserve">finalized in §3.9/§4.9.)</w:t>
      </w:r>
    </w:p>
    <w:bookmarkEnd w:id="21"/>
    <w:bookmarkStart w:id="22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this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but 22.5% near-duplicates at</w:t>
      </w:r>
      <w:r>
        <w:t xml:space="preserve"> </w:t>
      </w:r>
      <w:r>
        <w:t xml:space="preserve">Jaccard ≥0.9).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alignment/containment re-measure</w:t>
      </w:r>
      <w:r>
        <w:t xml:space="preserve"> </w:t>
      </w:r>
      <w:r>
        <w:t xml:space="preserve">earns it (Methods §3.3),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</w:t>
      </w:r>
      <w:r>
        <w:t xml:space="preserve"> </w:t>
      </w:r>
      <w:r>
        <w:t xml:space="preserve">Discussion), since a clean verdict carries a heavier evidential burden than a leaky</w:t>
      </w:r>
      <w:r>
        <w:t xml:space="preserve"> </w:t>
      </w:r>
      <w:r>
        <w:t xml:space="preserve">one.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The revision adds the two hard-gate experiments the panel expected — a trained deep</w:t>
      </w:r>
      <w:r>
        <w:t xml:space="preserve"> </w:t>
      </w:r>
      <w:r>
        <w:t xml:space="preserve">model (from-scratch CNN dose-response, §4.6) and alignment-based validation (MMseqs2,</w:t>
      </w:r>
      <w:r>
        <w:t xml:space="preserve"> </w:t>
      </w:r>
      <w:r>
        <w:t xml:space="preserve">§4.7) — plus the most decisive genomics-standard control, a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(§4.8),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1→4) and independently confirms that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</w:t>
      </w:r>
      <w:r>
        <w:t xml:space="preserve"> </w:t>
      </w:r>
      <w:r>
        <w:t xml:space="preserve">the partial case (RF stays rank 1). We also closed two internal issues a careful</w:t>
      </w:r>
      <w:r>
        <w:t xml:space="preserve"> </w:t>
      </w:r>
      <w:r>
        <w:t xml:space="preserve">reviewer would have flagged: the central claim is now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 partial on the second), and the previously</w:t>
      </w:r>
      <w:r>
        <w:t xml:space="preserve"> </w:t>
      </w:r>
      <w:r>
        <w:t xml:space="preserve">inconsistent headline drop numbers are reconciled to a single decision rule</w:t>
      </w:r>
      <w:r>
        <w:t xml:space="preserve"> </w:t>
      </w:r>
      <w:r>
        <w:t xml:space="preserve">(.predict()/argmax) and estimator (5-seed-mean + bootstrap CI), removing the earlier</w:t>
      </w:r>
      <w:r>
        <w:t xml:space="preserve"> </w:t>
      </w:r>
      <w:r>
        <w:t xml:space="preserve">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2026-07-18T19:15:10Z</dcterms:created>
  <dcterms:modified xsi:type="dcterms:W3CDTF">2026-07-18T19:15:10Z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