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(c) The deep model is not just affected — it is the model the leaky split</w:t>
      </w:r>
      <w:r>
        <w:rPr>
          <w:b/>
          <w:bCs/>
        </w:rPr>
        <w:t xml:space="preserve"> </w:t>
      </w:r>
      <w:r>
        <w:rPr>
          <w:b/>
          <w:bCs/>
        </w:rPr>
        <w:t xml:space="preserve">penalises.</w:t>
      </w:r>
      <w:r>
        <w:t xml:space="preserve"> </w:t>
      </w:r>
      <w:r>
        <w:t xml:space="preserve">An earlier draft of this revision declined to rank the CNN, because the</w:t>
      </w:r>
      <w:r>
        <w:t xml:space="preserve"> </w:t>
      </w:r>
      <w:r>
        <w:t xml:space="preserve">evidence was a single run whose value sat inside a nine-cell grid spanning</w:t>
      </w:r>
      <w:r>
        <w:t xml:space="preserve"> </w:t>
      </w:r>
      <w:r>
        <w:t xml:space="preserve">0.749–0.813 with the linear SVM’s 0.7975 in the middle of it. We have since run the</w:t>
      </w:r>
      <w:r>
        <w:t xml:space="preserve"> </w:t>
      </w:r>
      <w:r>
        <w:t xml:space="preserve">replicated, interval-bearing comparison that situation called for (§4.4). Across</w:t>
      </w:r>
      <w:r>
        <w:t xml:space="preserve"> </w:t>
      </w:r>
      <w:r>
        <w:rPr>
          <w:b/>
          <w:bCs/>
        </w:rPr>
        <w:t xml:space="preserve">five training seeds</w:t>
      </w:r>
      <w:r>
        <w:t xml:space="preserve"> </w:t>
      </w:r>
      <w:r>
        <w:t xml:space="preserve">the network scores 0.8028–0.8131 corrected (mean 0.8086,</w:t>
      </w:r>
      <w:r>
        <w:t xml:space="preserve"> </w:t>
      </w:r>
      <w:r>
        <w:t xml:space="preserve">sd 0.0040) against the SVM’s 0.7975, and 0.8119–0.8359 as shipped.</w:t>
      </w:r>
      <w:r>
        <w:t xml:space="preserve"> </w:t>
      </w:r>
      <w:r>
        <w:rPr>
          <w:b/>
          <w:bCs/>
        </w:rPr>
        <w:t xml:space="preserve">On every seed it</w:t>
      </w:r>
      <w:r>
        <w:rPr>
          <w:b/>
          <w:bCs/>
        </w:rPr>
        <w:t xml:space="preserve"> </w:t>
      </w:r>
      <w:r>
        <w:rPr>
          <w:b/>
          <w:bCs/>
        </w:rPr>
        <w:t xml:space="preserve">ranks fifth on the leaky split and first on the corrected one.</w:t>
      </w:r>
      <w:r>
        <w:t xml:space="preserve"> </w:t>
      </w:r>
      <w:r>
        <w:t xml:space="preserve">Scoring both models</w:t>
      </w:r>
      <w:r>
        <w:t xml:space="preserve"> </w:t>
      </w:r>
      <w:r>
        <w:t xml:space="preserve">on the same corrected test set and differencing per example, the paired difference is</w:t>
      </w:r>
      <w:r>
        <w:t xml:space="preserve"> </w:t>
      </w:r>
      <w:r>
        <w:rPr>
          <w:b/>
          <w:bCs/>
        </w:rPr>
        <w:t xml:space="preserve">+0.0111, combined-source CI [0.0019, 0.0204]</w:t>
      </w:r>
      <w:r>
        <w:t xml:space="preserve">, excluding zero — so the comparison</w:t>
      </w:r>
      <w:r>
        <w:t xml:space="preserve"> </w:t>
      </w:r>
      <w:r>
        <w:t xml:space="preserve">now satisfies the inversion criterion (§3.3) that the earlier draft was unwilling to</w:t>
      </w:r>
      <w:r>
        <w:t xml:space="preserve"> </w:t>
      </w:r>
      <w:r>
        <w:t xml:space="preserve">bypass. That interval folds the seed-to-seed SD (0.0040) into the cluster-bootstrap SD</w:t>
      </w:r>
      <w:r>
        <w:t xml:space="preserve"> </w:t>
      </w:r>
      <w:r>
        <w:t xml:space="preserve">(0.0026) in quadrature, by the same rule used for the paper’s other combined-source</w:t>
      </w:r>
      <w:r>
        <w:t xml:space="preserve"> </w:t>
      </w:r>
      <w:r>
        <w:t xml:space="preserve">intervals, because the quantity of interest is the advantage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trained network,</w:t>
      </w:r>
      <w:r>
        <w:t xml:space="preserve"> </w:t>
      </w:r>
      <w:r>
        <w:t xml:space="preserve">not of an average over five. We flag that bootstrapping seed-averaged per-example</w:t>
      </w:r>
      <w:r>
        <w:t xml:space="preserve"> </w:t>
      </w:r>
      <w:r>
        <w:t xml:space="preserve">correctness instead yields [0.0063, 0.0161] — narrower than any single seed’s interval,</w:t>
      </w:r>
      <w:r>
        <w:t xml:space="preserve"> </w:t>
      </w:r>
      <w:r>
        <w:t xml:space="preserve">because averaging removes training variance rather than estimating it. We do not report</w:t>
      </w:r>
      <w:r>
        <w:t xml:space="preserve"> </w:t>
      </w:r>
      <w:r>
        <w:t xml:space="preserve">that figure as the result.</w:t>
      </w:r>
    </w:p>
    <w:p>
      <w:pPr>
        <w:pStyle w:val="BodyText"/>
      </w:pPr>
      <w:r>
        <w:t xml:space="preserve">So leakage does not only promote a memorizer; on this dataset it</w:t>
      </w:r>
      <w:r>
        <w:t xml:space="preserve"> </w:t>
      </w:r>
      <w:r>
        <w:rPr>
          <w:b/>
          <w:bCs/>
        </w:rPr>
        <w:t xml:space="preserve">demotes the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family whose baselines this suite publishes</w:t>
      </w:r>
      <w:r>
        <w:t xml:space="preserve">. We attach three</w:t>
      </w:r>
      <w:r>
        <w:t xml:space="preserve"> </w:t>
      </w:r>
      <w:r>
        <w:t xml:space="preserve">qualifications rather than leave them for a referee: four of the five seeds’ paired</w:t>
      </w:r>
      <w:r>
        <w:t xml:space="preserve"> </w:t>
      </w:r>
      <w:r>
        <w:t xml:space="preserve">intervals exclude zero and the fifth does not (+0.0053, [−0.0006, 0.0109]), so the</w:t>
      </w:r>
      <w:r>
        <w:t xml:space="preserve"> </w:t>
      </w:r>
      <w:r>
        <w:t xml:space="preserve">advantage is uniform in rank but not in significance; the CNN was not in the</w:t>
      </w:r>
      <w:r>
        <w:t xml:space="preserve"> </w:t>
      </w:r>
      <w:r>
        <w:t xml:space="preserve">pre-registered nine-model roster, so this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and labelled so;</w:t>
      </w:r>
      <w:r>
        <w:t xml:space="preserve"> </w:t>
      </w:r>
      <w:r>
        <w:t xml:space="preserve">and it is one dataset.</w:t>
      </w:r>
    </w:p>
    <w:p>
      <w:pPr>
        <w:pStyle w:val="BodyText"/>
      </w:pPr>
      <w:r>
        <w:t xml:space="preserve">Two by-products of running it are worth reporting. First, we</w:t>
      </w:r>
      <w:r>
        <w:t xml:space="preserve"> </w:t>
      </w:r>
      <w:r>
        <w:rPr>
          <w:b/>
          <w:bCs/>
        </w:rPr>
        <w:t xml:space="preserve">verified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assumed</w:t>
      </w:r>
      <w:r>
        <w:t xml:space="preserve"> </w:t>
      </w:r>
      <w:r>
        <w:t xml:space="preserve">that the deep-model and roster corrected splits are the same partition —</w:t>
      </w:r>
      <w:r>
        <w:t xml:space="preserve"> </w:t>
      </w:r>
      <w:r>
        <w:t xml:space="preserve">refitting the linear SVM on the deep-model split reproduces its published 0.7975</w:t>
      </w:r>
      <w:r>
        <w:t xml:space="preserve"> </w:t>
      </w:r>
      <w:r>
        <w:t xml:space="preserve">exactly. The manuscript had been comparing those two numbers without that check.</w:t>
      </w:r>
      <w:r>
        <w:t xml:space="preserve"> </w:t>
      </w:r>
      <w:r>
        <w:t xml:space="preserve">Second, the same replication</w:t>
      </w:r>
      <w:r>
        <w:t xml:space="preserve"> </w:t>
      </w:r>
      <w:r>
        <w:rPr>
          <w:b/>
          <w:bCs/>
        </w:rPr>
        <w:t xml:space="preserve">weakens</w:t>
      </w:r>
      <w:r>
        <w:t xml:space="preserve"> </w:t>
      </w:r>
      <w:r>
        <w:t xml:space="preserve">a number we had reported: the reference</w:t>
      </w:r>
      <w:r>
        <w:t xml:space="preserve"> </w:t>
      </w:r>
      <w:r>
        <w:t xml:space="preserve">cell’s drop is 0.014 at seed 0 but ranges 0.0049–0.0269 across seeds, a five-fold</w:t>
      </w:r>
      <w:r>
        <w:t xml:space="preserve"> </w:t>
      </w:r>
      <w:r>
        <w:t xml:space="preserve">spread, and the smallest seed’s interval includes zero. §4.9 now reports that range</w:t>
      </w:r>
      <w:r>
        <w:t xml:space="preserve"> </w:t>
      </w:r>
      <w:r>
        <w:t xml:space="preserve">and flags the +0.014 as one draw rather than the cell’s value. The corrected accuracy</w:t>
      </w:r>
      <w:r>
        <w:t xml:space="preserve"> </w:t>
      </w:r>
      <w:r>
        <w:t xml:space="preserve">is stable to ±0.004 while the drop varies five-fold, so it is the as-shipped score</w:t>
      </w:r>
      <w:r>
        <w:t xml:space="preserve"> </w:t>
      </w:r>
      <w:r>
        <w:t xml:space="preserve">that moves.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p>
      <w:pPr>
        <w:pStyle w:val="BodyText"/>
      </w:pPr>
      <w:r>
        <w:t xml:space="preserve">We also tested the reach</w:t>
      </w:r>
      <w:r>
        <w:t xml:space="preserve"> </w:t>
      </w:r>
      <w:r>
        <w:rPr>
          <w:b/>
          <w:bCs/>
        </w:rPr>
        <w:t xml:space="preserve">empirically</w:t>
      </w:r>
      <w:r>
        <w:t xml:space="preserve">, on two further suites, rather than</w:t>
      </w:r>
      <w:r>
        <w:t xml:space="preserve"> </w:t>
      </w:r>
      <w:r>
        <w:t xml:space="preserve">arguing it. Applying the census unchanged to the</w:t>
      </w:r>
      <w:r>
        <w:t xml:space="preserve"> </w:t>
      </w:r>
      <w:r>
        <w:rPr>
          <w:b/>
          <w:bCs/>
        </w:rPr>
        <w:t xml:space="preserve">Nucleotide Transformer</w:t>
      </w:r>
      <w:r>
        <w:t xml:space="preserve"> </w:t>
      </w:r>
      <w:r>
        <w:t xml:space="preserve">downstream tasks (§4.10) finds</w:t>
      </w:r>
      <w:r>
        <w:t xml:space="preserve"> </w:t>
      </w:r>
      <w:r>
        <w:rPr>
          <w:b/>
          <w:bCs/>
        </w:rPr>
        <w:t xml:space="preserve">three of eleven independent tasks leaky</w:t>
      </w:r>
      <w:r>
        <w:t xml:space="preserve"> </w:t>
      </w:r>
      <w:r>
        <w:t xml:space="preserve">and six</w:t>
      </w:r>
      <w:r>
        <w:t xml:space="preserve"> </w:t>
      </w:r>
      <w:r>
        <w:t xml:space="preserve">more borderline, leaving two clean — so the defect is not confined to Genomic</w:t>
      </w:r>
      <w:r>
        <w:t xml:space="preserve"> </w:t>
      </w:r>
      <w:r>
        <w:t xml:space="preserve">Benchmarks. We then pre-registered predictions for</w:t>
      </w:r>
      <w:r>
        <w:t xml:space="preserve"> </w:t>
      </w:r>
      <w:r>
        <w:rPr>
          <w:b/>
          <w:bCs/>
        </w:rPr>
        <w:t xml:space="preserve">GUE</w:t>
      </w:r>
      <w:r>
        <w:t xml:space="preserve"> </w:t>
      </w:r>
      <w:r>
        <w:t xml:space="preserve">before examining it, and</w:t>
      </w:r>
      <w:r>
        <w:t xml:space="preserve"> </w:t>
      </w:r>
      <w:r>
        <w:rPr>
          <w:b/>
          <w:bCs/>
        </w:rPr>
        <w:t xml:space="preserve">they failed</w:t>
      </w:r>
      <w:r>
        <w:t xml:space="preserve"> </w:t>
      </w:r>
      <w:r>
        <w:t xml:space="preserve">(§4.10): we predicted its short fixed-length human regulatory tasks</w:t>
      </w:r>
      <w:r>
        <w:t xml:space="preserve"> </w:t>
      </w:r>
      <w:r>
        <w:t xml:space="preserve">(core promoter 70 bp, promoter 300 bp, TF binding 101 bp) would be leaky, and at</w:t>
      </w:r>
      <w:r>
        <w:t xml:space="preserve"> </w:t>
      </w:r>
      <w:r>
        <w:t xml:space="preserve">full scale</w:t>
      </w:r>
      <w:r>
        <w:t xml:space="preserve"> </w:t>
      </w:r>
      <w:r>
        <w:rPr>
          <w:b/>
          <w:bCs/>
        </w:rPr>
        <w:t xml:space="preserve">all eleven predicted-leaky tasks are clean</w:t>
      </w:r>
      <w:r>
        <w:t xml:space="preserve"> </w:t>
      </w:r>
      <w:r>
        <w:t xml:space="preserve">— near-duplicate fractions</w:t>
      </w:r>
      <w:r>
        <w:t xml:space="preserve"> </w:t>
      </w:r>
      <w:r>
        <w:t xml:space="preserve">0.009–0.041 by Jaccard, the largest under half the verdict cut. We count those</w:t>
      </w:r>
      <w:r>
        <w:t xml:space="preserve"> </w:t>
      </w:r>
      <w:r>
        <w:t xml:space="preserve">eleven conservatively as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independent test partitions, since the</w:t>
      </w:r>
      <w:r>
        <w:t xml:space="preserve"> </w:t>
      </w:r>
      <w:r>
        <w:rPr>
          <w:rStyle w:val="VerbatimChar"/>
        </w:rPr>
        <w:t xml:space="preserve">_all</w:t>
      </w:r>
      <w:r>
        <w:t xml:space="preserve"> </w:t>
      </w:r>
      <w:r>
        <w:t xml:space="preserve">promoter test sets are exact unions of their own</w:t>
      </w:r>
      <w:r>
        <w:t xml:space="preserve"> </w:t>
      </w:r>
      <w:r>
        <w:rPr>
          <w:rStyle w:val="VerbatimChar"/>
        </w:rPr>
        <w:t xml:space="preserve">notata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tata</w:t>
      </w:r>
      <w:r>
        <w:t xml:space="preserve"> </w:t>
      </w:r>
      <w:r>
        <w:t xml:space="preserve">test sets and</w:t>
      </w:r>
      <w:r>
        <w:t xml:space="preserve"> </w:t>
      </w:r>
      <w:r>
        <w:t xml:space="preserve">the 70 bp and 300 bp families are the same loci at two window widths.</w:t>
      </w:r>
    </w:p>
    <w:p>
      <w:pPr>
        <w:pStyle w:val="BodyText"/>
      </w:pPr>
      <w:r>
        <w:t xml:space="preserve">We report that failure prominently because it is the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generalization</w:t>
      </w:r>
      <w:r>
        <w:t xml:space="preserve"> </w:t>
      </w:r>
      <w:r>
        <w:t xml:space="preserve">result. It refutes the natural reading of our own finding — that short human</w:t>
      </w:r>
      <w:r>
        <w:t xml:space="preserve"> </w:t>
      </w:r>
      <w:r>
        <w:t xml:space="preserve">regulatory DNA is inherently at risk — and replaces it with a sharper one:</w:t>
      </w:r>
      <w:r>
        <w:t xml:space="preserve"> </w:t>
      </w:r>
      <w:r>
        <w:rPr>
          <w:b/>
          <w:bCs/>
        </w:rPr>
        <w:t xml:space="preserve">leakage tracks how a dataset was constructed, not what kind of task it is.</w:t>
      </w:r>
      <w:r>
        <w:t xml:space="preserve"> </w:t>
      </w:r>
      <w:r>
        <w:t xml:space="preserve">Genomic Benchmarks’ leaky positive class is an un-deduplicated assembly with</w:t>
      </w:r>
      <w:r>
        <w:t xml:space="preserve"> </w:t>
      </w:r>
      <w:r>
        <w:t xml:space="preserve">77,421 intervals on 40,934 coordinates; GUE’s tasks, matching it on sequence type</w:t>
      </w:r>
      <w:r>
        <w:t xml:space="preserve"> </w:t>
      </w:r>
      <w:r>
        <w:t xml:space="preserve">and length, are clean because they were not built that way. That is a claim about</w:t>
      </w:r>
      <w:r>
        <w:t xml:space="preserve"> </w:t>
      </w:r>
      <w:r>
        <w:t xml:space="preserve">construction, and it is the one our manipulation experiment (§4.7) directly tests.</w:t>
      </w:r>
    </w:p>
    <w:p>
      <w:pPr>
        <w:pStyle w:val="BodyText"/>
      </w:pPr>
      <w:r>
        <w:t xml:space="preserve">Two parts of the reviewer’s question we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answered and do not claim to:</w:t>
      </w:r>
      <w:r>
        <w:t xml:space="preserve"> </w:t>
      </w:r>
      <w:r>
        <w:rPr>
          <w:b/>
          <w:bCs/>
        </w:rPr>
        <w:t xml:space="preserve">protein sequence modelling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long-range regulatory</w:t>
      </w:r>
      <w:r>
        <w:t xml:space="preserve"> </w:t>
      </w:r>
      <w:r>
        <w:t xml:space="preserve">modelling. Both are</w:t>
      </w:r>
      <w:r>
        <w:t xml:space="preserve"> </w:t>
      </w:r>
      <w:r>
        <w:t xml:space="preserve">outside this study, and we name them as extensions rather than implying coverage</w:t>
      </w:r>
      <w:r>
        <w:t xml:space="preserve"> </w:t>
      </w:r>
      <w:r>
        <w:t xml:space="preserve">(§5). We would rather concede those two than stretch DNA-suite evidence to cover</w:t>
      </w:r>
      <w:r>
        <w:t xml:space="preserve"> </w:t>
      </w:r>
      <w:r>
        <w:t xml:space="preserve">them.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 and MCC on both leaky datasets, and</w:t>
      </w:r>
      <w:r>
        <w:rPr>
          <w:b/>
          <w:bCs/>
        </w:rPr>
        <w:t xml:space="preserve"> </w:t>
      </w:r>
      <w:r>
        <w:rPr>
          <w:b/>
          <w:bCs/>
        </w:rPr>
        <w:t xml:space="preserve">additionally by minority recall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rPr>
          <w:b/>
          <w:bCs/>
        </w:rPr>
        <w:t xml:space="preserve">, but masked by accuracy on</w:t>
      </w:r>
      <w:r>
        <w:rPr>
          <w:b/>
          <w:bCs/>
        </w:rP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minority recall is flat, 0.673 -&gt; 0.674, and we</w:t>
      </w:r>
      <w:r>
        <w:t xml:space="preserve"> </w:t>
      </w:r>
      <w:r>
        <w:t xml:space="preserve">say so in §4.13) 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§4.9), now seed-replicated with a paired interval and</w:t>
      </w:r>
      <w:r>
        <w:t xml:space="preserve"> </w:t>
      </w:r>
      <w:r>
        <w:t xml:space="preserve">shown to move from rank 5 to rank 1 under correction on every seed — a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comparison, and one in which four of the five seeds’ intervals exclude zero while the</w:t>
      </w:r>
      <w:r>
        <w:t xml:space="preserve"> </w:t>
      </w:r>
      <w:r>
        <w:t xml:space="preserve">fifth does not (R1.1c, §4.4); and the</w:t>
      </w:r>
      <w:r>
        <w:t xml:space="preserve"> </w:t>
      </w:r>
      <w:r>
        <w:t xml:space="preserve">multilayer perceptron in the nine-model roster (§4.4), whose drop also excludes zero</w:t>
      </w:r>
      <w:r>
        <w:t xml:space="preserve"> </w:t>
      </w:r>
      <w:r>
        <w:t xml:space="preserve">— the inflation reaches a neural learner that we had not designated</w:t>
      </w:r>
      <w:r>
        <w:t xml:space="preserve"> </w:t>
      </w:r>
      <w:r>
        <w:t xml:space="preserve">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p>
      <w:pPr>
        <w:pStyle w:val="BodyText"/>
      </w:pPr>
      <w:r>
        <w:t xml:space="preserve">One part of this comment we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fully met, and would rather name than let</w:t>
      </w:r>
      <w:r>
        <w:t xml:space="preserve"> </w:t>
      </w:r>
      <w:r>
        <w:t xml:space="preserve">pass: the reviewer asks for deep models</w:t>
      </w:r>
      <w:r>
        <w:t xml:space="preserve"> </w:t>
      </w:r>
      <w:r>
        <w:t xml:space="preserve">“in both binary and 3-class settings”</w:t>
      </w:r>
      <w:r>
        <w:t xml:space="preserve">, and our</w:t>
      </w:r>
      <w:r>
        <w:t xml:space="preserve"> </w:t>
      </w:r>
      <w:r>
        <w:t xml:space="preserve">multiclass arm is</w:t>
      </w:r>
      <w:r>
        <w:t xml:space="preserve"> </w:t>
      </w:r>
      <w:r>
        <w:rPr>
          <w:b/>
          <w:bCs/>
        </w:rPr>
        <w:t xml:space="preserve">classical only</w:t>
      </w:r>
      <w:r>
        <w:t xml:space="preserve"> </w:t>
      </w:r>
      <w:r>
        <w:t xml:space="preserve">(random forest against logistic regression). The</w:t>
      </w:r>
      <w:r>
        <w:t xml:space="preserve"> </w:t>
      </w:r>
      <w:r>
        <w:t xml:space="preserve">CNN evidence is binary. We did not extend the injected-leakage construction to the CNN</w:t>
      </w:r>
      <w:r>
        <w:t xml:space="preserve"> </w:t>
      </w:r>
      <w:r>
        <w:t xml:space="preserve">because the mechanism there is imposed by us rather than measured, so a deep replicate</w:t>
      </w:r>
      <w:r>
        <w:t xml:space="preserve"> </w:t>
      </w:r>
      <w:r>
        <w:t xml:space="preserve">would test our injection procedure rather than the suite; the binary CNN result, which</w:t>
      </w:r>
      <w:r>
        <w:t xml:space="preserve"> </w:t>
      </w:r>
      <w:r>
        <w:t xml:space="preserve">is measured on shipped data, is the stronger evidence and is where we put the compute.</w:t>
      </w:r>
      <w:r>
        <w:t xml:space="preserve"> </w:t>
      </w:r>
      <w:r>
        <w:t xml:space="preserve">That is a judgement, not a claim of coverage, and a referee who disagrees is entitled</w:t>
      </w:r>
      <w:r>
        <w:t xml:space="preserve"> </w:t>
      </w:r>
      <w:r>
        <w:t xml:space="preserve">to ask for the run.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Since the first</w:t>
      </w:r>
      <w:r>
        <w:t xml:space="preserve"> </w:t>
      </w:r>
      <w:r>
        <w:t xml:space="preserve">revision we have strengthened this considerably: the CNN is now seed-replicated with a</w:t>
      </w:r>
      <w:r>
        <w:t xml:space="preserve"> </w:t>
      </w:r>
      <w:r>
        <w:t xml:space="preserve">paired cluster-bootstrap interval, and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it ranks</w:t>
      </w:r>
      <w:r>
        <w:t xml:space="preserve"> </w:t>
      </w:r>
      <w:r>
        <w:rPr>
          <w:b/>
          <w:bCs/>
        </w:rPr>
        <w:t xml:space="preserve">fifth</w:t>
      </w:r>
      <w:r>
        <w:rPr>
          <w:b/>
          <w:bCs/>
        </w:rPr>
        <w:t xml:space="preserve"> </w:t>
      </w:r>
      <w:r>
        <w:rPr>
          <w:b/>
          <w:bCs/>
        </w:rPr>
        <w:t xml:space="preserve">on the leaky split and first on the corrected one, on every one of five seeds</w:t>
      </w:r>
      <w:r>
        <w:t xml:space="preserve"> </w:t>
      </w:r>
      <w:r>
        <w:t xml:space="preserve">(R1.1c, §4.4). The leaky split does not merely fail to detect the deep model — it</w:t>
      </w:r>
      <w:r>
        <w:t xml:space="preserve"> </w:t>
      </w:r>
      <w:r>
        <w:t xml:space="preserve">actively demotes it. Three qualifications, repeated here rather than left to the</w:t>
      </w:r>
      <w:r>
        <w:t xml:space="preserve"> </w:t>
      </w:r>
      <w:r>
        <w:t xml:space="preserve">cross-reference: the rank is uniform across seeds but the</w:t>
      </w:r>
      <w:r>
        <w:t xml:space="preserve"> </w:t>
      </w:r>
      <w:r>
        <w:rPr>
          <w:i/>
          <w:iCs/>
        </w:rPr>
        <w:t xml:space="preserve">significance</w:t>
      </w:r>
      <w:r>
        <w:t xml:space="preserve"> </w:t>
      </w:r>
      <w:r>
        <w:t xml:space="preserve">is not — four</w:t>
      </w:r>
      <w:r>
        <w:t xml:space="preserve"> </w:t>
      </w:r>
      <w:r>
        <w:t xml:space="preserve">of five seeds’ paired intervals exclude zero and the fifth does not; the CNN was not in</w:t>
      </w:r>
      <w:r>
        <w:t xml:space="preserve"> </w:t>
      </w:r>
      <w:r>
        <w:t xml:space="preserve">the pre-registered nine-model roster, so this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; and it is one</w:t>
      </w:r>
      <w:r>
        <w:t xml:space="preserve"> </w:t>
      </w:r>
      <w:r>
        <w:t xml:space="preserve">dataset.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p>
      <w:pPr>
        <w:pStyle w:val="BodyText"/>
      </w:pPr>
      <w:r>
        <w:rPr>
          <w:b/>
          <w:bCs/>
        </w:rPr>
        <w:t xml:space="preserve">This is a refusal on validity grounds, not a compute limitation, and we want to be</w:t>
      </w:r>
      <w:r>
        <w:rPr>
          <w:b/>
          <w:bCs/>
        </w:rPr>
        <w:t xml:space="preserve"> </w:t>
      </w:r>
      <w:r>
        <w:rPr>
          <w:b/>
          <w:bCs/>
        </w:rPr>
        <w:t xml:space="preserve">unambiguous about it.</w:t>
      </w:r>
      <w:r>
        <w:t xml:space="preserve"> </w:t>
      </w:r>
      <w:r>
        <w:t xml:space="preserve">No amount of hardware changes the argument. The pretraining</w:t>
      </w:r>
      <w:r>
        <w:t xml:space="preserve"> </w:t>
      </w:r>
      <w:r>
        <w:t xml:space="preserve">corpus has already seen the test sequences, so a fine-tuned DNABERT-2 or HyenaDNA</w:t>
      </w:r>
      <w:r>
        <w:t xml:space="preserve"> </w:t>
      </w:r>
      <w:r>
        <w:t xml:space="preserve">number would not measure what this paper measures however it was produced — it would</w:t>
      </w:r>
      <w:r>
        <w:t xml:space="preserve"> </w:t>
      </w:r>
      <w:r>
        <w:t xml:space="preserve">carry a confound we can name in advance and cannot remove by re-splitting. Producing</w:t>
      </w:r>
      <w:r>
        <w:t xml:space="preserve"> </w:t>
      </w:r>
      <w:r>
        <w:t xml:space="preserve">such a number and captioning it carefully would be worse than declining, because it</w:t>
      </w:r>
      <w:r>
        <w:t xml:space="preserve"> </w:t>
      </w:r>
      <w:r>
        <w:t xml:space="preserve">would enter the literature as a measurement and be cited as one. The manuscript now</w:t>
      </w:r>
      <w:r>
        <w:t xml:space="preserve"> </w:t>
      </w:r>
      <w:r>
        <w:t xml:space="preserve">makes this findable rather than buried: it has its own titled paragraph,</w:t>
      </w:r>
      <w:r>
        <w:t xml:space="preserve"> </w:t>
      </w:r>
      <w:r>
        <w:rPr>
          <w:b/>
          <w:bCs/>
        </w:rPr>
        <w:t xml:space="preserve">“Why we do</w:t>
      </w:r>
      <w:r>
        <w:rPr>
          <w:b/>
          <w:bCs/>
        </w:rPr>
        <w:t xml:space="preserve"> </w:t>
      </w:r>
      <w:r>
        <w:rPr>
          <w:b/>
          <w:bCs/>
        </w:rPr>
        <w:t xml:space="preserve">not fine-tune the pretrained models”</w:t>
      </w:r>
      <w:r>
        <w:t xml:space="preserve"> </w:t>
      </w:r>
      <w:r>
        <w:t xml:space="preserve">(§5), so a reader checking our answer to this</w:t>
      </w:r>
      <w:r>
        <w:t xml:space="preserve"> </w:t>
      </w:r>
      <w:r>
        <w:t xml:space="preserve">specific comment does not have to hunt for it inside a limitations paragraph.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2026-07-19T20:22:31Z</dcterms:created>
  <dcterms:modified xsi:type="dcterms:W3CDTF">2026-07-19T20:22:31Z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