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2E74B5"/>
          <w:sz w:val="28"/>
        </w:rPr>
        <w:t>TELO</w:t>
      </w:r>
    </w:p>
    <w:p>
      <w:pPr>
        <w:pStyle w:val="Title"/>
        <w:jc w:val="center"/>
      </w:pPr>
      <w:r>
        <w:t>Distributed Sterile-Injectable Manufacturing Under Real-World Constraints</w:t>
      </w:r>
    </w:p>
    <w:p>
      <w:pPr>
        <w:pStyle w:val="Subtitle"/>
        <w:jc w:val="center"/>
      </w:pPr>
      <w:r>
        <w:t>Maximum-quality feasibility-study protocol and model specification</w:t>
      </w:r>
    </w:p>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E8EEF5"/>
            <w:tcMar>
              <w:top w:w="130" w:type="dxa"/>
              <w:start w:w="170" w:type="dxa"/>
              <w:bottom w:w="130" w:type="dxa"/>
              <w:end w:w="170" w:type="dxa"/>
            </w:tcMar>
          </w:tcPr>
          <w:p>
            <w:pPr>
              <w:spacing w:after="60"/>
            </w:pPr>
            <w:r>
              <w:rPr>
                <w:b/>
                <w:color w:val="16324F"/>
              </w:rPr>
              <w:t>Central decision question</w:t>
            </w:r>
          </w:p>
          <w:p>
            <w:pPr>
              <w:spacing w:after="0"/>
            </w:pPr>
            <w:r>
              <w:t>Under what product, demand, regulatory, and operating conditions can distributed regional capacity reduce sterile-injectable shortages more cost-effectively than additional safety stock, dual sourcing, reserved contract capacity, or additional centralized capacity?</w:t>
            </w:r>
          </w:p>
        </w:tc>
      </w:tr>
    </w:tbl>
    <w:p>
      <w:pPr>
        <w:spacing w:before="360"/>
        <w:jc w:val="center"/>
      </w:pPr>
      <w:r>
        <w:rPr>
          <w:b/>
          <w:color w:val="16324F"/>
          <w:sz w:val="24"/>
        </w:rPr>
        <w:t>The study is designed to permit a negative conclusion.</w:t>
      </w:r>
    </w:p>
    <w:p>
      <w:pPr>
        <w:jc w:val="center"/>
      </w:pPr>
      <w:r>
        <w:rPr>
          <w:color w:val="5D6873"/>
          <w:sz w:val="18"/>
        </w:rPr>
        <w:t>Version 1.0  |  1 September 2026  |  Preliminary research design; not legal or regulatory advice</w:t>
      </w:r>
    </w:p>
    <w:p>
      <w:r>
        <w:br w:type="page"/>
      </w:r>
    </w:p>
    <w:p>
      <w:pPr>
        <w:pStyle w:val="Heading1"/>
        <w:keepNext/>
        <w:keepLines/>
      </w:pPr>
      <w:r>
        <w:t>Executive decision architecture</w:t>
      </w:r>
    </w:p>
    <w:p>
      <w:r>
        <w:t>This is not a business-plan spreadsheet and not a model built to manufacture a favorable answer. It is a pre-specified comparison of supply architectures under matched service requirements. Distributed production only wins if it is legally and technically feasible, meets the same reliability target, remains attractive after common-cause failures are modeled, and lies on the cost–reliability frontier after each alternative has been optimized fairly.</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DDF2E5"/>
            <w:tcMar>
              <w:top w:w="130" w:type="dxa"/>
              <w:start w:w="170" w:type="dxa"/>
              <w:bottom w:w="130" w:type="dxa"/>
              <w:end w:w="170" w:type="dxa"/>
            </w:tcMar>
          </w:tcPr>
          <w:p>
            <w:pPr>
              <w:spacing w:after="60"/>
            </w:pPr>
            <w:r>
              <w:rPr>
                <w:b/>
                <w:color w:val="16324F"/>
              </w:rPr>
              <w:t>The governing rule</w:t>
            </w:r>
          </w:p>
          <w:p>
            <w:pPr>
              <w:spacing w:after="0"/>
            </w:pPr>
            <w:r>
              <w:t>No strategy is eligible for a favorable conclusion unless all applicable regulatory and quality gates pass. Among eligible strategies, compare the minimum total cost required to reach the same service target—not hand-picked versions of each strategy.</w:t>
            </w:r>
          </w:p>
        </w:tc>
      </w:tr>
    </w:tbl>
    <w:p>
      <w:pPr>
        <w:pStyle w:val="Heading2"/>
        <w:keepNext/>
        <w:keepLines/>
      </w:pPr>
      <w:r>
        <w:t>What this study can establish</w:t>
      </w:r>
    </w:p>
    <w:p>
      <w:pPr>
        <w:pStyle w:val="ListBullet"/>
      </w:pPr>
      <w:r>
        <w:t>A reproducible region of feasibility: combinations of utilization, release latency, fixed quality cost, supplier independence, shelf life, demand volatility, and contracted volume under which regional nodes are—or are not—efficient.</w:t>
      </w:r>
    </w:p>
    <w:p>
      <w:pPr>
        <w:pStyle w:val="ListBullet"/>
      </w:pPr>
      <w:r>
        <w:t>Which bottleneck dominates for each product: transport, material lead time, testing/release, capacity, supplier concentration, contracting, or regulatory recovery time.</w:t>
      </w:r>
    </w:p>
    <w:p>
      <w:pPr>
        <w:pStyle w:val="ListBullet"/>
      </w:pPr>
      <w:r>
        <w:t>Whether a distributed design remains useful when one node fails and when all nodes share an API, component, software, quality, or regulatory failure mode.</w:t>
      </w:r>
    </w:p>
    <w:p>
      <w:pPr>
        <w:pStyle w:val="ListBullet"/>
      </w:pPr>
      <w:r>
        <w:t>The value of Telo's release-assurance layer as a separately gated scenario, without assuming it is validated or treating it as a substitute for sterility assurance.</w:t>
      </w:r>
    </w:p>
    <w:p>
      <w:pPr>
        <w:pStyle w:val="ListBullet"/>
      </w:pPr>
      <w:r>
        <w:t>The price and take-or-pay commitment required to support resilience capacity, expressed transparently rather than hidden inside a product markup.</w:t>
      </w:r>
    </w:p>
    <w:p>
      <w:pPr>
        <w:pStyle w:val="Heading2"/>
        <w:keepNext/>
        <w:keepLines/>
      </w:pPr>
      <w:r>
        <w:t>What it cannot establish by itself</w:t>
      </w:r>
    </w:p>
    <w:p>
      <w:pPr>
        <w:pStyle w:val="ListBullet"/>
      </w:pPr>
      <w:r>
        <w:t>FDA acceptance of a particular product, site, control strategy, real-time release method, or multi-site equivalence claim.</w:t>
      </w:r>
    </w:p>
    <w:p>
      <w:pPr>
        <w:pStyle w:val="ListBullet"/>
      </w:pPr>
      <w:r>
        <w:t>Manufacturing cost from CMS reimbursement or spending data; those data can be labeled utilization or pricing proxies only.</w:t>
      </w:r>
    </w:p>
    <w:p>
      <w:pPr>
        <w:pStyle w:val="ListBullet"/>
      </w:pPr>
      <w:r>
        <w:t>Prospective safety or release performance from retrospective public-spectra benchmarks.</w:t>
      </w:r>
    </w:p>
    <w:p>
      <w:pPr>
        <w:pStyle w:val="ListBullet"/>
      </w:pPr>
      <w:r>
        <w:t>Commercial demand without hospital, wholesaler, group-purchasing-organization, or government commitments.</w:t>
      </w:r>
    </w:p>
    <w:p>
      <w:pPr>
        <w:pStyle w:val="ListBullet"/>
      </w:pPr>
      <w:r>
        <w:t>That 503B is a bridge to an approved generic pathway; it is a separate, status-dependent legal architecture.</w:t>
      </w:r>
    </w:p>
    <w:p>
      <w:pPr>
        <w:pStyle w:val="Heading2"/>
        <w:keepNext/>
        <w:keepLines/>
      </w:pPr>
      <w:r>
        <w:t>How the Telo roadmap enters the analysis</w:t>
      </w:r>
    </w:p>
    <w:tbl>
      <w:tblPr>
        <w:tblStyle w:val="TableGrid"/>
        <w:tblW w:type="dxa" w:w="9720"/>
        <w:jc w:val="center"/>
        <w:tblLayout w:type="fixed"/>
        <w:tblLook w:firstColumn="1" w:firstRow="1" w:lastColumn="0" w:lastRow="0" w:noHBand="0" w:noVBand="1" w:val="04A0"/>
        <w:tblInd w:type="dxa" w:w="120"/>
      </w:tblPr>
      <w:tblGrid>
        <w:gridCol w:w="1800"/>
        <w:gridCol w:w="2520"/>
        <w:gridCol w:w="3600"/>
        <w:gridCol w:w="1800"/>
      </w:tblGrid>
      <w:tr>
        <w:trPr>
          <w:cantSplit w:val="true"/>
          <w:tblHeader w:val="true"/>
        </w:trPr>
        <w:tc>
          <w:tcPr>
            <w:tcW w:type="dxa" w:w="1800"/>
            <w:shd w:fill="E8EEF5"/>
            <w:tcMar>
              <w:top w:w="80" w:type="dxa"/>
              <w:start w:w="120" w:type="dxa"/>
              <w:bottom w:w="80" w:type="dxa"/>
              <w:end w:w="120" w:type="dxa"/>
            </w:tcMar>
            <w:vAlign w:val="center"/>
          </w:tcPr>
          <w:p>
            <w:pPr>
              <w:spacing w:after="0"/>
            </w:pPr>
            <w:r>
              <w:rPr>
                <w:b/>
                <w:color w:val="16324F"/>
                <w:sz w:val="15"/>
              </w:rPr>
              <w:t>Telo element</w:t>
            </w:r>
          </w:p>
        </w:tc>
        <w:tc>
          <w:tcPr>
            <w:tcW w:type="dxa" w:w="2520"/>
            <w:shd w:fill="E8EEF5"/>
            <w:tcMar>
              <w:top w:w="80" w:type="dxa"/>
              <w:start w:w="120" w:type="dxa"/>
              <w:bottom w:w="80" w:type="dxa"/>
              <w:end w:w="120" w:type="dxa"/>
            </w:tcMar>
            <w:vAlign w:val="center"/>
          </w:tcPr>
          <w:p>
            <w:pPr>
              <w:spacing w:after="0"/>
            </w:pPr>
            <w:r>
              <w:rPr>
                <w:b/>
                <w:color w:val="16324F"/>
                <w:sz w:val="15"/>
              </w:rPr>
              <w:t>Role in this study</w:t>
            </w:r>
          </w:p>
        </w:tc>
        <w:tc>
          <w:tcPr>
            <w:tcW w:type="dxa" w:w="3600"/>
            <w:shd w:fill="E8EEF5"/>
            <w:tcMar>
              <w:top w:w="80" w:type="dxa"/>
              <w:start w:w="120" w:type="dxa"/>
              <w:bottom w:w="80" w:type="dxa"/>
              <w:end w:w="120" w:type="dxa"/>
            </w:tcMar>
            <w:vAlign w:val="center"/>
          </w:tcPr>
          <w:p>
            <w:pPr>
              <w:spacing w:after="0"/>
            </w:pPr>
            <w:r>
              <w:rPr>
                <w:b/>
                <w:color w:val="16324F"/>
                <w:sz w:val="15"/>
              </w:rPr>
              <w:t>Evidence standard</w:t>
            </w:r>
          </w:p>
        </w:tc>
        <w:tc>
          <w:tcPr>
            <w:tcW w:type="dxa" w:w="1800"/>
            <w:shd w:fill="E8EEF5"/>
            <w:tcMar>
              <w:top w:w="80" w:type="dxa"/>
              <w:start w:w="120" w:type="dxa"/>
              <w:bottom w:w="80" w:type="dxa"/>
              <w:end w:w="120" w:type="dxa"/>
            </w:tcMar>
            <w:vAlign w:val="center"/>
          </w:tcPr>
          <w:p>
            <w:pPr>
              <w:spacing w:after="0"/>
            </w:pPr>
            <w:r>
              <w:rPr>
                <w:b/>
                <w:color w:val="16324F"/>
                <w:sz w:val="15"/>
              </w:rPr>
              <w:t>Claim status</w:t>
            </w:r>
          </w:p>
        </w:tc>
      </w:tr>
      <w:tr>
        <w:trPr>
          <w:cantSplit w:val="true"/>
        </w:trPr>
        <w:tc>
          <w:tcPr>
            <w:tcW w:type="dxa" w:w="1800"/>
            <w:tcMar>
              <w:top w:w="80" w:type="dxa"/>
              <w:start w:w="120" w:type="dxa"/>
              <w:bottom w:w="80" w:type="dxa"/>
              <w:end w:w="120" w:type="dxa"/>
            </w:tcMar>
            <w:vAlign w:val="top"/>
          </w:tcPr>
          <w:p>
            <w:pPr>
              <w:spacing w:after="0"/>
            </w:pPr>
            <w:r>
              <w:rPr>
                <w:sz w:val="15"/>
              </w:rPr>
              <w:t>Phase 1 OS</w:t>
            </w:r>
          </w:p>
        </w:tc>
        <w:tc>
          <w:tcPr>
            <w:tcW w:type="dxa" w:w="2520"/>
            <w:tcMar>
              <w:top w:w="80" w:type="dxa"/>
              <w:start w:w="120" w:type="dxa"/>
              <w:bottom w:w="80" w:type="dxa"/>
              <w:end w:w="120" w:type="dxa"/>
            </w:tcMar>
            <w:vAlign w:val="top"/>
          </w:tcPr>
          <w:p>
            <w:pPr>
              <w:spacing w:after="0"/>
            </w:pPr>
            <w:r>
              <w:rPr>
                <w:sz w:val="15"/>
              </w:rPr>
              <w:t>Process orchestration, electronic records, deviation workflow, and decision support inside validated facilities</w:t>
            </w:r>
          </w:p>
        </w:tc>
        <w:tc>
          <w:tcPr>
            <w:tcW w:type="dxa" w:w="3600"/>
            <w:tcMar>
              <w:top w:w="80" w:type="dxa"/>
              <w:start w:w="120" w:type="dxa"/>
              <w:bottom w:w="80" w:type="dxa"/>
              <w:end w:w="120" w:type="dxa"/>
            </w:tcMar>
            <w:vAlign w:val="top"/>
          </w:tcPr>
          <w:p>
            <w:pPr>
              <w:spacing w:after="0"/>
            </w:pPr>
            <w:r>
              <w:rPr>
                <w:sz w:val="15"/>
              </w:rPr>
              <w:t>Observed workflow time, error rate, integration burden, auditability, and validated data lineage at a design-partner site</w:t>
            </w:r>
          </w:p>
        </w:tc>
        <w:tc>
          <w:tcPr>
            <w:tcW w:type="dxa" w:w="1800"/>
            <w:tcMar>
              <w:top w:w="80" w:type="dxa"/>
              <w:start w:w="120" w:type="dxa"/>
              <w:bottom w:w="80" w:type="dxa"/>
              <w:end w:w="120" w:type="dxa"/>
            </w:tcMar>
            <w:vAlign w:val="top"/>
          </w:tcPr>
          <w:p>
            <w:pPr>
              <w:spacing w:after="0"/>
            </w:pPr>
            <w:r>
              <w:rPr>
                <w:sz w:val="15"/>
              </w:rPr>
              <w:t>Commercial wedge; not assumed to create manufacturing capacity</w:t>
            </w:r>
          </w:p>
        </w:tc>
      </w:tr>
      <w:tr>
        <w:trPr>
          <w:cantSplit w:val="true"/>
        </w:trPr>
        <w:tc>
          <w:tcPr>
            <w:tcW w:type="dxa" w:w="1800"/>
            <w:tcMar>
              <w:top w:w="80" w:type="dxa"/>
              <w:start w:w="120" w:type="dxa"/>
              <w:bottom w:w="80" w:type="dxa"/>
              <w:end w:w="120" w:type="dxa"/>
            </w:tcMar>
            <w:vAlign w:val="top"/>
          </w:tcPr>
          <w:p>
            <w:pPr>
              <w:spacing w:after="0"/>
            </w:pPr>
            <w:r>
              <w:rPr>
                <w:sz w:val="15"/>
              </w:rPr>
              <w:t>Release assurance</w:t>
            </w:r>
          </w:p>
        </w:tc>
        <w:tc>
          <w:tcPr>
            <w:tcW w:type="dxa" w:w="2520"/>
            <w:tcMar>
              <w:top w:w="80" w:type="dxa"/>
              <w:start w:w="120" w:type="dxa"/>
              <w:bottom w:w="80" w:type="dxa"/>
              <w:end w:w="120" w:type="dxa"/>
            </w:tcMar>
            <w:vAlign w:val="top"/>
          </w:tcPr>
          <w:p>
            <w:pPr>
              <w:spacing w:after="0"/>
            </w:pPr>
            <w:r>
              <w:rPr>
                <w:sz w:val="15"/>
              </w:rPr>
              <w:t>Conditional scenario that may reduce a validated portion of batch-disposition latency</w:t>
            </w:r>
          </w:p>
        </w:tc>
        <w:tc>
          <w:tcPr>
            <w:tcW w:type="dxa" w:w="3600"/>
            <w:tcMar>
              <w:top w:w="80" w:type="dxa"/>
              <w:start w:w="120" w:type="dxa"/>
              <w:bottom w:w="80" w:type="dxa"/>
              <w:end w:w="120" w:type="dxa"/>
            </w:tcMar>
            <w:vAlign w:val="top"/>
          </w:tcPr>
          <w:p>
            <w:pPr>
              <w:spacing w:after="0"/>
            </w:pPr>
            <w:r>
              <w:rPr>
                <w:sz w:val="15"/>
              </w:rPr>
              <w:t>Product- and site-specific prospective validation, predefined shift response, change control, audit trail, and acceptable risk–coverage frontier</w:t>
            </w:r>
          </w:p>
        </w:tc>
        <w:tc>
          <w:tcPr>
            <w:tcW w:type="dxa" w:w="1800"/>
            <w:tcMar>
              <w:top w:w="80" w:type="dxa"/>
              <w:start w:w="120" w:type="dxa"/>
              <w:bottom w:w="80" w:type="dxa"/>
              <w:end w:w="120" w:type="dxa"/>
            </w:tcMar>
            <w:vAlign w:val="top"/>
          </w:tcPr>
          <w:p>
            <w:pPr>
              <w:spacing w:after="0"/>
            </w:pPr>
            <w:r>
              <w:rPr>
                <w:sz w:val="15"/>
              </w:rPr>
              <w:t>Current public-benchmark work supports methods/OOD detection only</w:t>
            </w:r>
          </w:p>
        </w:tc>
      </w:tr>
      <w:tr>
        <w:trPr>
          <w:cantSplit w:val="true"/>
        </w:trPr>
        <w:tc>
          <w:tcPr>
            <w:tcW w:type="dxa" w:w="1800"/>
            <w:tcMar>
              <w:top w:w="80" w:type="dxa"/>
              <w:start w:w="120" w:type="dxa"/>
              <w:bottom w:w="80" w:type="dxa"/>
              <w:end w:w="120" w:type="dxa"/>
            </w:tcMar>
            <w:vAlign w:val="top"/>
          </w:tcPr>
          <w:p>
            <w:pPr>
              <w:spacing w:after="0"/>
            </w:pPr>
            <w:r>
              <w:rPr>
                <w:sz w:val="15"/>
              </w:rPr>
              <w:t>Phase 2 nodes</w:t>
            </w:r>
          </w:p>
        </w:tc>
        <w:tc>
          <w:tcPr>
            <w:tcW w:type="dxa" w:w="2520"/>
            <w:tcMar>
              <w:top w:w="80" w:type="dxa"/>
              <w:start w:w="120" w:type="dxa"/>
              <w:bottom w:w="80" w:type="dxa"/>
              <w:end w:w="120" w:type="dxa"/>
            </w:tcMar>
            <w:vAlign w:val="top"/>
          </w:tcPr>
          <w:p>
            <w:pPr>
              <w:spacing w:after="0"/>
            </w:pPr>
            <w:r>
              <w:rPr>
                <w:sz w:val="15"/>
              </w:rPr>
              <w:t>Distributed sterile fill-finish architecture for a tightly bounded product archetype</w:t>
            </w:r>
          </w:p>
        </w:tc>
        <w:tc>
          <w:tcPr>
            <w:tcW w:type="dxa" w:w="3600"/>
            <w:tcMar>
              <w:top w:w="80" w:type="dxa"/>
              <w:start w:w="120" w:type="dxa"/>
              <w:bottom w:w="80" w:type="dxa"/>
              <w:end w:w="120" w:type="dxa"/>
            </w:tcMar>
            <w:vAlign w:val="top"/>
          </w:tcPr>
          <w:p>
            <w:pPr>
              <w:spacing w:after="0"/>
            </w:pPr>
            <w:r>
              <w:rPr>
                <w:sz w:val="15"/>
              </w:rPr>
              <w:t>Qualified API, approved/contracted regulatory owner, validated process, aseptic control, stability, inspection, and executable demand contracts</w:t>
            </w:r>
          </w:p>
        </w:tc>
        <w:tc>
          <w:tcPr>
            <w:tcW w:type="dxa" w:w="1800"/>
            <w:tcMar>
              <w:top w:w="80" w:type="dxa"/>
              <w:start w:w="120" w:type="dxa"/>
              <w:bottom w:w="80" w:type="dxa"/>
              <w:end w:w="120" w:type="dxa"/>
            </w:tcMar>
            <w:vAlign w:val="top"/>
          </w:tcPr>
          <w:p>
            <w:pPr>
              <w:spacing w:after="0"/>
            </w:pPr>
            <w:r>
              <w:rPr>
                <w:sz w:val="15"/>
              </w:rPr>
              <w:t>Subject of feasibility model</w:t>
            </w:r>
          </w:p>
        </w:tc>
      </w:tr>
      <w:tr>
        <w:trPr>
          <w:cantSplit w:val="true"/>
        </w:trPr>
        <w:tc>
          <w:tcPr>
            <w:tcW w:type="dxa" w:w="1800"/>
            <w:tcMar>
              <w:top w:w="80" w:type="dxa"/>
              <w:start w:w="120" w:type="dxa"/>
              <w:bottom w:w="80" w:type="dxa"/>
              <w:end w:w="120" w:type="dxa"/>
            </w:tcMar>
            <w:vAlign w:val="top"/>
          </w:tcPr>
          <w:p>
            <w:pPr>
              <w:spacing w:after="0"/>
            </w:pPr>
            <w:r>
              <w:rPr>
                <w:sz w:val="15"/>
              </w:rPr>
              <w:t>Shelved assets</w:t>
            </w:r>
          </w:p>
        </w:tc>
        <w:tc>
          <w:tcPr>
            <w:tcW w:type="dxa" w:w="2520"/>
            <w:tcMar>
              <w:top w:w="80" w:type="dxa"/>
              <w:start w:w="120" w:type="dxa"/>
              <w:bottom w:w="80" w:type="dxa"/>
              <w:end w:w="120" w:type="dxa"/>
            </w:tcMar>
            <w:vAlign w:val="top"/>
          </w:tcPr>
          <w:p>
            <w:pPr>
              <w:spacing w:after="0"/>
            </w:pPr>
            <w:r>
              <w:rPr>
                <w:sz w:val="15"/>
              </w:rPr>
              <w:t>Separate future asset-development program</w:t>
            </w:r>
          </w:p>
        </w:tc>
        <w:tc>
          <w:tcPr>
            <w:tcW w:type="dxa" w:w="3600"/>
            <w:tcMar>
              <w:top w:w="80" w:type="dxa"/>
              <w:start w:w="120" w:type="dxa"/>
              <w:bottom w:w="80" w:type="dxa"/>
              <w:end w:w="120" w:type="dxa"/>
            </w:tcMar>
            <w:vAlign w:val="top"/>
          </w:tcPr>
          <w:p>
            <w:pPr>
              <w:spacing w:after="0"/>
            </w:pPr>
            <w:r>
              <w:rPr>
                <w:sz w:val="15"/>
              </w:rPr>
              <w:t>Asset-specific biology, IP, CMC, clinical, regulatory, and capital diligence</w:t>
            </w:r>
          </w:p>
        </w:tc>
        <w:tc>
          <w:tcPr>
            <w:tcW w:type="dxa" w:w="1800"/>
            <w:tcMar>
              <w:top w:w="80" w:type="dxa"/>
              <w:start w:w="120" w:type="dxa"/>
              <w:bottom w:w="80" w:type="dxa"/>
              <w:end w:w="120" w:type="dxa"/>
            </w:tcMar>
            <w:vAlign w:val="top"/>
          </w:tcPr>
          <w:p>
            <w:pPr>
              <w:spacing w:after="0"/>
            </w:pPr>
            <w:r>
              <w:rPr>
                <w:sz w:val="15"/>
              </w:rPr>
              <w:t>Outside this shortage study; do not mix into its conclusion</w:t>
            </w:r>
          </w:p>
        </w:tc>
      </w:tr>
    </w:tbl>
    <w:p>
      <w:pPr>
        <w:pStyle w:val="Heading1"/>
        <w:keepNext/>
        <w:keepLines/>
      </w:pPr>
      <w:r>
        <w:t>Contents</w:t>
      </w:r>
    </w:p>
    <w:p>
      <w:pPr>
        <w:pStyle w:val="ListBullet"/>
      </w:pPr>
      <w:r>
        <w:t>1. Study charter and falsifiable hypotheses</w:t>
      </w:r>
    </w:p>
    <w:p>
      <w:pPr>
        <w:pStyle w:val="ListBullet"/>
      </w:pPr>
      <w:r>
        <w:t>2. Product archetype and case selection</w:t>
      </w:r>
    </w:p>
    <w:p>
      <w:pPr>
        <w:pStyle w:val="ListBullet"/>
      </w:pPr>
      <w:r>
        <w:t>3. Comparator strategies and fair-comparison rules</w:t>
      </w:r>
    </w:p>
    <w:p>
      <w:pPr>
        <w:pStyle w:val="ListBullet"/>
      </w:pPr>
      <w:r>
        <w:t>4. Regulatory and quality decision architecture</w:t>
      </w:r>
    </w:p>
    <w:p>
      <w:pPr>
        <w:pStyle w:val="ListBullet"/>
      </w:pPr>
      <w:r>
        <w:t>5. Model boundary, network topology, and data architecture</w:t>
      </w:r>
    </w:p>
    <w:p>
      <w:pPr>
        <w:pStyle w:val="ListBullet"/>
      </w:pPr>
      <w:r>
        <w:t>6. Deterministic techno-economic model</w:t>
      </w:r>
    </w:p>
    <w:p>
      <w:pPr>
        <w:pStyle w:val="ListBullet"/>
      </w:pPr>
      <w:r>
        <w:t>7. Stochastic reliability simulation</w:t>
      </w:r>
    </w:p>
    <w:p>
      <w:pPr>
        <w:pStyle w:val="ListBullet"/>
      </w:pPr>
      <w:r>
        <w:t>8. Demand, disruption, inventory, and allocation submodels</w:t>
      </w:r>
    </w:p>
    <w:p>
      <w:pPr>
        <w:pStyle w:val="ListBullet"/>
      </w:pPr>
      <w:r>
        <w:t>9. Telo release-assurance submodel</w:t>
      </w:r>
    </w:p>
    <w:p>
      <w:pPr>
        <w:pStyle w:val="ListBullet"/>
      </w:pPr>
      <w:r>
        <w:t>10. Optimization, outputs, and decision rules</w:t>
      </w:r>
    </w:p>
    <w:p>
      <w:pPr>
        <w:pStyle w:val="ListBullet"/>
      </w:pPr>
      <w:r>
        <w:t>11. Uncertainty, sensitivity, and value of information</w:t>
      </w:r>
    </w:p>
    <w:p>
      <w:pPr>
        <w:pStyle w:val="ListBullet"/>
      </w:pPr>
      <w:r>
        <w:t>12. Validation, interviews, and independent review</w:t>
      </w:r>
    </w:p>
    <w:p>
      <w:pPr>
        <w:pStyle w:val="ListBullet"/>
      </w:pPr>
      <w:r>
        <w:t>13. Exact execution sequence and publication package</w:t>
      </w:r>
    </w:p>
    <w:p>
      <w:pPr>
        <w:pStyle w:val="ListBullet"/>
      </w:pPr>
      <w:r>
        <w:t>Appendices A–F: variables, equations, QA tests, interview guide, sources, completion standard</w:t>
      </w:r>
    </w:p>
    <w:p>
      <w:r>
        <w:br w:type="page"/>
      </w:r>
    </w:p>
    <w:p>
      <w:pPr>
        <w:pStyle w:val="Heading1"/>
        <w:keepNext/>
        <w:keepLines/>
      </w:pPr>
      <w:r>
        <w:t>1. Study charter and falsifiable hypotheses</w:t>
      </w:r>
    </w:p>
    <w:p>
      <w:pPr>
        <w:pStyle w:val="Heading2"/>
        <w:keepNext/>
        <w:keepLines/>
      </w:pPr>
      <w:r>
        <w:t>1.1 Decision owner and decision date</w:t>
      </w:r>
    </w:p>
    <w:p>
      <w:r>
        <w:t>Define the decision before collecting favorable data. The decision owner is the Telo research team advised by independent manufacturing, pharmacy-supply, regulatory, and operations experts. The decision is not “launch Telo.” It is whether to advance a specific product–pathway–network design into paid regulatory/engineering diligence, redesign it, or stop. Freeze the protocol, source snapshot, candidate list, and analysis version before the final simulation run.</w:t>
      </w:r>
    </w:p>
    <w:p>
      <w:pPr>
        <w:pStyle w:val="Heading2"/>
        <w:keepNext/>
        <w:keepLines/>
      </w:pPr>
      <w:r>
        <w:t>1.2 Unit of analysis</w:t>
      </w:r>
    </w:p>
    <w:p>
      <w:r>
        <w:t>The primary unit is a product–presentation–pathway–network architecture over a defined national or multi-region demand system. “Sodium bicarbonate” is too broad; an analyzable case is a named concentration, dosage form, container, fill volume, route, label, and regulatory pathway. Each site, supplier, component, release queue, and inventory location is modeled explicitly enough to expose shared failure modes.</w:t>
      </w:r>
    </w:p>
    <w:p>
      <w:pPr>
        <w:pStyle w:val="Heading2"/>
        <w:keepNext/>
        <w:keepLines/>
      </w:pPr>
      <w:r>
        <w:t>1.3 Pre-specified hypotheses</w:t>
      </w:r>
    </w:p>
    <w:tbl>
      <w:tblPr>
        <w:tblStyle w:val="TableGrid"/>
        <w:tblW w:type="dxa" w:w="9720"/>
        <w:jc w:val="center"/>
        <w:tblLayout w:type="fixed"/>
        <w:tblLook w:firstColumn="1" w:firstRow="1" w:lastColumn="0" w:lastRow="0" w:noHBand="0" w:noVBand="1" w:val="04A0"/>
        <w:tblInd w:type="dxa" w:w="120"/>
      </w:tblPr>
      <w:tblGrid>
        <w:gridCol w:w="2016"/>
        <w:gridCol w:w="7704"/>
      </w:tblGrid>
      <w:tr>
        <w:trPr>
          <w:cantSplit w:val="true"/>
          <w:tblHeader w:val="true"/>
        </w:trPr>
        <w:tc>
          <w:tcPr>
            <w:tcW w:type="dxa" w:w="2016"/>
            <w:shd w:fill="E8EEF5"/>
            <w:tcMar>
              <w:top w:w="80" w:type="dxa"/>
              <w:start w:w="120" w:type="dxa"/>
              <w:bottom w:w="80" w:type="dxa"/>
              <w:end w:w="120" w:type="dxa"/>
            </w:tcMar>
            <w:vAlign w:val="center"/>
          </w:tcPr>
          <w:p>
            <w:pPr>
              <w:spacing w:after="0"/>
            </w:pPr>
            <w:r>
              <w:rPr>
                <w:b/>
                <w:color w:val="16324F"/>
                <w:sz w:val="16"/>
              </w:rPr>
              <w:t>Hypothesis</w:t>
            </w:r>
          </w:p>
        </w:tc>
        <w:tc>
          <w:tcPr>
            <w:tcW w:type="dxa" w:w="7704"/>
            <w:shd w:fill="E8EEF5"/>
            <w:tcMar>
              <w:top w:w="80" w:type="dxa"/>
              <w:start w:w="120" w:type="dxa"/>
              <w:bottom w:w="80" w:type="dxa"/>
              <w:end w:w="120" w:type="dxa"/>
            </w:tcMar>
            <w:vAlign w:val="center"/>
          </w:tcPr>
          <w:p>
            <w:pPr>
              <w:spacing w:after="0"/>
            </w:pPr>
            <w:r>
              <w:rPr>
                <w:b/>
                <w:color w:val="16324F"/>
                <w:sz w:val="16"/>
              </w:rPr>
              <w:t>Falsifiable statement</w:t>
            </w:r>
          </w:p>
        </w:tc>
      </w:tr>
      <w:tr>
        <w:trPr>
          <w:cantSplit w:val="true"/>
        </w:trPr>
        <w:tc>
          <w:tcPr>
            <w:tcW w:type="dxa" w:w="2016"/>
            <w:tcMar>
              <w:top w:w="80" w:type="dxa"/>
              <w:start w:w="120" w:type="dxa"/>
              <w:bottom w:w="80" w:type="dxa"/>
              <w:end w:w="120" w:type="dxa"/>
            </w:tcMar>
            <w:vAlign w:val="top"/>
          </w:tcPr>
          <w:p>
            <w:pPr>
              <w:spacing w:after="0"/>
            </w:pPr>
            <w:r>
              <w:rPr>
                <w:sz w:val="16"/>
              </w:rPr>
              <w:t>H1 — proximity</w:t>
            </w:r>
          </w:p>
        </w:tc>
        <w:tc>
          <w:tcPr>
            <w:tcW w:type="dxa" w:w="7704"/>
            <w:tcMar>
              <w:top w:w="80" w:type="dxa"/>
              <w:start w:w="120" w:type="dxa"/>
              <w:bottom w:w="80" w:type="dxa"/>
              <w:end w:w="120" w:type="dxa"/>
            </w:tcMar>
            <w:vAlign w:val="top"/>
          </w:tcPr>
          <w:p>
            <w:pPr>
              <w:spacing w:after="0"/>
            </w:pPr>
            <w:r>
              <w:rPr>
                <w:sz w:val="16"/>
              </w:rPr>
              <w:t>Transportation distance is not usually the controlling recovery term; release latency, material lead time, and available qualified capacity dominate except in narrow disruption classes.</w:t>
            </w:r>
          </w:p>
        </w:tc>
      </w:tr>
      <w:tr>
        <w:trPr>
          <w:cantSplit w:val="true"/>
        </w:trPr>
        <w:tc>
          <w:tcPr>
            <w:tcW w:type="dxa" w:w="2016"/>
            <w:tcMar>
              <w:top w:w="80" w:type="dxa"/>
              <w:start w:w="120" w:type="dxa"/>
              <w:bottom w:w="80" w:type="dxa"/>
              <w:end w:w="120" w:type="dxa"/>
            </w:tcMar>
            <w:vAlign w:val="top"/>
          </w:tcPr>
          <w:p>
            <w:pPr>
              <w:spacing w:after="0"/>
            </w:pPr>
            <w:r>
              <w:rPr>
                <w:sz w:val="16"/>
              </w:rPr>
              <w:t>H2 — node economics</w:t>
            </w:r>
          </w:p>
        </w:tc>
        <w:tc>
          <w:tcPr>
            <w:tcW w:type="dxa" w:w="7704"/>
            <w:tcMar>
              <w:top w:w="80" w:type="dxa"/>
              <w:start w:w="120" w:type="dxa"/>
              <w:bottom w:w="80" w:type="dxa"/>
              <w:end w:w="120" w:type="dxa"/>
            </w:tcMar>
            <w:vAlign w:val="top"/>
          </w:tcPr>
          <w:p>
            <w:pPr>
              <w:spacing w:after="0"/>
            </w:pPr>
            <w:r>
              <w:rPr>
                <w:sz w:val="16"/>
              </w:rPr>
              <w:t>Regional nodes become cost-competitive only above a minimum contracted utilization and below thresholds for fixed QA cost, changeover burden, and validation replication.</w:t>
            </w:r>
          </w:p>
        </w:tc>
      </w:tr>
      <w:tr>
        <w:trPr>
          <w:cantSplit w:val="true"/>
        </w:trPr>
        <w:tc>
          <w:tcPr>
            <w:tcW w:type="dxa" w:w="2016"/>
            <w:tcMar>
              <w:top w:w="80" w:type="dxa"/>
              <w:start w:w="120" w:type="dxa"/>
              <w:bottom w:w="80" w:type="dxa"/>
              <w:end w:w="120" w:type="dxa"/>
            </w:tcMar>
            <w:vAlign w:val="top"/>
          </w:tcPr>
          <w:p>
            <w:pPr>
              <w:spacing w:after="0"/>
            </w:pPr>
            <w:r>
              <w:rPr>
                <w:sz w:val="16"/>
              </w:rPr>
              <w:t>H3 — pooling tradeoff</w:t>
            </w:r>
          </w:p>
        </w:tc>
        <w:tc>
          <w:tcPr>
            <w:tcW w:type="dxa" w:w="7704"/>
            <w:tcMar>
              <w:top w:w="80" w:type="dxa"/>
              <w:start w:w="120" w:type="dxa"/>
              <w:bottom w:w="80" w:type="dxa"/>
              <w:end w:w="120" w:type="dxa"/>
            </w:tcMar>
            <w:vAlign w:val="top"/>
          </w:tcPr>
          <w:p>
            <w:pPr>
              <w:spacing w:after="0"/>
            </w:pPr>
            <w:r>
              <w:rPr>
                <w:sz w:val="16"/>
              </w:rPr>
              <w:t>Regionalization reduces local transport and some site-concentration risk but sacrifices production and inventory pooling; the direction of net benefit changes with demand covariance and common-cause exposure.</w:t>
            </w:r>
          </w:p>
        </w:tc>
      </w:tr>
      <w:tr>
        <w:trPr>
          <w:cantSplit w:val="true"/>
        </w:trPr>
        <w:tc>
          <w:tcPr>
            <w:tcW w:type="dxa" w:w="2016"/>
            <w:tcMar>
              <w:top w:w="80" w:type="dxa"/>
              <w:start w:w="120" w:type="dxa"/>
              <w:bottom w:w="80" w:type="dxa"/>
              <w:end w:w="120" w:type="dxa"/>
            </w:tcMar>
            <w:vAlign w:val="top"/>
          </w:tcPr>
          <w:p>
            <w:pPr>
              <w:spacing w:after="0"/>
            </w:pPr>
            <w:r>
              <w:rPr>
                <w:sz w:val="16"/>
              </w:rPr>
              <w:t>H4 — inventory</w:t>
            </w:r>
          </w:p>
        </w:tc>
        <w:tc>
          <w:tcPr>
            <w:tcW w:type="dxa" w:w="7704"/>
            <w:tcMar>
              <w:top w:w="80" w:type="dxa"/>
              <w:start w:w="120" w:type="dxa"/>
              <w:bottom w:w="80" w:type="dxa"/>
              <w:end w:w="120" w:type="dxa"/>
            </w:tcMar>
            <w:vAlign w:val="top"/>
          </w:tcPr>
          <w:p>
            <w:pPr>
              <w:spacing w:after="0"/>
            </w:pPr>
            <w:r>
              <w:rPr>
                <w:sz w:val="16"/>
              </w:rPr>
              <w:t>Safety stock dominates new capacity when shelf life is long, demand is predictable, shortages are shorter than the replenishment/release cycle, and the stock is positioned before disruption.</w:t>
            </w:r>
          </w:p>
        </w:tc>
      </w:tr>
      <w:tr>
        <w:trPr>
          <w:cantSplit w:val="true"/>
        </w:trPr>
        <w:tc>
          <w:tcPr>
            <w:tcW w:type="dxa" w:w="2016"/>
            <w:tcMar>
              <w:top w:w="80" w:type="dxa"/>
              <w:start w:w="120" w:type="dxa"/>
              <w:bottom w:w="80" w:type="dxa"/>
              <w:end w:w="120" w:type="dxa"/>
            </w:tcMar>
            <w:vAlign w:val="top"/>
          </w:tcPr>
          <w:p>
            <w:pPr>
              <w:spacing w:after="0"/>
            </w:pPr>
            <w:r>
              <w:rPr>
                <w:sz w:val="16"/>
              </w:rPr>
              <w:t>H5 — dual sourcing</w:t>
            </w:r>
          </w:p>
        </w:tc>
        <w:tc>
          <w:tcPr>
            <w:tcW w:type="dxa" w:w="7704"/>
            <w:tcMar>
              <w:top w:w="80" w:type="dxa"/>
              <w:start w:w="120" w:type="dxa"/>
              <w:bottom w:w="80" w:type="dxa"/>
              <w:end w:w="120" w:type="dxa"/>
            </w:tcMar>
            <w:vAlign w:val="top"/>
          </w:tcPr>
          <w:p>
            <w:pPr>
              <w:spacing w:after="0"/>
            </w:pPr>
            <w:r>
              <w:rPr>
                <w:sz w:val="16"/>
              </w:rPr>
              <w:t>Nominal dual sourcing offers little resilience when sources share API, components, analytical constraints, ownership, geography, or regulatory failure modes.</w:t>
            </w:r>
          </w:p>
        </w:tc>
      </w:tr>
      <w:tr>
        <w:trPr>
          <w:cantSplit w:val="true"/>
        </w:trPr>
        <w:tc>
          <w:tcPr>
            <w:tcW w:type="dxa" w:w="2016"/>
            <w:tcMar>
              <w:top w:w="80" w:type="dxa"/>
              <w:start w:w="120" w:type="dxa"/>
              <w:bottom w:w="80" w:type="dxa"/>
              <w:end w:w="120" w:type="dxa"/>
            </w:tcMar>
            <w:vAlign w:val="top"/>
          </w:tcPr>
          <w:p>
            <w:pPr>
              <w:spacing w:after="0"/>
            </w:pPr>
            <w:r>
              <w:rPr>
                <w:sz w:val="16"/>
              </w:rPr>
              <w:t>H6 — reserved capacity</w:t>
            </w:r>
          </w:p>
        </w:tc>
        <w:tc>
          <w:tcPr>
            <w:tcW w:type="dxa" w:w="7704"/>
            <w:tcMar>
              <w:top w:w="80" w:type="dxa"/>
              <w:start w:w="120" w:type="dxa"/>
              <w:bottom w:w="80" w:type="dxa"/>
              <w:end w:w="120" w:type="dxa"/>
            </w:tcMar>
            <w:vAlign w:val="top"/>
          </w:tcPr>
          <w:p>
            <w:pPr>
              <w:spacing w:after="0"/>
            </w:pPr>
            <w:r>
              <w:rPr>
                <w:sz w:val="16"/>
              </w:rPr>
              <w:t>Contracted flexible capacity can dominate owned regional capacity when qualification is complete and activation/release latency is short.</w:t>
            </w:r>
          </w:p>
        </w:tc>
      </w:tr>
      <w:tr>
        <w:trPr>
          <w:cantSplit w:val="true"/>
        </w:trPr>
        <w:tc>
          <w:tcPr>
            <w:tcW w:type="dxa" w:w="2016"/>
            <w:tcMar>
              <w:top w:w="80" w:type="dxa"/>
              <w:start w:w="120" w:type="dxa"/>
              <w:bottom w:w="80" w:type="dxa"/>
              <w:end w:w="120" w:type="dxa"/>
            </w:tcMar>
            <w:vAlign w:val="top"/>
          </w:tcPr>
          <w:p>
            <w:pPr>
              <w:spacing w:after="0"/>
            </w:pPr>
            <w:r>
              <w:rPr>
                <w:sz w:val="16"/>
              </w:rPr>
              <w:t>H7 — release assurance</w:t>
            </w:r>
          </w:p>
        </w:tc>
        <w:tc>
          <w:tcPr>
            <w:tcW w:type="dxa" w:w="7704"/>
            <w:tcMar>
              <w:top w:w="80" w:type="dxa"/>
              <w:start w:w="120" w:type="dxa"/>
              <w:bottom w:w="80" w:type="dxa"/>
              <w:end w:w="120" w:type="dxa"/>
            </w:tcMar>
            <w:vAlign w:val="top"/>
          </w:tcPr>
          <w:p>
            <w:pPr>
              <w:spacing w:after="0"/>
            </w:pPr>
            <w:r>
              <w:rPr>
                <w:sz w:val="16"/>
              </w:rPr>
              <w:t>A validated release-assurance layer creates material resilience value only when it reduces an actually binding disposition delay while maintaining an acceptable error/abstention frontier under instrument, site, lot, and time shift.</w:t>
            </w:r>
          </w:p>
        </w:tc>
      </w:tr>
      <w:tr>
        <w:trPr>
          <w:cantSplit w:val="true"/>
        </w:trPr>
        <w:tc>
          <w:tcPr>
            <w:tcW w:type="dxa" w:w="2016"/>
            <w:tcMar>
              <w:top w:w="80" w:type="dxa"/>
              <w:start w:w="120" w:type="dxa"/>
              <w:bottom w:w="80" w:type="dxa"/>
              <w:end w:w="120" w:type="dxa"/>
            </w:tcMar>
            <w:vAlign w:val="top"/>
          </w:tcPr>
          <w:p>
            <w:pPr>
              <w:spacing w:after="0"/>
            </w:pPr>
            <w:r>
              <w:rPr>
                <w:sz w:val="16"/>
              </w:rPr>
              <w:t>H8 — product specificity</w:t>
            </w:r>
          </w:p>
        </w:tc>
        <w:tc>
          <w:tcPr>
            <w:tcW w:type="dxa" w:w="7704"/>
            <w:tcMar>
              <w:top w:w="80" w:type="dxa"/>
              <w:start w:w="120" w:type="dxa"/>
              <w:bottom w:w="80" w:type="dxa"/>
              <w:end w:w="120" w:type="dxa"/>
            </w:tcMar>
            <w:vAlign w:val="top"/>
          </w:tcPr>
          <w:p>
            <w:pPr>
              <w:spacing w:after="0"/>
            </w:pPr>
            <w:r>
              <w:rPr>
                <w:sz w:val="16"/>
              </w:rPr>
              <w:t>No platform-level conclusion is valid without product-specific formulation, stability, presentation, demand, and regulatory analysis.</w:t>
            </w:r>
          </w:p>
        </w:tc>
      </w:tr>
    </w:tbl>
    <w:p>
      <w:pPr>
        <w:pStyle w:val="Heading2"/>
        <w:keepNext/>
        <w:keepLines/>
      </w:pPr>
      <w:r>
        <w:t>1.4 Kill criteria</w:t>
      </w:r>
    </w:p>
    <w:p>
      <w:pPr>
        <w:pStyle w:val="ListBullet"/>
      </w:pPr>
      <w:r>
        <w:t>A material regulatory or quality gate is failed or cannot be bounded credibly.</w:t>
      </w:r>
    </w:p>
    <w:p>
      <w:pPr>
        <w:pStyle w:val="ListBullet"/>
      </w:pPr>
      <w:r>
        <w:t>The distributed design is dominated—higher cost and worse reliability—across the credible uncertainty region.</w:t>
      </w:r>
    </w:p>
    <w:p>
      <w:pPr>
        <w:pStyle w:val="ListBullet"/>
      </w:pPr>
      <w:r>
        <w:t>Required take-or-pay volume exceeds credibly contractable demand.</w:t>
      </w:r>
    </w:p>
    <w:p>
      <w:pPr>
        <w:pStyle w:val="ListBullet"/>
      </w:pPr>
      <w:r>
        <w:t>Resilience disappears under plausible common-cause dependence or when material lead time is represented correctly.</w:t>
      </w:r>
    </w:p>
    <w:p>
      <w:pPr>
        <w:pStyle w:val="ListBullet"/>
      </w:pPr>
      <w:r>
        <w:t>The result depends on reimbursement being mislabeled as cost, on unsourced precision, or on release-time reductions unsupported by validated practice.</w:t>
      </w:r>
    </w:p>
    <w:p>
      <w:pPr>
        <w:pStyle w:val="ListBullet"/>
      </w:pPr>
      <w:r>
        <w:t>The preferred strategy reverses under modest, plausible changes in one or two high-leverage assumptions and those inputs cannot be resolved economically.</w:t>
      </w:r>
    </w:p>
    <w:p>
      <w:pPr>
        <w:pStyle w:val="Heading1"/>
        <w:keepNext/>
        <w:keepLines/>
      </w:pPr>
      <w:r>
        <w:t>2. Product archetype and case selection</w:t>
      </w:r>
    </w:p>
    <w:p>
      <w:pPr>
        <w:pStyle w:val="Heading2"/>
        <w:keepNext/>
        <w:keepLines/>
      </w:pPr>
      <w:r>
        <w:t>2.1 First-node manufacturing archetype</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FFF4CC"/>
            <w:tcMar>
              <w:top w:w="130" w:type="dxa"/>
              <w:start w:w="170" w:type="dxa"/>
              <w:bottom w:w="130" w:type="dxa"/>
              <w:end w:w="170" w:type="dxa"/>
            </w:tcMar>
          </w:tcPr>
          <w:p>
            <w:pPr>
              <w:spacing w:after="60"/>
            </w:pPr>
            <w:r>
              <w:rPr>
                <w:b/>
                <w:color w:val="16324F"/>
              </w:rPr>
              <w:t>Recommended boundary</w:t>
            </w:r>
          </w:p>
          <w:p>
            <w:pPr>
              <w:spacing w:after="0"/>
            </w:pPr>
            <w:r>
              <w:t>Non-controlled, small-molecule, aqueous sterile solutions in standard vials; source qualified API and own formulation/fill-finish. Exclude biologics, vaccines, suspensions, emulsions, lyophilized products, cytotoxics, high-potency compounds, controlled substances, complex devices, and cold-chain-intensive presentations from the first model unless treated as explicit out-of-archetype comparators.</w:t>
            </w:r>
          </w:p>
        </w:tc>
      </w:tr>
    </w:tbl>
    <w:p>
      <w:r>
        <w:t>This boundary does not claim those other modalities are impossible. It keeps the first inference interpretable. Mixing sterile solutions, lyophilized products, biologics, and tablets in one economic result creates a platform claim whose average is meaningful for none of them.</w:t>
      </w:r>
    </w:p>
    <w:p>
      <w:pPr>
        <w:pStyle w:val="Heading2"/>
        <w:keepNext/>
        <w:keepLines/>
      </w:pPr>
      <w:r>
        <w:t>2.2 Two-stage selection procedure</w:t>
      </w:r>
    </w:p>
    <w:p>
      <w:pPr>
        <w:pStyle w:val="ListNumber"/>
      </w:pPr>
      <w:r>
        <w:t>Create a dated longlist of at least five product presentations from frozen FDA and ASHP shortage snapshots, including at least one resolved/recurrent comparator.</w:t>
      </w:r>
    </w:p>
    <w:p>
      <w:pPr>
        <w:pStyle w:val="ListNumber"/>
      </w:pPr>
      <w:r>
        <w:t>Apply hard gates. A failed hard gate excludes a product from the first archetype before weighted scoring.</w:t>
      </w:r>
    </w:p>
    <w:p>
      <w:pPr>
        <w:pStyle w:val="ListNumber"/>
      </w:pPr>
      <w:r>
        <w:t>Score only surviving candidates using pre-declared weights. Keep the raw evidence, disagreements, and uncertainty—not only the final number.</w:t>
      </w:r>
    </w:p>
    <w:p>
      <w:pPr>
        <w:pStyle w:val="ListNumber"/>
      </w:pPr>
      <w:r>
        <w:t>Select one case with plausible regional relevance and one hard comparator that tests whether the conclusion generalizes.</w:t>
      </w:r>
    </w:p>
    <w:p>
      <w:pPr>
        <w:pStyle w:val="ListNumber"/>
      </w:pPr>
      <w:r>
        <w:t>Have one hospital pharmacy leader and one sterile-manufacturing expert independently challenge the selection before model calibration.</w:t>
      </w:r>
    </w:p>
    <w:p>
      <w:pPr>
        <w:pStyle w:val="Heading2"/>
        <w:keepNext/>
        <w:keepLines/>
      </w:pPr>
      <w:r>
        <w:t>2.3 Hard product gates</w:t>
      </w:r>
    </w:p>
    <w:tbl>
      <w:tblPr>
        <w:tblStyle w:val="TableGrid"/>
        <w:tblW w:type="dxa" w:w="9720"/>
        <w:jc w:val="center"/>
        <w:tblLayout w:type="fixed"/>
        <w:tblLook w:firstColumn="1" w:firstRow="1" w:lastColumn="0" w:lastRow="0" w:noHBand="0" w:noVBand="1" w:val="04A0"/>
        <w:tblInd w:type="dxa" w:w="120"/>
      </w:tblPr>
      <w:tblGrid>
        <w:gridCol w:w="2088"/>
        <w:gridCol w:w="7632"/>
      </w:tblGrid>
      <w:tr>
        <w:trPr>
          <w:cantSplit w:val="true"/>
          <w:tblHeader w:val="true"/>
        </w:trPr>
        <w:tc>
          <w:tcPr>
            <w:tcW w:type="dxa" w:w="2088"/>
            <w:shd w:fill="E8EEF5"/>
            <w:tcMar>
              <w:top w:w="80" w:type="dxa"/>
              <w:start w:w="120" w:type="dxa"/>
              <w:bottom w:w="80" w:type="dxa"/>
              <w:end w:w="120" w:type="dxa"/>
            </w:tcMar>
            <w:vAlign w:val="center"/>
          </w:tcPr>
          <w:p>
            <w:pPr>
              <w:spacing w:after="0"/>
            </w:pPr>
            <w:r>
              <w:rPr>
                <w:b/>
                <w:color w:val="16324F"/>
                <w:sz w:val="16"/>
              </w:rPr>
              <w:t>Gate</w:t>
            </w:r>
          </w:p>
        </w:tc>
        <w:tc>
          <w:tcPr>
            <w:tcW w:type="dxa" w:w="7632"/>
            <w:shd w:fill="E8EEF5"/>
            <w:tcMar>
              <w:top w:w="80" w:type="dxa"/>
              <w:start w:w="120" w:type="dxa"/>
              <w:bottom w:w="80" w:type="dxa"/>
              <w:end w:w="120" w:type="dxa"/>
            </w:tcMar>
            <w:vAlign w:val="center"/>
          </w:tcPr>
          <w:p>
            <w:pPr>
              <w:spacing w:after="0"/>
            </w:pPr>
            <w:r>
              <w:rPr>
                <w:b/>
                <w:color w:val="16324F"/>
                <w:sz w:val="16"/>
              </w:rPr>
              <w:t>Pass condition</w:t>
            </w:r>
          </w:p>
        </w:tc>
      </w:tr>
      <w:tr>
        <w:trPr>
          <w:cantSplit w:val="true"/>
        </w:trPr>
        <w:tc>
          <w:tcPr>
            <w:tcW w:type="dxa" w:w="2088"/>
            <w:tcMar>
              <w:top w:w="80" w:type="dxa"/>
              <w:start w:w="120" w:type="dxa"/>
              <w:bottom w:w="80" w:type="dxa"/>
              <w:end w:w="120" w:type="dxa"/>
            </w:tcMar>
            <w:vAlign w:val="top"/>
          </w:tcPr>
          <w:p>
            <w:pPr>
              <w:spacing w:after="0"/>
            </w:pPr>
            <w:r>
              <w:rPr>
                <w:sz w:val="16"/>
              </w:rPr>
              <w:t>Product identity</w:t>
            </w:r>
          </w:p>
        </w:tc>
        <w:tc>
          <w:tcPr>
            <w:tcW w:type="dxa" w:w="7632"/>
            <w:tcMar>
              <w:top w:w="80" w:type="dxa"/>
              <w:start w:w="120" w:type="dxa"/>
              <w:bottom w:w="80" w:type="dxa"/>
              <w:end w:w="120" w:type="dxa"/>
            </w:tcMar>
            <w:vAlign w:val="top"/>
          </w:tcPr>
          <w:p>
            <w:pPr>
              <w:spacing w:after="0"/>
            </w:pPr>
            <w:r>
              <w:rPr>
                <w:sz w:val="16"/>
              </w:rPr>
              <w:t>Exact ingredient, strength, dosage form, route, presentation, container closure, and label can be fixed.</w:t>
            </w:r>
          </w:p>
        </w:tc>
      </w:tr>
      <w:tr>
        <w:trPr>
          <w:cantSplit w:val="true"/>
        </w:trPr>
        <w:tc>
          <w:tcPr>
            <w:tcW w:type="dxa" w:w="2088"/>
            <w:tcMar>
              <w:top w:w="80" w:type="dxa"/>
              <w:start w:w="120" w:type="dxa"/>
              <w:bottom w:w="80" w:type="dxa"/>
              <w:end w:w="120" w:type="dxa"/>
            </w:tcMar>
            <w:vAlign w:val="top"/>
          </w:tcPr>
          <w:p>
            <w:pPr>
              <w:spacing w:after="0"/>
            </w:pPr>
            <w:r>
              <w:rPr>
                <w:sz w:val="16"/>
              </w:rPr>
              <w:t>Manufacturing fit</w:t>
            </w:r>
          </w:p>
        </w:tc>
        <w:tc>
          <w:tcPr>
            <w:tcW w:type="dxa" w:w="7632"/>
            <w:tcMar>
              <w:top w:w="80" w:type="dxa"/>
              <w:start w:w="120" w:type="dxa"/>
              <w:bottom w:w="80" w:type="dxa"/>
              <w:end w:w="120" w:type="dxa"/>
            </w:tcMar>
            <w:vAlign w:val="top"/>
          </w:tcPr>
          <w:p>
            <w:pPr>
              <w:spacing w:after="0"/>
            </w:pPr>
            <w:r>
              <w:rPr>
                <w:sz w:val="16"/>
              </w:rPr>
              <w:t>Aqueous small-molecule sterile solution compatible with the first process train; no hidden lyo/suspension/high-potency requirement.</w:t>
            </w:r>
          </w:p>
        </w:tc>
      </w:tr>
      <w:tr>
        <w:trPr>
          <w:cantSplit w:val="true"/>
        </w:trPr>
        <w:tc>
          <w:tcPr>
            <w:tcW w:type="dxa" w:w="2088"/>
            <w:tcMar>
              <w:top w:w="80" w:type="dxa"/>
              <w:start w:w="120" w:type="dxa"/>
              <w:bottom w:w="80" w:type="dxa"/>
              <w:end w:w="120" w:type="dxa"/>
            </w:tcMar>
            <w:vAlign w:val="top"/>
          </w:tcPr>
          <w:p>
            <w:pPr>
              <w:spacing w:after="0"/>
            </w:pPr>
            <w:r>
              <w:rPr>
                <w:sz w:val="16"/>
              </w:rPr>
              <w:t>Control status</w:t>
            </w:r>
          </w:p>
        </w:tc>
        <w:tc>
          <w:tcPr>
            <w:tcW w:type="dxa" w:w="7632"/>
            <w:tcMar>
              <w:top w:w="80" w:type="dxa"/>
              <w:start w:w="120" w:type="dxa"/>
              <w:bottom w:w="80" w:type="dxa"/>
              <w:end w:w="120" w:type="dxa"/>
            </w:tcMar>
            <w:vAlign w:val="top"/>
          </w:tcPr>
          <w:p>
            <w:pPr>
              <w:spacing w:after="0"/>
            </w:pPr>
            <w:r>
              <w:rPr>
                <w:sz w:val="16"/>
              </w:rPr>
              <w:t>Non-controlled and no special handling regime that invalidates the first-site design.</w:t>
            </w:r>
          </w:p>
        </w:tc>
      </w:tr>
      <w:tr>
        <w:trPr>
          <w:cantSplit w:val="true"/>
        </w:trPr>
        <w:tc>
          <w:tcPr>
            <w:tcW w:type="dxa" w:w="2088"/>
            <w:tcMar>
              <w:top w:w="80" w:type="dxa"/>
              <w:start w:w="120" w:type="dxa"/>
              <w:bottom w:w="80" w:type="dxa"/>
              <w:end w:w="120" w:type="dxa"/>
            </w:tcMar>
            <w:vAlign w:val="top"/>
          </w:tcPr>
          <w:p>
            <w:pPr>
              <w:spacing w:after="0"/>
            </w:pPr>
            <w:r>
              <w:rPr>
                <w:sz w:val="16"/>
              </w:rPr>
              <w:t>Regulatory pathway</w:t>
            </w:r>
          </w:p>
        </w:tc>
        <w:tc>
          <w:tcPr>
            <w:tcW w:type="dxa" w:w="7632"/>
            <w:tcMar>
              <w:top w:w="80" w:type="dxa"/>
              <w:start w:w="120" w:type="dxa"/>
              <w:bottom w:w="80" w:type="dxa"/>
              <w:end w:w="120" w:type="dxa"/>
            </w:tcMar>
            <w:vAlign w:val="top"/>
          </w:tcPr>
          <w:p>
            <w:pPr>
              <w:spacing w:after="0"/>
            </w:pPr>
            <w:r>
              <w:rPr>
                <w:sz w:val="16"/>
              </w:rPr>
              <w:t>At least one supportable approved-generic/CMO architecture can be mapped; 503B, if analyzed, is separate.</w:t>
            </w:r>
          </w:p>
        </w:tc>
      </w:tr>
      <w:tr>
        <w:trPr>
          <w:cantSplit w:val="true"/>
        </w:trPr>
        <w:tc>
          <w:tcPr>
            <w:tcW w:type="dxa" w:w="2088"/>
            <w:tcMar>
              <w:top w:w="80" w:type="dxa"/>
              <w:start w:w="120" w:type="dxa"/>
              <w:bottom w:w="80" w:type="dxa"/>
              <w:end w:w="120" w:type="dxa"/>
            </w:tcMar>
            <w:vAlign w:val="top"/>
          </w:tcPr>
          <w:p>
            <w:pPr>
              <w:spacing w:after="0"/>
            </w:pPr>
            <w:r>
              <w:rPr>
                <w:sz w:val="16"/>
              </w:rPr>
              <w:t>Demand observability</w:t>
            </w:r>
          </w:p>
        </w:tc>
        <w:tc>
          <w:tcPr>
            <w:tcW w:type="dxa" w:w="7632"/>
            <w:tcMar>
              <w:top w:w="80" w:type="dxa"/>
              <w:start w:w="120" w:type="dxa"/>
              <w:bottom w:w="80" w:type="dxa"/>
              <w:end w:w="120" w:type="dxa"/>
            </w:tcMar>
            <w:vAlign w:val="top"/>
          </w:tcPr>
          <w:p>
            <w:pPr>
              <w:spacing w:after="0"/>
            </w:pPr>
            <w:r>
              <w:rPr>
                <w:sz w:val="16"/>
              </w:rPr>
              <w:t>National/regional utilization can be bounded using hospital/GPO/wholesaler evidence, not only reimbursement.</w:t>
            </w:r>
          </w:p>
        </w:tc>
      </w:tr>
      <w:tr>
        <w:trPr>
          <w:cantSplit w:val="true"/>
        </w:trPr>
        <w:tc>
          <w:tcPr>
            <w:tcW w:type="dxa" w:w="2088"/>
            <w:tcMar>
              <w:top w:w="80" w:type="dxa"/>
              <w:start w:w="120" w:type="dxa"/>
              <w:bottom w:w="80" w:type="dxa"/>
              <w:end w:w="120" w:type="dxa"/>
            </w:tcMar>
            <w:vAlign w:val="top"/>
          </w:tcPr>
          <w:p>
            <w:pPr>
              <w:spacing w:after="0"/>
            </w:pPr>
            <w:r>
              <w:rPr>
                <w:sz w:val="16"/>
              </w:rPr>
              <w:t>Clinical substitutability</w:t>
            </w:r>
          </w:p>
        </w:tc>
        <w:tc>
          <w:tcPr>
            <w:tcW w:type="dxa" w:w="7632"/>
            <w:tcMar>
              <w:top w:w="80" w:type="dxa"/>
              <w:start w:w="120" w:type="dxa"/>
              <w:bottom w:w="80" w:type="dxa"/>
              <w:end w:w="120" w:type="dxa"/>
            </w:tcMar>
            <w:vAlign w:val="top"/>
          </w:tcPr>
          <w:p>
            <w:pPr>
              <w:spacing w:after="0"/>
            </w:pPr>
            <w:r>
              <w:rPr>
                <w:sz w:val="16"/>
              </w:rPr>
              <w:t>Shortage impact and presentation-specific substitution behavior can be described by clinicians/pharmacists.</w:t>
            </w:r>
          </w:p>
        </w:tc>
      </w:tr>
      <w:tr>
        <w:trPr>
          <w:cantSplit w:val="true"/>
        </w:trPr>
        <w:tc>
          <w:tcPr>
            <w:tcW w:type="dxa" w:w="2088"/>
            <w:tcMar>
              <w:top w:w="80" w:type="dxa"/>
              <w:start w:w="120" w:type="dxa"/>
              <w:bottom w:w="80" w:type="dxa"/>
              <w:end w:w="120" w:type="dxa"/>
            </w:tcMar>
            <w:vAlign w:val="top"/>
          </w:tcPr>
          <w:p>
            <w:pPr>
              <w:spacing w:after="0"/>
            </w:pPr>
            <w:r>
              <w:rPr>
                <w:sz w:val="16"/>
              </w:rPr>
              <w:t>Input feasibility</w:t>
            </w:r>
          </w:p>
        </w:tc>
        <w:tc>
          <w:tcPr>
            <w:tcW w:type="dxa" w:w="7632"/>
            <w:tcMar>
              <w:top w:w="80" w:type="dxa"/>
              <w:start w:w="120" w:type="dxa"/>
              <w:bottom w:w="80" w:type="dxa"/>
              <w:end w:w="120" w:type="dxa"/>
            </w:tcMar>
            <w:vAlign w:val="top"/>
          </w:tcPr>
          <w:p>
            <w:pPr>
              <w:spacing w:after="0"/>
            </w:pPr>
            <w:r>
              <w:rPr>
                <w:sz w:val="16"/>
              </w:rPr>
              <w:t>API, vial, stopper, seals, labels, and testing can be sourced and their dependencies mapped.</w:t>
            </w:r>
          </w:p>
        </w:tc>
      </w:tr>
      <w:tr>
        <w:trPr>
          <w:cantSplit w:val="true"/>
        </w:trPr>
        <w:tc>
          <w:tcPr>
            <w:tcW w:type="dxa" w:w="2088"/>
            <w:tcMar>
              <w:top w:w="80" w:type="dxa"/>
              <w:start w:w="120" w:type="dxa"/>
              <w:bottom w:w="80" w:type="dxa"/>
              <w:end w:w="120" w:type="dxa"/>
            </w:tcMar>
            <w:vAlign w:val="top"/>
          </w:tcPr>
          <w:p>
            <w:pPr>
              <w:spacing w:after="0"/>
            </w:pPr>
            <w:r>
              <w:rPr>
                <w:sz w:val="16"/>
              </w:rPr>
              <w:t>Economic relevance</w:t>
            </w:r>
          </w:p>
        </w:tc>
        <w:tc>
          <w:tcPr>
            <w:tcW w:type="dxa" w:w="7632"/>
            <w:tcMar>
              <w:top w:w="80" w:type="dxa"/>
              <w:start w:w="120" w:type="dxa"/>
              <w:bottom w:w="80" w:type="dxa"/>
              <w:end w:w="120" w:type="dxa"/>
            </w:tcMar>
            <w:vAlign w:val="top"/>
          </w:tcPr>
          <w:p>
            <w:pPr>
              <w:spacing w:after="0"/>
            </w:pPr>
            <w:r>
              <w:rPr>
                <w:sz w:val="16"/>
              </w:rPr>
              <w:t>Volume is not so large that “micro” nodes are obviously mismatched, nor so small that validation/fixed QA is necessarily overwhelming without contracted premiums.</w:t>
            </w:r>
          </w:p>
        </w:tc>
      </w:tr>
    </w:tbl>
    <w:p>
      <w:pPr>
        <w:pStyle w:val="Heading2"/>
        <w:keepNext/>
        <w:keepLines/>
      </w:pPr>
      <w:r>
        <w:t>2.4 Weighted score after gates</w:t>
      </w:r>
    </w:p>
    <w:tbl>
      <w:tblPr>
        <w:tblStyle w:val="TableGrid"/>
        <w:tblW w:type="dxa" w:w="9720"/>
        <w:jc w:val="center"/>
        <w:tblLayout w:type="fixed"/>
        <w:tblLook w:firstColumn="1" w:firstRow="1" w:lastColumn="0" w:lastRow="0" w:noHBand="0" w:noVBand="1" w:val="04A0"/>
        <w:tblInd w:type="dxa" w:w="120"/>
      </w:tblPr>
      <w:tblGrid>
        <w:gridCol w:w="2232"/>
        <w:gridCol w:w="1080"/>
        <w:gridCol w:w="6408"/>
      </w:tblGrid>
      <w:tr>
        <w:trPr>
          <w:cantSplit w:val="true"/>
          <w:tblHeader w:val="true"/>
        </w:trPr>
        <w:tc>
          <w:tcPr>
            <w:tcW w:type="dxa" w:w="2232"/>
            <w:shd w:fill="E8EEF5"/>
            <w:tcMar>
              <w:top w:w="80" w:type="dxa"/>
              <w:start w:w="120" w:type="dxa"/>
              <w:bottom w:w="80" w:type="dxa"/>
              <w:end w:w="120" w:type="dxa"/>
            </w:tcMar>
            <w:vAlign w:val="center"/>
          </w:tcPr>
          <w:p>
            <w:pPr>
              <w:spacing w:after="0"/>
            </w:pPr>
            <w:r>
              <w:rPr>
                <w:b/>
                <w:color w:val="16324F"/>
                <w:sz w:val="16"/>
              </w:rPr>
              <w:t>Criterion</w:t>
            </w:r>
          </w:p>
        </w:tc>
        <w:tc>
          <w:tcPr>
            <w:tcW w:type="dxa" w:w="1080"/>
            <w:shd w:fill="E8EEF5"/>
            <w:tcMar>
              <w:top w:w="80" w:type="dxa"/>
              <w:start w:w="120" w:type="dxa"/>
              <w:bottom w:w="80" w:type="dxa"/>
              <w:end w:w="120" w:type="dxa"/>
            </w:tcMar>
            <w:vAlign w:val="center"/>
          </w:tcPr>
          <w:p>
            <w:pPr>
              <w:spacing w:after="0"/>
            </w:pPr>
            <w:r>
              <w:rPr>
                <w:b/>
                <w:color w:val="16324F"/>
                <w:sz w:val="16"/>
              </w:rPr>
              <w:t>Weight</w:t>
            </w:r>
          </w:p>
        </w:tc>
        <w:tc>
          <w:tcPr>
            <w:tcW w:type="dxa" w:w="6408"/>
            <w:shd w:fill="E8EEF5"/>
            <w:tcMar>
              <w:top w:w="80" w:type="dxa"/>
              <w:start w:w="120" w:type="dxa"/>
              <w:bottom w:w="80" w:type="dxa"/>
              <w:end w:w="120" w:type="dxa"/>
            </w:tcMar>
            <w:vAlign w:val="center"/>
          </w:tcPr>
          <w:p>
            <w:pPr>
              <w:spacing w:after="0"/>
            </w:pPr>
            <w:r>
              <w:rPr>
                <w:b/>
                <w:color w:val="16324F"/>
                <w:sz w:val="16"/>
              </w:rPr>
              <w:t>Required evidence</w:t>
            </w:r>
          </w:p>
        </w:tc>
      </w:tr>
      <w:tr>
        <w:trPr>
          <w:cantSplit w:val="true"/>
        </w:trPr>
        <w:tc>
          <w:tcPr>
            <w:tcW w:type="dxa" w:w="2232"/>
            <w:tcMar>
              <w:top w:w="80" w:type="dxa"/>
              <w:start w:w="120" w:type="dxa"/>
              <w:bottom w:w="80" w:type="dxa"/>
              <w:end w:w="120" w:type="dxa"/>
            </w:tcMar>
            <w:vAlign w:val="top"/>
          </w:tcPr>
          <w:p>
            <w:pPr>
              <w:spacing w:after="0"/>
            </w:pPr>
            <w:r>
              <w:rPr>
                <w:sz w:val="16"/>
              </w:rPr>
              <w:t>Clinical criticality</w:t>
            </w:r>
          </w:p>
        </w:tc>
        <w:tc>
          <w:tcPr>
            <w:tcW w:type="dxa" w:w="1080"/>
            <w:tcMar>
              <w:top w:w="80" w:type="dxa"/>
              <w:start w:w="120" w:type="dxa"/>
              <w:bottom w:w="80" w:type="dxa"/>
              <w:end w:w="120" w:type="dxa"/>
            </w:tcMar>
            <w:vAlign w:val="top"/>
          </w:tcPr>
          <w:p>
            <w:pPr>
              <w:spacing w:after="0"/>
            </w:pPr>
            <w:r>
              <w:rPr>
                <w:sz w:val="16"/>
              </w:rPr>
              <w:t>20%</w:t>
            </w:r>
          </w:p>
        </w:tc>
        <w:tc>
          <w:tcPr>
            <w:tcW w:type="dxa" w:w="6408"/>
            <w:tcMar>
              <w:top w:w="80" w:type="dxa"/>
              <w:start w:w="120" w:type="dxa"/>
              <w:bottom w:w="80" w:type="dxa"/>
              <w:end w:w="120" w:type="dxa"/>
            </w:tcMar>
            <w:vAlign w:val="top"/>
          </w:tcPr>
          <w:p>
            <w:pPr>
              <w:spacing w:after="0"/>
            </w:pPr>
            <w:r>
              <w:rPr>
                <w:sz w:val="16"/>
              </w:rPr>
              <w:t>Hospital role, substitution difficulty, patient-level consequences</w:t>
            </w:r>
          </w:p>
        </w:tc>
      </w:tr>
      <w:tr>
        <w:trPr>
          <w:cantSplit w:val="true"/>
        </w:trPr>
        <w:tc>
          <w:tcPr>
            <w:tcW w:type="dxa" w:w="2232"/>
            <w:tcMar>
              <w:top w:w="80" w:type="dxa"/>
              <w:start w:w="120" w:type="dxa"/>
              <w:bottom w:w="80" w:type="dxa"/>
              <w:end w:w="120" w:type="dxa"/>
            </w:tcMar>
            <w:vAlign w:val="top"/>
          </w:tcPr>
          <w:p>
            <w:pPr>
              <w:spacing w:after="0"/>
            </w:pPr>
            <w:r>
              <w:rPr>
                <w:sz w:val="16"/>
              </w:rPr>
              <w:t>Shortage recurrence/duration</w:t>
            </w:r>
          </w:p>
        </w:tc>
        <w:tc>
          <w:tcPr>
            <w:tcW w:type="dxa" w:w="1080"/>
            <w:tcMar>
              <w:top w:w="80" w:type="dxa"/>
              <w:start w:w="120" w:type="dxa"/>
              <w:bottom w:w="80" w:type="dxa"/>
              <w:end w:w="120" w:type="dxa"/>
            </w:tcMar>
            <w:vAlign w:val="top"/>
          </w:tcPr>
          <w:p>
            <w:pPr>
              <w:spacing w:after="0"/>
            </w:pPr>
            <w:r>
              <w:rPr>
                <w:sz w:val="16"/>
              </w:rPr>
              <w:t>20%</w:t>
            </w:r>
          </w:p>
        </w:tc>
        <w:tc>
          <w:tcPr>
            <w:tcW w:type="dxa" w:w="6408"/>
            <w:tcMar>
              <w:top w:w="80" w:type="dxa"/>
              <w:start w:w="120" w:type="dxa"/>
              <w:bottom w:w="80" w:type="dxa"/>
              <w:end w:w="120" w:type="dxa"/>
            </w:tcMar>
            <w:vAlign w:val="top"/>
          </w:tcPr>
          <w:p>
            <w:pPr>
              <w:spacing w:after="0"/>
            </w:pPr>
            <w:r>
              <w:rPr>
                <w:sz w:val="16"/>
              </w:rPr>
              <w:t>Frequency, duration, and persistence across FDA/ASHP snapshots</w:t>
            </w:r>
          </w:p>
        </w:tc>
      </w:tr>
      <w:tr>
        <w:trPr>
          <w:cantSplit w:val="true"/>
        </w:trPr>
        <w:tc>
          <w:tcPr>
            <w:tcW w:type="dxa" w:w="2232"/>
            <w:tcMar>
              <w:top w:w="80" w:type="dxa"/>
              <w:start w:w="120" w:type="dxa"/>
              <w:bottom w:w="80" w:type="dxa"/>
              <w:end w:w="120" w:type="dxa"/>
            </w:tcMar>
            <w:vAlign w:val="top"/>
          </w:tcPr>
          <w:p>
            <w:pPr>
              <w:spacing w:after="0"/>
            </w:pPr>
            <w:r>
              <w:rPr>
                <w:sz w:val="16"/>
              </w:rPr>
              <w:t>Supplier vulnerability</w:t>
            </w:r>
          </w:p>
        </w:tc>
        <w:tc>
          <w:tcPr>
            <w:tcW w:type="dxa" w:w="1080"/>
            <w:tcMar>
              <w:top w:w="80" w:type="dxa"/>
              <w:start w:w="120" w:type="dxa"/>
              <w:bottom w:w="80" w:type="dxa"/>
              <w:end w:w="120" w:type="dxa"/>
            </w:tcMar>
            <w:vAlign w:val="top"/>
          </w:tcPr>
          <w:p>
            <w:pPr>
              <w:spacing w:after="0"/>
            </w:pPr>
            <w:r>
              <w:rPr>
                <w:sz w:val="16"/>
              </w:rPr>
              <w:t>15%</w:t>
            </w:r>
          </w:p>
        </w:tc>
        <w:tc>
          <w:tcPr>
            <w:tcW w:type="dxa" w:w="6408"/>
            <w:tcMar>
              <w:top w:w="80" w:type="dxa"/>
              <w:start w:w="120" w:type="dxa"/>
              <w:bottom w:w="80" w:type="dxa"/>
              <w:end w:w="120" w:type="dxa"/>
            </w:tcMar>
            <w:vAlign w:val="top"/>
          </w:tcPr>
          <w:p>
            <w:pPr>
              <w:spacing w:after="0"/>
            </w:pPr>
            <w:r>
              <w:rPr>
                <w:sz w:val="16"/>
              </w:rPr>
              <w:t>Finished-dose, API, component, ownership, and geographic concentration</w:t>
            </w:r>
          </w:p>
        </w:tc>
      </w:tr>
      <w:tr>
        <w:trPr>
          <w:cantSplit w:val="true"/>
        </w:trPr>
        <w:tc>
          <w:tcPr>
            <w:tcW w:type="dxa" w:w="2232"/>
            <w:tcMar>
              <w:top w:w="80" w:type="dxa"/>
              <w:start w:w="120" w:type="dxa"/>
              <w:bottom w:w="80" w:type="dxa"/>
              <w:end w:w="120" w:type="dxa"/>
            </w:tcMar>
            <w:vAlign w:val="top"/>
          </w:tcPr>
          <w:p>
            <w:pPr>
              <w:spacing w:after="0"/>
            </w:pPr>
            <w:r>
              <w:rPr>
                <w:sz w:val="16"/>
              </w:rPr>
              <w:t>Manufacturing fit</w:t>
            </w:r>
          </w:p>
        </w:tc>
        <w:tc>
          <w:tcPr>
            <w:tcW w:type="dxa" w:w="1080"/>
            <w:tcMar>
              <w:top w:w="80" w:type="dxa"/>
              <w:start w:w="120" w:type="dxa"/>
              <w:bottom w:w="80" w:type="dxa"/>
              <w:end w:w="120" w:type="dxa"/>
            </w:tcMar>
            <w:vAlign w:val="top"/>
          </w:tcPr>
          <w:p>
            <w:pPr>
              <w:spacing w:after="0"/>
            </w:pPr>
            <w:r>
              <w:rPr>
                <w:sz w:val="16"/>
              </w:rPr>
              <w:t>15%</w:t>
            </w:r>
          </w:p>
        </w:tc>
        <w:tc>
          <w:tcPr>
            <w:tcW w:type="dxa" w:w="6408"/>
            <w:tcMar>
              <w:top w:w="80" w:type="dxa"/>
              <w:start w:w="120" w:type="dxa"/>
              <w:bottom w:w="80" w:type="dxa"/>
              <w:end w:w="120" w:type="dxa"/>
            </w:tcMar>
            <w:vAlign w:val="top"/>
          </w:tcPr>
          <w:p>
            <w:pPr>
              <w:spacing w:after="0"/>
            </w:pPr>
            <w:r>
              <w:rPr>
                <w:sz w:val="16"/>
              </w:rPr>
              <w:t>Process simplicity is not assumed; score against actual first-node train</w:t>
            </w:r>
          </w:p>
        </w:tc>
      </w:tr>
      <w:tr>
        <w:trPr>
          <w:cantSplit w:val="true"/>
        </w:trPr>
        <w:tc>
          <w:tcPr>
            <w:tcW w:type="dxa" w:w="2232"/>
            <w:tcMar>
              <w:top w:w="80" w:type="dxa"/>
              <w:start w:w="120" w:type="dxa"/>
              <w:bottom w:w="80" w:type="dxa"/>
              <w:end w:w="120" w:type="dxa"/>
            </w:tcMar>
            <w:vAlign w:val="top"/>
          </w:tcPr>
          <w:p>
            <w:pPr>
              <w:spacing w:after="0"/>
            </w:pPr>
            <w:r>
              <w:rPr>
                <w:sz w:val="16"/>
              </w:rPr>
              <w:t>Public-data strength</w:t>
            </w:r>
          </w:p>
        </w:tc>
        <w:tc>
          <w:tcPr>
            <w:tcW w:type="dxa" w:w="1080"/>
            <w:tcMar>
              <w:top w:w="80" w:type="dxa"/>
              <w:start w:w="120" w:type="dxa"/>
              <w:bottom w:w="80" w:type="dxa"/>
              <w:end w:w="120" w:type="dxa"/>
            </w:tcMar>
            <w:vAlign w:val="top"/>
          </w:tcPr>
          <w:p>
            <w:pPr>
              <w:spacing w:after="0"/>
            </w:pPr>
            <w:r>
              <w:rPr>
                <w:sz w:val="16"/>
              </w:rPr>
              <w:t>10%</w:t>
            </w:r>
          </w:p>
        </w:tc>
        <w:tc>
          <w:tcPr>
            <w:tcW w:type="dxa" w:w="6408"/>
            <w:tcMar>
              <w:top w:w="80" w:type="dxa"/>
              <w:start w:w="120" w:type="dxa"/>
              <w:bottom w:w="80" w:type="dxa"/>
              <w:end w:w="120" w:type="dxa"/>
            </w:tcMar>
            <w:vAlign w:val="top"/>
          </w:tcPr>
          <w:p>
            <w:pPr>
              <w:spacing w:after="0"/>
            </w:pPr>
            <w:r>
              <w:rPr>
                <w:sz w:val="16"/>
              </w:rPr>
              <w:t>Labels, approvals, utilization proxies, presentations, and shortage history</w:t>
            </w:r>
          </w:p>
        </w:tc>
      </w:tr>
      <w:tr>
        <w:trPr>
          <w:cantSplit w:val="true"/>
        </w:trPr>
        <w:tc>
          <w:tcPr>
            <w:tcW w:type="dxa" w:w="2232"/>
            <w:tcMar>
              <w:top w:w="80" w:type="dxa"/>
              <w:start w:w="120" w:type="dxa"/>
              <w:bottom w:w="80" w:type="dxa"/>
              <w:end w:w="120" w:type="dxa"/>
            </w:tcMar>
            <w:vAlign w:val="top"/>
          </w:tcPr>
          <w:p>
            <w:pPr>
              <w:spacing w:after="0"/>
            </w:pPr>
            <w:r>
              <w:rPr>
                <w:sz w:val="16"/>
              </w:rPr>
              <w:t>Regional relevance</w:t>
            </w:r>
          </w:p>
        </w:tc>
        <w:tc>
          <w:tcPr>
            <w:tcW w:type="dxa" w:w="1080"/>
            <w:tcMar>
              <w:top w:w="80" w:type="dxa"/>
              <w:start w:w="120" w:type="dxa"/>
              <w:bottom w:w="80" w:type="dxa"/>
              <w:end w:w="120" w:type="dxa"/>
            </w:tcMar>
            <w:vAlign w:val="top"/>
          </w:tcPr>
          <w:p>
            <w:pPr>
              <w:spacing w:after="0"/>
            </w:pPr>
            <w:r>
              <w:rPr>
                <w:sz w:val="16"/>
              </w:rPr>
              <w:t>10%</w:t>
            </w:r>
          </w:p>
        </w:tc>
        <w:tc>
          <w:tcPr>
            <w:tcW w:type="dxa" w:w="6408"/>
            <w:tcMar>
              <w:top w:w="80" w:type="dxa"/>
              <w:start w:w="120" w:type="dxa"/>
              <w:bottom w:w="80" w:type="dxa"/>
              <w:end w:w="120" w:type="dxa"/>
            </w:tcMar>
            <w:vAlign w:val="top"/>
          </w:tcPr>
          <w:p>
            <w:pPr>
              <w:spacing w:after="0"/>
            </w:pPr>
            <w:r>
              <w:rPr>
                <w:sz w:val="16"/>
              </w:rPr>
              <w:t>Whether geography or response speed plausibly matters after release/material delays</w:t>
            </w:r>
          </w:p>
        </w:tc>
      </w:tr>
      <w:tr>
        <w:trPr>
          <w:cantSplit w:val="true"/>
        </w:trPr>
        <w:tc>
          <w:tcPr>
            <w:tcW w:type="dxa" w:w="2232"/>
            <w:tcMar>
              <w:top w:w="80" w:type="dxa"/>
              <w:start w:w="120" w:type="dxa"/>
              <w:bottom w:w="80" w:type="dxa"/>
              <w:end w:w="120" w:type="dxa"/>
            </w:tcMar>
            <w:vAlign w:val="top"/>
          </w:tcPr>
          <w:p>
            <w:pPr>
              <w:spacing w:after="0"/>
            </w:pPr>
            <w:r>
              <w:rPr>
                <w:sz w:val="16"/>
              </w:rPr>
              <w:t>Demand/contract fit</w:t>
            </w:r>
          </w:p>
        </w:tc>
        <w:tc>
          <w:tcPr>
            <w:tcW w:type="dxa" w:w="1080"/>
            <w:tcMar>
              <w:top w:w="80" w:type="dxa"/>
              <w:start w:w="120" w:type="dxa"/>
              <w:bottom w:w="80" w:type="dxa"/>
              <w:end w:w="120" w:type="dxa"/>
            </w:tcMar>
            <w:vAlign w:val="top"/>
          </w:tcPr>
          <w:p>
            <w:pPr>
              <w:spacing w:after="0"/>
            </w:pPr>
            <w:r>
              <w:rPr>
                <w:sz w:val="16"/>
              </w:rPr>
              <w:t>10%</w:t>
            </w:r>
          </w:p>
        </w:tc>
        <w:tc>
          <w:tcPr>
            <w:tcW w:type="dxa" w:w="6408"/>
            <w:tcMar>
              <w:top w:w="80" w:type="dxa"/>
              <w:start w:w="120" w:type="dxa"/>
              <w:bottom w:w="80" w:type="dxa"/>
              <w:end w:w="120" w:type="dxa"/>
            </w:tcMar>
            <w:vAlign w:val="top"/>
          </w:tcPr>
          <w:p>
            <w:pPr>
              <w:spacing w:after="0"/>
            </w:pPr>
            <w:r>
              <w:rPr>
                <w:sz w:val="16"/>
              </w:rPr>
              <w:t>Bounded demand and credible institutional purchasing model</w:t>
            </w:r>
          </w:p>
        </w:tc>
      </w:tr>
    </w:tbl>
    <w:p>
      <w:pPr>
        <w:pStyle w:val="Heading2"/>
        <w:keepNext/>
        <w:keepLines/>
      </w:pPr>
      <w:r>
        <w:t>2.5 Provisional cases—not final selections</w:t>
      </w:r>
    </w:p>
    <w:tbl>
      <w:tblPr>
        <w:tblStyle w:val="TableGrid"/>
        <w:tblW w:type="dxa" w:w="9720"/>
        <w:jc w:val="center"/>
        <w:tblLayout w:type="fixed"/>
        <w:tblLook w:firstColumn="1" w:firstRow="1" w:lastColumn="0" w:lastRow="0" w:noHBand="0" w:noVBand="1" w:val="04A0"/>
        <w:tblInd w:type="dxa" w:w="120"/>
      </w:tblPr>
      <w:tblGrid>
        <w:gridCol w:w="3240"/>
        <w:gridCol w:w="1944"/>
        <w:gridCol w:w="4536"/>
      </w:tblGrid>
      <w:tr>
        <w:trPr>
          <w:cantSplit w:val="true"/>
          <w:tblHeader w:val="true"/>
        </w:trPr>
        <w:tc>
          <w:tcPr>
            <w:tcW w:type="dxa" w:w="3240"/>
            <w:shd w:fill="E8EEF5"/>
            <w:tcMar>
              <w:top w:w="80" w:type="dxa"/>
              <w:start w:w="120" w:type="dxa"/>
              <w:bottom w:w="80" w:type="dxa"/>
              <w:end w:w="120" w:type="dxa"/>
            </w:tcMar>
            <w:vAlign w:val="center"/>
          </w:tcPr>
          <w:p>
            <w:pPr>
              <w:spacing w:after="0"/>
            </w:pPr>
            <w:r>
              <w:rPr>
                <w:b/>
                <w:color w:val="16324F"/>
                <w:sz w:val="15"/>
              </w:rPr>
              <w:t>Presentation</w:t>
            </w:r>
          </w:p>
        </w:tc>
        <w:tc>
          <w:tcPr>
            <w:tcW w:type="dxa" w:w="1944"/>
            <w:shd w:fill="E8EEF5"/>
            <w:tcMar>
              <w:top w:w="80" w:type="dxa"/>
              <w:start w:w="120" w:type="dxa"/>
              <w:bottom w:w="80" w:type="dxa"/>
              <w:end w:w="120" w:type="dxa"/>
            </w:tcMar>
            <w:vAlign w:val="center"/>
          </w:tcPr>
          <w:p>
            <w:pPr>
              <w:spacing w:after="0"/>
            </w:pPr>
            <w:r>
              <w:rPr>
                <w:b/>
                <w:color w:val="16324F"/>
                <w:sz w:val="15"/>
              </w:rPr>
              <w:t>Provisional role</w:t>
            </w:r>
          </w:p>
        </w:tc>
        <w:tc>
          <w:tcPr>
            <w:tcW w:type="dxa" w:w="4536"/>
            <w:shd w:fill="E8EEF5"/>
            <w:tcMar>
              <w:top w:w="80" w:type="dxa"/>
              <w:start w:w="120" w:type="dxa"/>
              <w:bottom w:w="80" w:type="dxa"/>
              <w:end w:w="120" w:type="dxa"/>
            </w:tcMar>
            <w:vAlign w:val="center"/>
          </w:tcPr>
          <w:p>
            <w:pPr>
              <w:spacing w:after="0"/>
            </w:pPr>
            <w:r>
              <w:rPr>
                <w:b/>
                <w:color w:val="16324F"/>
                <w:sz w:val="15"/>
              </w:rPr>
              <w:t>Diligence needed</w:t>
            </w:r>
          </w:p>
        </w:tc>
      </w:tr>
      <w:tr>
        <w:trPr>
          <w:cantSplit w:val="true"/>
        </w:trPr>
        <w:tc>
          <w:tcPr>
            <w:tcW w:type="dxa" w:w="3240"/>
            <w:tcMar>
              <w:top w:w="80" w:type="dxa"/>
              <w:start w:w="120" w:type="dxa"/>
              <w:bottom w:w="80" w:type="dxa"/>
              <w:end w:w="120" w:type="dxa"/>
            </w:tcMar>
            <w:vAlign w:val="top"/>
          </w:tcPr>
          <w:p>
            <w:pPr>
              <w:spacing w:after="0"/>
            </w:pPr>
            <w:r>
              <w:rPr>
                <w:sz w:val="15"/>
              </w:rPr>
              <w:t>Sodium bicarbonate injection 8.4%, 50 mL vial</w:t>
            </w:r>
          </w:p>
        </w:tc>
        <w:tc>
          <w:tcPr>
            <w:tcW w:type="dxa" w:w="1944"/>
            <w:tcMar>
              <w:top w:w="80" w:type="dxa"/>
              <w:start w:w="120" w:type="dxa"/>
              <w:bottom w:w="80" w:type="dxa"/>
              <w:end w:w="120" w:type="dxa"/>
            </w:tcMar>
            <w:vAlign w:val="top"/>
          </w:tcPr>
          <w:p>
            <w:pPr>
              <w:spacing w:after="0"/>
            </w:pPr>
            <w:r>
              <w:rPr>
                <w:sz w:val="15"/>
              </w:rPr>
              <w:t>Current/recurrent case candidate</w:t>
            </w:r>
          </w:p>
        </w:tc>
        <w:tc>
          <w:tcPr>
            <w:tcW w:type="dxa" w:w="4536"/>
            <w:tcMar>
              <w:top w:w="80" w:type="dxa"/>
              <w:start w:w="120" w:type="dxa"/>
              <w:bottom w:w="80" w:type="dxa"/>
              <w:end w:w="120" w:type="dxa"/>
            </w:tcMar>
            <w:vAlign w:val="top"/>
          </w:tcPr>
          <w:p>
            <w:pPr>
              <w:spacing w:after="0"/>
            </w:pPr>
            <w:r>
              <w:rPr>
                <w:sz w:val="15"/>
              </w:rPr>
              <w:t>Strong first-archetype fit; confirm presentation-level demand, current status, supplier map, container compatibility, process/sterilization route, and economics</w:t>
            </w:r>
          </w:p>
        </w:tc>
      </w:tr>
      <w:tr>
        <w:trPr>
          <w:cantSplit w:val="true"/>
        </w:trPr>
        <w:tc>
          <w:tcPr>
            <w:tcW w:type="dxa" w:w="3240"/>
            <w:tcMar>
              <w:top w:w="80" w:type="dxa"/>
              <w:start w:w="120" w:type="dxa"/>
              <w:bottom w:w="80" w:type="dxa"/>
              <w:end w:w="120" w:type="dxa"/>
            </w:tcMar>
            <w:vAlign w:val="top"/>
          </w:tcPr>
          <w:p>
            <w:pPr>
              <w:spacing w:after="0"/>
            </w:pPr>
            <w:r>
              <w:rPr>
                <w:sz w:val="15"/>
              </w:rPr>
              <w:t>Norepinephrine bitartrate 1 mg/mL, 4 mL vial</w:t>
            </w:r>
          </w:p>
        </w:tc>
        <w:tc>
          <w:tcPr>
            <w:tcW w:type="dxa" w:w="1944"/>
            <w:tcMar>
              <w:top w:w="80" w:type="dxa"/>
              <w:start w:w="120" w:type="dxa"/>
              <w:bottom w:w="80" w:type="dxa"/>
              <w:end w:w="120" w:type="dxa"/>
            </w:tcMar>
            <w:vAlign w:val="top"/>
          </w:tcPr>
          <w:p>
            <w:pPr>
              <w:spacing w:after="0"/>
            </w:pPr>
            <w:r>
              <w:rPr>
                <w:sz w:val="15"/>
              </w:rPr>
              <w:t>Resolved/recurrent comparator</w:t>
            </w:r>
          </w:p>
        </w:tc>
        <w:tc>
          <w:tcPr>
            <w:tcW w:type="dxa" w:w="4536"/>
            <w:tcMar>
              <w:top w:w="80" w:type="dxa"/>
              <w:start w:w="120" w:type="dxa"/>
              <w:bottom w:w="80" w:type="dxa"/>
              <w:end w:w="120" w:type="dxa"/>
            </w:tcMar>
            <w:vAlign w:val="top"/>
          </w:tcPr>
          <w:p>
            <w:pPr>
              <w:spacing w:after="0"/>
            </w:pPr>
            <w:r>
              <w:rPr>
                <w:sz w:val="15"/>
              </w:rPr>
              <w:t>Clinically important, but presentation, dilution practices, light/stability, supplier structure, and actual shortage history require reconciliation</w:t>
            </w:r>
          </w:p>
        </w:tc>
      </w:tr>
      <w:tr>
        <w:trPr>
          <w:cantSplit w:val="true"/>
        </w:trPr>
        <w:tc>
          <w:tcPr>
            <w:tcW w:type="dxa" w:w="3240"/>
            <w:tcMar>
              <w:top w:w="80" w:type="dxa"/>
              <w:start w:w="120" w:type="dxa"/>
              <w:bottom w:w="80" w:type="dxa"/>
              <w:end w:w="120" w:type="dxa"/>
            </w:tcMar>
            <w:vAlign w:val="top"/>
          </w:tcPr>
          <w:p>
            <w:pPr>
              <w:spacing w:after="0"/>
            </w:pPr>
            <w:r>
              <w:rPr>
                <w:sz w:val="15"/>
              </w:rPr>
              <w:t>Acyclovir sodium injection</w:t>
            </w:r>
          </w:p>
        </w:tc>
        <w:tc>
          <w:tcPr>
            <w:tcW w:type="dxa" w:w="1944"/>
            <w:tcMar>
              <w:top w:w="80" w:type="dxa"/>
              <w:start w:w="120" w:type="dxa"/>
              <w:bottom w:w="80" w:type="dxa"/>
              <w:end w:w="120" w:type="dxa"/>
            </w:tcMar>
            <w:vAlign w:val="top"/>
          </w:tcPr>
          <w:p>
            <w:pPr>
              <w:spacing w:after="0"/>
            </w:pPr>
            <w:r>
              <w:rPr>
                <w:sz w:val="15"/>
              </w:rPr>
              <w:t>Reserve</w:t>
            </w:r>
          </w:p>
        </w:tc>
        <w:tc>
          <w:tcPr>
            <w:tcW w:type="dxa" w:w="4536"/>
            <w:tcMar>
              <w:top w:w="80" w:type="dxa"/>
              <w:start w:w="120" w:type="dxa"/>
              <w:bottom w:w="80" w:type="dxa"/>
              <w:end w:w="120" w:type="dxa"/>
            </w:tcMar>
            <w:vAlign w:val="top"/>
          </w:tcPr>
          <w:p>
            <w:pPr>
              <w:spacing w:after="0"/>
            </w:pPr>
            <w:r>
              <w:rPr>
                <w:sz w:val="15"/>
              </w:rPr>
              <w:t>Retain only after confirming formulation/presentation/process fit and demand evidence</w:t>
            </w:r>
          </w:p>
        </w:tc>
      </w:tr>
      <w:tr>
        <w:trPr>
          <w:cantSplit w:val="true"/>
        </w:trPr>
        <w:tc>
          <w:tcPr>
            <w:tcW w:type="dxa" w:w="3240"/>
            <w:tcMar>
              <w:top w:w="80" w:type="dxa"/>
              <w:start w:w="120" w:type="dxa"/>
              <w:bottom w:w="80" w:type="dxa"/>
              <w:end w:w="120" w:type="dxa"/>
            </w:tcMar>
            <w:vAlign w:val="top"/>
          </w:tcPr>
          <w:p>
            <w:pPr>
              <w:spacing w:after="0"/>
            </w:pPr>
            <w:r>
              <w:rPr>
                <w:sz w:val="15"/>
              </w:rPr>
              <w:t>Furosemide injection</w:t>
            </w:r>
          </w:p>
        </w:tc>
        <w:tc>
          <w:tcPr>
            <w:tcW w:type="dxa" w:w="1944"/>
            <w:tcMar>
              <w:top w:w="80" w:type="dxa"/>
              <w:start w:w="120" w:type="dxa"/>
              <w:bottom w:w="80" w:type="dxa"/>
              <w:end w:w="120" w:type="dxa"/>
            </w:tcMar>
            <w:vAlign w:val="top"/>
          </w:tcPr>
          <w:p>
            <w:pPr>
              <w:spacing w:after="0"/>
            </w:pPr>
            <w:r>
              <w:rPr>
                <w:sz w:val="15"/>
              </w:rPr>
              <w:t>Reserve</w:t>
            </w:r>
          </w:p>
        </w:tc>
        <w:tc>
          <w:tcPr>
            <w:tcW w:type="dxa" w:w="4536"/>
            <w:tcMar>
              <w:top w:w="80" w:type="dxa"/>
              <w:start w:w="120" w:type="dxa"/>
              <w:bottom w:w="80" w:type="dxa"/>
              <w:end w:w="120" w:type="dxa"/>
            </w:tcMar>
            <w:vAlign w:val="top"/>
          </w:tcPr>
          <w:p>
            <w:pPr>
              <w:spacing w:after="0"/>
            </w:pPr>
            <w:r>
              <w:rPr>
                <w:sz w:val="15"/>
              </w:rPr>
              <w:t>Useful simpler comparator if data and supplier evidence are stronger</w:t>
            </w:r>
          </w:p>
        </w:tc>
      </w:tr>
      <w:tr>
        <w:trPr>
          <w:cantSplit w:val="true"/>
        </w:trPr>
        <w:tc>
          <w:tcPr>
            <w:tcW w:type="dxa" w:w="3240"/>
            <w:tcMar>
              <w:top w:w="80" w:type="dxa"/>
              <w:start w:w="120" w:type="dxa"/>
              <w:bottom w:w="80" w:type="dxa"/>
              <w:end w:w="120" w:type="dxa"/>
            </w:tcMar>
            <w:vAlign w:val="top"/>
          </w:tcPr>
          <w:p>
            <w:pPr>
              <w:spacing w:after="0"/>
            </w:pPr>
            <w:r>
              <w:rPr>
                <w:sz w:val="15"/>
              </w:rPr>
              <w:t>Acetazolamide sodium 500 mg vial</w:t>
            </w:r>
          </w:p>
        </w:tc>
        <w:tc>
          <w:tcPr>
            <w:tcW w:type="dxa" w:w="1944"/>
            <w:tcMar>
              <w:top w:w="80" w:type="dxa"/>
              <w:start w:w="120" w:type="dxa"/>
              <w:bottom w:w="80" w:type="dxa"/>
              <w:end w:w="120" w:type="dxa"/>
            </w:tcMar>
            <w:vAlign w:val="top"/>
          </w:tcPr>
          <w:p>
            <w:pPr>
              <w:spacing w:after="0"/>
            </w:pPr>
            <w:r>
              <w:rPr>
                <w:sz w:val="15"/>
              </w:rPr>
              <w:t>Exclude from first archetype</w:t>
            </w:r>
          </w:p>
        </w:tc>
        <w:tc>
          <w:tcPr>
            <w:tcW w:type="dxa" w:w="4536"/>
            <w:tcMar>
              <w:top w:w="80" w:type="dxa"/>
              <w:start w:w="120" w:type="dxa"/>
              <w:bottom w:w="80" w:type="dxa"/>
              <w:end w:w="120" w:type="dxa"/>
            </w:tcMar>
            <w:vAlign w:val="top"/>
          </w:tcPr>
          <w:p>
            <w:pPr>
              <w:spacing w:after="0"/>
            </w:pPr>
            <w:r>
              <w:rPr>
                <w:sz w:val="15"/>
              </w:rPr>
              <w:t>Lyophilized presentation violates the aqueous-solution boundary; useful future out-of-archetype test</w:t>
            </w:r>
          </w:p>
        </w:tc>
      </w:tr>
    </w:tbl>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E8EEF5"/>
            <w:tcMar>
              <w:top w:w="130" w:type="dxa"/>
              <w:start w:w="170" w:type="dxa"/>
              <w:bottom w:w="130" w:type="dxa"/>
              <w:end w:w="170" w:type="dxa"/>
            </w:tcMar>
          </w:tcPr>
          <w:p>
            <w:pPr>
              <w:spacing w:after="60"/>
            </w:pPr>
            <w:r>
              <w:rPr>
                <w:b/>
                <w:color w:val="16324F"/>
              </w:rPr>
              <w:t>Freeze the snapshot</w:t>
            </w:r>
          </w:p>
          <w:p>
            <w:pPr>
              <w:spacing w:after="0"/>
            </w:pPr>
            <w:r>
              <w:t>Record the FDA/ASHP status, access date, shortage reason, available presentations, applicants/labelers, and links in a machine-readable product dossier. A dynamic webpage consulted later is not a reproducible dataset.</w:t>
            </w:r>
          </w:p>
        </w:tc>
      </w:tr>
    </w:tbl>
    <w:p>
      <w:pPr>
        <w:pStyle w:val="Heading1"/>
        <w:keepNext/>
        <w:keepLines/>
      </w:pPr>
      <w:r>
        <w:t>3. Comparator strategies and fair-comparison rules</w:t>
      </w:r>
    </w:p>
    <w:p>
      <w:r>
        <w:t>The model contains eight architectures. The first seven answer the durable supply-design question; the eighth is a separate shortage-response pathway. Each architecture must be optimized within its own feasible design space before comparison.</w:t>
      </w:r>
    </w:p>
    <w:tbl>
      <w:tblPr>
        <w:tblStyle w:val="TableGrid"/>
        <w:tblW w:type="dxa" w:w="9720"/>
        <w:jc w:val="center"/>
        <w:tblLayout w:type="fixed"/>
        <w:tblLook w:firstColumn="1" w:firstRow="1" w:lastColumn="0" w:lastRow="0" w:noHBand="0" w:noVBand="1" w:val="04A0"/>
        <w:tblInd w:type="dxa" w:w="120"/>
      </w:tblPr>
      <w:tblGrid>
        <w:gridCol w:w="648"/>
        <w:gridCol w:w="3024"/>
        <w:gridCol w:w="6048"/>
      </w:tblGrid>
      <w:tr>
        <w:trPr>
          <w:cantSplit w:val="true"/>
          <w:tblHeader w:val="true"/>
        </w:trPr>
        <w:tc>
          <w:tcPr>
            <w:tcW w:type="dxa" w:w="648"/>
            <w:shd w:fill="E8EEF5"/>
            <w:tcMar>
              <w:top w:w="80" w:type="dxa"/>
              <w:start w:w="120" w:type="dxa"/>
              <w:bottom w:w="80" w:type="dxa"/>
              <w:end w:w="120" w:type="dxa"/>
            </w:tcMar>
            <w:vAlign w:val="center"/>
          </w:tcPr>
          <w:p>
            <w:pPr>
              <w:spacing w:after="0"/>
            </w:pPr>
            <w:r>
              <w:rPr>
                <w:b/>
                <w:color w:val="16324F"/>
                <w:sz w:val="16"/>
              </w:rPr>
              <w:t>ID</w:t>
            </w:r>
          </w:p>
        </w:tc>
        <w:tc>
          <w:tcPr>
            <w:tcW w:type="dxa" w:w="3024"/>
            <w:shd w:fill="E8EEF5"/>
            <w:tcMar>
              <w:top w:w="80" w:type="dxa"/>
              <w:start w:w="120" w:type="dxa"/>
              <w:bottom w:w="80" w:type="dxa"/>
              <w:end w:w="120" w:type="dxa"/>
            </w:tcMar>
            <w:vAlign w:val="center"/>
          </w:tcPr>
          <w:p>
            <w:pPr>
              <w:spacing w:after="0"/>
            </w:pPr>
            <w:r>
              <w:rPr>
                <w:b/>
                <w:color w:val="16324F"/>
                <w:sz w:val="16"/>
              </w:rPr>
              <w:t>Architecture</w:t>
            </w:r>
          </w:p>
        </w:tc>
        <w:tc>
          <w:tcPr>
            <w:tcW w:type="dxa" w:w="6048"/>
            <w:shd w:fill="E8EEF5"/>
            <w:tcMar>
              <w:top w:w="80" w:type="dxa"/>
              <w:start w:w="120" w:type="dxa"/>
              <w:bottom w:w="80" w:type="dxa"/>
              <w:end w:w="120" w:type="dxa"/>
            </w:tcMar>
            <w:vAlign w:val="center"/>
          </w:tcPr>
          <w:p>
            <w:pPr>
              <w:spacing w:after="0"/>
            </w:pPr>
            <w:r>
              <w:rPr>
                <w:b/>
                <w:color w:val="16324F"/>
                <w:sz w:val="16"/>
              </w:rPr>
              <w:t>What must be represented</w:t>
            </w:r>
          </w:p>
        </w:tc>
      </w:tr>
      <w:tr>
        <w:trPr>
          <w:cantSplit w:val="true"/>
        </w:trPr>
        <w:tc>
          <w:tcPr>
            <w:tcW w:type="dxa" w:w="648"/>
            <w:tcMar>
              <w:top w:w="80" w:type="dxa"/>
              <w:start w:w="120" w:type="dxa"/>
              <w:bottom w:w="80" w:type="dxa"/>
              <w:end w:w="120" w:type="dxa"/>
            </w:tcMar>
            <w:vAlign w:val="top"/>
          </w:tcPr>
          <w:p>
            <w:pPr>
              <w:spacing w:after="0"/>
            </w:pPr>
            <w:r>
              <w:rPr>
                <w:sz w:val="16"/>
              </w:rPr>
              <w:t>S0</w:t>
            </w:r>
          </w:p>
        </w:tc>
        <w:tc>
          <w:tcPr>
            <w:tcW w:type="dxa" w:w="3024"/>
            <w:tcMar>
              <w:top w:w="80" w:type="dxa"/>
              <w:start w:w="120" w:type="dxa"/>
              <w:bottom w:w="80" w:type="dxa"/>
              <w:end w:w="120" w:type="dxa"/>
            </w:tcMar>
            <w:vAlign w:val="top"/>
          </w:tcPr>
          <w:p>
            <w:pPr>
              <w:spacing w:after="0"/>
            </w:pPr>
            <w:r>
              <w:rPr>
                <w:sz w:val="16"/>
              </w:rPr>
              <w:t>Status quo centralized</w:t>
            </w:r>
          </w:p>
        </w:tc>
        <w:tc>
          <w:tcPr>
            <w:tcW w:type="dxa" w:w="6048"/>
            <w:tcMar>
              <w:top w:w="80" w:type="dxa"/>
              <w:start w:w="120" w:type="dxa"/>
              <w:bottom w:w="80" w:type="dxa"/>
              <w:end w:w="120" w:type="dxa"/>
            </w:tcMar>
            <w:vAlign w:val="top"/>
          </w:tcPr>
          <w:p>
            <w:pPr>
              <w:spacing w:after="0"/>
            </w:pPr>
            <w:r>
              <w:rPr>
                <w:sz w:val="16"/>
              </w:rPr>
              <w:t>Existing approved supply architecture; no favorable assumptions about hidden spare capacity</w:t>
            </w:r>
          </w:p>
        </w:tc>
      </w:tr>
      <w:tr>
        <w:trPr>
          <w:cantSplit w:val="true"/>
        </w:trPr>
        <w:tc>
          <w:tcPr>
            <w:tcW w:type="dxa" w:w="648"/>
            <w:tcMar>
              <w:top w:w="80" w:type="dxa"/>
              <w:start w:w="120" w:type="dxa"/>
              <w:bottom w:w="80" w:type="dxa"/>
              <w:end w:w="120" w:type="dxa"/>
            </w:tcMar>
            <w:vAlign w:val="top"/>
          </w:tcPr>
          <w:p>
            <w:pPr>
              <w:spacing w:after="0"/>
            </w:pPr>
            <w:r>
              <w:rPr>
                <w:sz w:val="16"/>
              </w:rPr>
              <w:t>S1</w:t>
            </w:r>
          </w:p>
        </w:tc>
        <w:tc>
          <w:tcPr>
            <w:tcW w:type="dxa" w:w="3024"/>
            <w:tcMar>
              <w:top w:w="80" w:type="dxa"/>
              <w:start w:w="120" w:type="dxa"/>
              <w:bottom w:w="80" w:type="dxa"/>
              <w:end w:w="120" w:type="dxa"/>
            </w:tcMar>
            <w:vAlign w:val="top"/>
          </w:tcPr>
          <w:p>
            <w:pPr>
              <w:spacing w:after="0"/>
            </w:pPr>
            <w:r>
              <w:rPr>
                <w:sz w:val="16"/>
              </w:rPr>
              <w:t>Additional safety stock</w:t>
            </w:r>
          </w:p>
        </w:tc>
        <w:tc>
          <w:tcPr>
            <w:tcW w:type="dxa" w:w="6048"/>
            <w:tcMar>
              <w:top w:w="80" w:type="dxa"/>
              <w:start w:w="120" w:type="dxa"/>
              <w:bottom w:w="80" w:type="dxa"/>
              <w:end w:w="120" w:type="dxa"/>
            </w:tcMar>
            <w:vAlign w:val="top"/>
          </w:tcPr>
          <w:p>
            <w:pPr>
              <w:spacing w:after="0"/>
            </w:pPr>
            <w:r>
              <w:rPr>
                <w:sz w:val="16"/>
              </w:rPr>
              <w:t>Optimize days of supply, placement, rotation, carrying cost, expiry, and shortage timing</w:t>
            </w:r>
          </w:p>
        </w:tc>
      </w:tr>
      <w:tr>
        <w:trPr>
          <w:cantSplit w:val="true"/>
        </w:trPr>
        <w:tc>
          <w:tcPr>
            <w:tcW w:type="dxa" w:w="648"/>
            <w:tcMar>
              <w:top w:w="80" w:type="dxa"/>
              <w:start w:w="120" w:type="dxa"/>
              <w:bottom w:w="80" w:type="dxa"/>
              <w:end w:w="120" w:type="dxa"/>
            </w:tcMar>
            <w:vAlign w:val="top"/>
          </w:tcPr>
          <w:p>
            <w:pPr>
              <w:spacing w:after="0"/>
            </w:pPr>
            <w:r>
              <w:rPr>
                <w:sz w:val="16"/>
              </w:rPr>
              <w:t>S2</w:t>
            </w:r>
          </w:p>
        </w:tc>
        <w:tc>
          <w:tcPr>
            <w:tcW w:type="dxa" w:w="3024"/>
            <w:tcMar>
              <w:top w:w="80" w:type="dxa"/>
              <w:start w:w="120" w:type="dxa"/>
              <w:bottom w:w="80" w:type="dxa"/>
              <w:end w:w="120" w:type="dxa"/>
            </w:tcMar>
            <w:vAlign w:val="top"/>
          </w:tcPr>
          <w:p>
            <w:pPr>
              <w:spacing w:after="0"/>
            </w:pPr>
            <w:r>
              <w:rPr>
                <w:sz w:val="16"/>
              </w:rPr>
              <w:t>Dual source + contracts</w:t>
            </w:r>
          </w:p>
        </w:tc>
        <w:tc>
          <w:tcPr>
            <w:tcW w:type="dxa" w:w="6048"/>
            <w:tcMar>
              <w:top w:w="80" w:type="dxa"/>
              <w:start w:w="120" w:type="dxa"/>
              <w:bottom w:w="80" w:type="dxa"/>
              <w:end w:w="120" w:type="dxa"/>
            </w:tcMar>
            <w:vAlign w:val="top"/>
          </w:tcPr>
          <w:p>
            <w:pPr>
              <w:spacing w:after="0"/>
            </w:pPr>
            <w:r>
              <w:rPr>
                <w:sz w:val="16"/>
              </w:rPr>
              <w:t>Two qualified sources with explicit shared-cause mapping and allocated commitments</w:t>
            </w:r>
          </w:p>
        </w:tc>
      </w:tr>
      <w:tr>
        <w:trPr>
          <w:cantSplit w:val="true"/>
        </w:trPr>
        <w:tc>
          <w:tcPr>
            <w:tcW w:type="dxa" w:w="648"/>
            <w:tcMar>
              <w:top w:w="80" w:type="dxa"/>
              <w:start w:w="120" w:type="dxa"/>
              <w:bottom w:w="80" w:type="dxa"/>
              <w:end w:w="120" w:type="dxa"/>
            </w:tcMar>
            <w:vAlign w:val="top"/>
          </w:tcPr>
          <w:p>
            <w:pPr>
              <w:spacing w:after="0"/>
            </w:pPr>
            <w:r>
              <w:rPr>
                <w:sz w:val="16"/>
              </w:rPr>
              <w:t>S3</w:t>
            </w:r>
          </w:p>
        </w:tc>
        <w:tc>
          <w:tcPr>
            <w:tcW w:type="dxa" w:w="3024"/>
            <w:tcMar>
              <w:top w:w="80" w:type="dxa"/>
              <w:start w:w="120" w:type="dxa"/>
              <w:bottom w:w="80" w:type="dxa"/>
              <w:end w:w="120" w:type="dxa"/>
            </w:tcMar>
            <w:vAlign w:val="top"/>
          </w:tcPr>
          <w:p>
            <w:pPr>
              <w:spacing w:after="0"/>
            </w:pPr>
            <w:r>
              <w:rPr>
                <w:sz w:val="16"/>
              </w:rPr>
              <w:t>Reserved flexible contract capacity</w:t>
            </w:r>
          </w:p>
        </w:tc>
        <w:tc>
          <w:tcPr>
            <w:tcW w:type="dxa" w:w="6048"/>
            <w:tcMar>
              <w:top w:w="80" w:type="dxa"/>
              <w:start w:w="120" w:type="dxa"/>
              <w:bottom w:w="80" w:type="dxa"/>
              <w:end w:w="120" w:type="dxa"/>
            </w:tcMar>
            <w:vAlign w:val="top"/>
          </w:tcPr>
          <w:p>
            <w:pPr>
              <w:spacing w:after="0"/>
            </w:pPr>
            <w:r>
              <w:rPr>
                <w:sz w:val="16"/>
              </w:rPr>
              <w:t>Qualified capacity held through reservation/take-or-pay terms; include activation, campaign, and release delay</w:t>
            </w:r>
          </w:p>
        </w:tc>
      </w:tr>
      <w:tr>
        <w:trPr>
          <w:cantSplit w:val="true"/>
        </w:trPr>
        <w:tc>
          <w:tcPr>
            <w:tcW w:type="dxa" w:w="648"/>
            <w:tcMar>
              <w:top w:w="80" w:type="dxa"/>
              <w:start w:w="120" w:type="dxa"/>
              <w:bottom w:w="80" w:type="dxa"/>
              <w:end w:w="120" w:type="dxa"/>
            </w:tcMar>
            <w:vAlign w:val="top"/>
          </w:tcPr>
          <w:p>
            <w:pPr>
              <w:spacing w:after="0"/>
            </w:pPr>
            <w:r>
              <w:rPr>
                <w:sz w:val="16"/>
              </w:rPr>
              <w:t>S4</w:t>
            </w:r>
          </w:p>
        </w:tc>
        <w:tc>
          <w:tcPr>
            <w:tcW w:type="dxa" w:w="3024"/>
            <w:tcMar>
              <w:top w:w="80" w:type="dxa"/>
              <w:start w:w="120" w:type="dxa"/>
              <w:bottom w:w="80" w:type="dxa"/>
              <w:end w:w="120" w:type="dxa"/>
            </w:tcMar>
            <w:vAlign w:val="top"/>
          </w:tcPr>
          <w:p>
            <w:pPr>
              <w:spacing w:after="0"/>
            </w:pPr>
            <w:r>
              <w:rPr>
                <w:sz w:val="16"/>
              </w:rPr>
              <w:t>Additional centralized capacity</w:t>
            </w:r>
          </w:p>
        </w:tc>
        <w:tc>
          <w:tcPr>
            <w:tcW w:type="dxa" w:w="6048"/>
            <w:tcMar>
              <w:top w:w="80" w:type="dxa"/>
              <w:start w:w="120" w:type="dxa"/>
              <w:bottom w:w="80" w:type="dxa"/>
              <w:end w:w="120" w:type="dxa"/>
            </w:tcMar>
            <w:vAlign w:val="top"/>
          </w:tcPr>
          <w:p>
            <w:pPr>
              <w:spacing w:after="0"/>
            </w:pPr>
            <w:r>
              <w:rPr>
                <w:sz w:val="16"/>
              </w:rPr>
              <w:t>New/expanded large-site capacity with scale economies and concentration risk</w:t>
            </w:r>
          </w:p>
        </w:tc>
      </w:tr>
      <w:tr>
        <w:trPr>
          <w:cantSplit w:val="true"/>
        </w:trPr>
        <w:tc>
          <w:tcPr>
            <w:tcW w:type="dxa" w:w="648"/>
            <w:tcMar>
              <w:top w:w="80" w:type="dxa"/>
              <w:start w:w="120" w:type="dxa"/>
              <w:bottom w:w="80" w:type="dxa"/>
              <w:end w:w="120" w:type="dxa"/>
            </w:tcMar>
            <w:vAlign w:val="top"/>
          </w:tcPr>
          <w:p>
            <w:pPr>
              <w:spacing w:after="0"/>
            </w:pPr>
            <w:r>
              <w:rPr>
                <w:sz w:val="16"/>
              </w:rPr>
              <w:t>S5</w:t>
            </w:r>
          </w:p>
        </w:tc>
        <w:tc>
          <w:tcPr>
            <w:tcW w:type="dxa" w:w="3024"/>
            <w:tcMar>
              <w:top w:w="80" w:type="dxa"/>
              <w:start w:w="120" w:type="dxa"/>
              <w:bottom w:w="80" w:type="dxa"/>
              <w:end w:w="120" w:type="dxa"/>
            </w:tcMar>
            <w:vAlign w:val="top"/>
          </w:tcPr>
          <w:p>
            <w:pPr>
              <w:spacing w:after="0"/>
            </w:pPr>
            <w:r>
              <w:rPr>
                <w:sz w:val="16"/>
              </w:rPr>
              <w:t>Distributed regional nodes</w:t>
            </w:r>
          </w:p>
        </w:tc>
        <w:tc>
          <w:tcPr>
            <w:tcW w:type="dxa" w:w="6048"/>
            <w:tcMar>
              <w:top w:w="80" w:type="dxa"/>
              <w:start w:w="120" w:type="dxa"/>
              <w:bottom w:w="80" w:type="dxa"/>
              <w:end w:w="120" w:type="dxa"/>
            </w:tcMar>
            <w:vAlign w:val="top"/>
          </w:tcPr>
          <w:p>
            <w:pPr>
              <w:spacing w:after="0"/>
            </w:pPr>
            <w:r>
              <w:rPr>
                <w:sz w:val="16"/>
              </w:rPr>
              <w:t>Multiple smaller approved/contracted nodes using conventional validated disposition</w:t>
            </w:r>
          </w:p>
        </w:tc>
      </w:tr>
      <w:tr>
        <w:trPr>
          <w:cantSplit w:val="true"/>
        </w:trPr>
        <w:tc>
          <w:tcPr>
            <w:tcW w:type="dxa" w:w="648"/>
            <w:tcMar>
              <w:top w:w="80" w:type="dxa"/>
              <w:start w:w="120" w:type="dxa"/>
              <w:bottom w:w="80" w:type="dxa"/>
              <w:end w:w="120" w:type="dxa"/>
            </w:tcMar>
            <w:vAlign w:val="top"/>
          </w:tcPr>
          <w:p>
            <w:pPr>
              <w:spacing w:after="0"/>
            </w:pPr>
            <w:r>
              <w:rPr>
                <w:sz w:val="16"/>
              </w:rPr>
              <w:t>S6</w:t>
            </w:r>
          </w:p>
        </w:tc>
        <w:tc>
          <w:tcPr>
            <w:tcW w:type="dxa" w:w="3024"/>
            <w:tcMar>
              <w:top w:w="80" w:type="dxa"/>
              <w:start w:w="120" w:type="dxa"/>
              <w:bottom w:w="80" w:type="dxa"/>
              <w:end w:w="120" w:type="dxa"/>
            </w:tcMar>
            <w:vAlign w:val="top"/>
          </w:tcPr>
          <w:p>
            <w:pPr>
              <w:spacing w:after="0"/>
            </w:pPr>
            <w:r>
              <w:rPr>
                <w:sz w:val="16"/>
              </w:rPr>
              <w:t>Distributed + validated release assurance</w:t>
            </w:r>
          </w:p>
        </w:tc>
        <w:tc>
          <w:tcPr>
            <w:tcW w:type="dxa" w:w="6048"/>
            <w:tcMar>
              <w:top w:w="80" w:type="dxa"/>
              <w:start w:w="120" w:type="dxa"/>
              <w:bottom w:w="80" w:type="dxa"/>
              <w:end w:w="120" w:type="dxa"/>
            </w:tcMar>
            <w:vAlign w:val="top"/>
          </w:tcPr>
          <w:p>
            <w:pPr>
              <w:spacing w:after="0"/>
            </w:pPr>
            <w:r>
              <w:rPr>
                <w:sz w:val="16"/>
              </w:rPr>
              <w:t>S5 plus only the release components prospectively demonstrated and accepted for the product/site</w:t>
            </w:r>
          </w:p>
        </w:tc>
      </w:tr>
      <w:tr>
        <w:trPr>
          <w:cantSplit w:val="true"/>
        </w:trPr>
        <w:tc>
          <w:tcPr>
            <w:tcW w:type="dxa" w:w="648"/>
            <w:tcMar>
              <w:top w:w="80" w:type="dxa"/>
              <w:start w:w="120" w:type="dxa"/>
              <w:bottom w:w="80" w:type="dxa"/>
              <w:end w:w="120" w:type="dxa"/>
            </w:tcMar>
            <w:vAlign w:val="top"/>
          </w:tcPr>
          <w:p>
            <w:pPr>
              <w:spacing w:after="0"/>
            </w:pPr>
            <w:r>
              <w:rPr>
                <w:sz w:val="16"/>
              </w:rPr>
              <w:t>S7</w:t>
            </w:r>
          </w:p>
        </w:tc>
        <w:tc>
          <w:tcPr>
            <w:tcW w:type="dxa" w:w="3024"/>
            <w:tcMar>
              <w:top w:w="80" w:type="dxa"/>
              <w:start w:w="120" w:type="dxa"/>
              <w:bottom w:w="80" w:type="dxa"/>
              <w:end w:w="120" w:type="dxa"/>
            </w:tcMar>
            <w:vAlign w:val="top"/>
          </w:tcPr>
          <w:p>
            <w:pPr>
              <w:spacing w:after="0"/>
            </w:pPr>
            <w:r>
              <w:rPr>
                <w:sz w:val="16"/>
              </w:rPr>
              <w:t>503B shortage response</w:t>
            </w:r>
          </w:p>
        </w:tc>
        <w:tc>
          <w:tcPr>
            <w:tcW w:type="dxa" w:w="6048"/>
            <w:tcMar>
              <w:top w:w="80" w:type="dxa"/>
              <w:start w:w="120" w:type="dxa"/>
              <w:bottom w:w="80" w:type="dxa"/>
              <w:end w:w="120" w:type="dxa"/>
            </w:tcMar>
            <w:vAlign w:val="top"/>
          </w:tcPr>
          <w:p>
            <w:pPr>
              <w:spacing w:after="0"/>
            </w:pPr>
            <w:r>
              <w:rPr>
                <w:sz w:val="16"/>
              </w:rPr>
              <w:t>Separate status-dependent architecture; not ranked as though legal availability were permanent</w:t>
            </w:r>
          </w:p>
        </w:tc>
      </w:tr>
    </w:tbl>
    <w:p>
      <w:pPr>
        <w:pStyle w:val="Heading2"/>
        <w:keepNext/>
        <w:keepLines/>
      </w:pPr>
      <w:r>
        <w:t>3.1 Fair-comparison requirements</w:t>
      </w:r>
    </w:p>
    <w:p>
      <w:pPr>
        <w:pStyle w:val="ListBullet"/>
      </w:pPr>
      <w:r>
        <w:t>Same demand paths and disruptions: use common random numbers so strategies face the same simulated world in each paired run.</w:t>
      </w:r>
    </w:p>
    <w:p>
      <w:pPr>
        <w:pStyle w:val="ListBullet"/>
      </w:pPr>
      <w:r>
        <w:t>Same service target: minimize cost subject to a pre-specified fill-rate and shortage-risk constraint; do not compare a low-cost unreliable strategy to an overbuilt reliable one.</w:t>
      </w:r>
    </w:p>
    <w:p>
      <w:pPr>
        <w:pStyle w:val="ListBullet"/>
      </w:pPr>
      <w:r>
        <w:t>Same cost boundary: include annualized capital, fixed quality/operations labor, validation, testing, deviations, scrap, inventory, distribution, software/integration, compliance, and reserved-capacity payments without double counting.</w:t>
      </w:r>
    </w:p>
    <w:p>
      <w:pPr>
        <w:pStyle w:val="ListBullet"/>
      </w:pPr>
      <w:r>
        <w:t>Same time horizon and discounting: include commissioning/qualification lead time where a strategy does not exist on day zero.</w:t>
      </w:r>
    </w:p>
    <w:p>
      <w:pPr>
        <w:pStyle w:val="ListBullet"/>
      </w:pPr>
      <w:r>
        <w:t>Same common-cause scrutiny: nominal site count is not independent redundancy.</w:t>
      </w:r>
    </w:p>
    <w:p>
      <w:pPr>
        <w:pStyle w:val="ListBullet"/>
      </w:pPr>
      <w:r>
        <w:t>Pathway gating: an ineligible strategy is excluded—not assigned a large but finite regulatory penalty that an optimizer can pay through.</w:t>
      </w:r>
    </w:p>
    <w:p>
      <w:pPr>
        <w:pStyle w:val="Heading2"/>
        <w:keepNext/>
        <w:keepLines/>
      </w:pPr>
      <w:r>
        <w:t>3.2 Strategy optimization variables</w:t>
      </w:r>
    </w:p>
    <w:tbl>
      <w:tblPr>
        <w:tblStyle w:val="TableGrid"/>
        <w:tblW w:type="dxa" w:w="9720"/>
        <w:jc w:val="center"/>
        <w:tblLayout w:type="fixed"/>
        <w:tblLook w:firstColumn="1" w:firstRow="1" w:lastColumn="0" w:lastRow="0" w:noHBand="0" w:noVBand="1" w:val="04A0"/>
        <w:tblInd w:type="dxa" w:w="120"/>
      </w:tblPr>
      <w:tblGrid>
        <w:gridCol w:w="2376"/>
        <w:gridCol w:w="7344"/>
      </w:tblGrid>
      <w:tr>
        <w:trPr>
          <w:cantSplit w:val="true"/>
          <w:tblHeader w:val="true"/>
        </w:trPr>
        <w:tc>
          <w:tcPr>
            <w:tcW w:type="dxa" w:w="2376"/>
            <w:shd w:fill="E8EEF5"/>
            <w:tcMar>
              <w:top w:w="80" w:type="dxa"/>
              <w:start w:w="120" w:type="dxa"/>
              <w:bottom w:w="80" w:type="dxa"/>
              <w:end w:w="120" w:type="dxa"/>
            </w:tcMar>
            <w:vAlign w:val="center"/>
          </w:tcPr>
          <w:p>
            <w:pPr>
              <w:spacing w:after="0"/>
            </w:pPr>
            <w:r>
              <w:rPr>
                <w:b/>
                <w:color w:val="16324F"/>
                <w:sz w:val="16"/>
              </w:rPr>
              <w:t>Architecture</w:t>
            </w:r>
          </w:p>
        </w:tc>
        <w:tc>
          <w:tcPr>
            <w:tcW w:type="dxa" w:w="7344"/>
            <w:shd w:fill="E8EEF5"/>
            <w:tcMar>
              <w:top w:w="80" w:type="dxa"/>
              <w:start w:w="120" w:type="dxa"/>
              <w:bottom w:w="80" w:type="dxa"/>
              <w:end w:w="120" w:type="dxa"/>
            </w:tcMar>
            <w:vAlign w:val="center"/>
          </w:tcPr>
          <w:p>
            <w:pPr>
              <w:spacing w:after="0"/>
            </w:pPr>
            <w:r>
              <w:rPr>
                <w:b/>
                <w:color w:val="16324F"/>
                <w:sz w:val="16"/>
              </w:rPr>
              <w:t>Variables to optimize</w:t>
            </w:r>
          </w:p>
        </w:tc>
      </w:tr>
      <w:tr>
        <w:trPr>
          <w:cantSplit w:val="true"/>
        </w:trPr>
        <w:tc>
          <w:tcPr>
            <w:tcW w:type="dxa" w:w="2376"/>
            <w:tcMar>
              <w:top w:w="80" w:type="dxa"/>
              <w:start w:w="120" w:type="dxa"/>
              <w:bottom w:w="80" w:type="dxa"/>
              <w:end w:w="120" w:type="dxa"/>
            </w:tcMar>
            <w:vAlign w:val="top"/>
          </w:tcPr>
          <w:p>
            <w:pPr>
              <w:spacing w:after="0"/>
            </w:pPr>
            <w:r>
              <w:rPr>
                <w:sz w:val="16"/>
              </w:rPr>
              <w:t>Safety stock</w:t>
            </w:r>
          </w:p>
        </w:tc>
        <w:tc>
          <w:tcPr>
            <w:tcW w:type="dxa" w:w="7344"/>
            <w:tcMar>
              <w:top w:w="80" w:type="dxa"/>
              <w:start w:w="120" w:type="dxa"/>
              <w:bottom w:w="80" w:type="dxa"/>
              <w:end w:w="120" w:type="dxa"/>
            </w:tcMar>
            <w:vAlign w:val="top"/>
          </w:tcPr>
          <w:p>
            <w:pPr>
              <w:spacing w:after="0"/>
            </w:pPr>
            <w:r>
              <w:rPr>
                <w:sz w:val="16"/>
              </w:rPr>
              <w:t>Days of supply, locations, rotation frequency, reorder point, target service level</w:t>
            </w:r>
          </w:p>
        </w:tc>
      </w:tr>
      <w:tr>
        <w:trPr>
          <w:cantSplit w:val="true"/>
        </w:trPr>
        <w:tc>
          <w:tcPr>
            <w:tcW w:type="dxa" w:w="2376"/>
            <w:tcMar>
              <w:top w:w="80" w:type="dxa"/>
              <w:start w:w="120" w:type="dxa"/>
              <w:bottom w:w="80" w:type="dxa"/>
              <w:end w:w="120" w:type="dxa"/>
            </w:tcMar>
            <w:vAlign w:val="top"/>
          </w:tcPr>
          <w:p>
            <w:pPr>
              <w:spacing w:after="0"/>
            </w:pPr>
            <w:r>
              <w:rPr>
                <w:sz w:val="16"/>
              </w:rPr>
              <w:t>Dual source</w:t>
            </w:r>
          </w:p>
        </w:tc>
        <w:tc>
          <w:tcPr>
            <w:tcW w:type="dxa" w:w="7344"/>
            <w:tcMar>
              <w:top w:w="80" w:type="dxa"/>
              <w:start w:w="120" w:type="dxa"/>
              <w:bottom w:w="80" w:type="dxa"/>
              <w:end w:w="120" w:type="dxa"/>
            </w:tcMar>
            <w:vAlign w:val="top"/>
          </w:tcPr>
          <w:p>
            <w:pPr>
              <w:spacing w:after="0"/>
            </w:pPr>
            <w:r>
              <w:rPr>
                <w:sz w:val="16"/>
              </w:rPr>
              <w:t>Allocation fraction, capacity reservation, independence constraints, inventory by source</w:t>
            </w:r>
          </w:p>
        </w:tc>
      </w:tr>
      <w:tr>
        <w:trPr>
          <w:cantSplit w:val="true"/>
        </w:trPr>
        <w:tc>
          <w:tcPr>
            <w:tcW w:type="dxa" w:w="2376"/>
            <w:tcMar>
              <w:top w:w="80" w:type="dxa"/>
              <w:start w:w="120" w:type="dxa"/>
              <w:bottom w:w="80" w:type="dxa"/>
              <w:end w:w="120" w:type="dxa"/>
            </w:tcMar>
            <w:vAlign w:val="top"/>
          </w:tcPr>
          <w:p>
            <w:pPr>
              <w:spacing w:after="0"/>
            </w:pPr>
            <w:r>
              <w:rPr>
                <w:sz w:val="16"/>
              </w:rPr>
              <w:t>Reserved capacity</w:t>
            </w:r>
          </w:p>
        </w:tc>
        <w:tc>
          <w:tcPr>
            <w:tcW w:type="dxa" w:w="7344"/>
            <w:tcMar>
              <w:top w:w="80" w:type="dxa"/>
              <w:start w:w="120" w:type="dxa"/>
              <w:bottom w:w="80" w:type="dxa"/>
              <w:end w:w="120" w:type="dxa"/>
            </w:tcMar>
            <w:vAlign w:val="top"/>
          </w:tcPr>
          <w:p>
            <w:pPr>
              <w:spacing w:after="0"/>
            </w:pPr>
            <w:r>
              <w:rPr>
                <w:sz w:val="16"/>
              </w:rPr>
              <w:t>Reserved fraction, activation threshold, minimum campaign, take-or-pay, product slate</w:t>
            </w:r>
          </w:p>
        </w:tc>
      </w:tr>
      <w:tr>
        <w:trPr>
          <w:cantSplit w:val="true"/>
        </w:trPr>
        <w:tc>
          <w:tcPr>
            <w:tcW w:type="dxa" w:w="2376"/>
            <w:tcMar>
              <w:top w:w="80" w:type="dxa"/>
              <w:start w:w="120" w:type="dxa"/>
              <w:bottom w:w="80" w:type="dxa"/>
              <w:end w:w="120" w:type="dxa"/>
            </w:tcMar>
            <w:vAlign w:val="top"/>
          </w:tcPr>
          <w:p>
            <w:pPr>
              <w:spacing w:after="0"/>
            </w:pPr>
            <w:r>
              <w:rPr>
                <w:sz w:val="16"/>
              </w:rPr>
              <w:t>Central expansion</w:t>
            </w:r>
          </w:p>
        </w:tc>
        <w:tc>
          <w:tcPr>
            <w:tcW w:type="dxa" w:w="7344"/>
            <w:tcMar>
              <w:top w:w="80" w:type="dxa"/>
              <w:start w:w="120" w:type="dxa"/>
              <w:bottom w:w="80" w:type="dxa"/>
              <w:end w:w="120" w:type="dxa"/>
            </w:tcMar>
            <w:vAlign w:val="top"/>
          </w:tcPr>
          <w:p>
            <w:pPr>
              <w:spacing w:after="0"/>
            </w:pPr>
            <w:r>
              <w:rPr>
                <w:sz w:val="16"/>
              </w:rPr>
              <w:t>Site size, spare capacity, campaign structure, stock placement</w:t>
            </w:r>
          </w:p>
        </w:tc>
      </w:tr>
      <w:tr>
        <w:trPr>
          <w:cantSplit w:val="true"/>
        </w:trPr>
        <w:tc>
          <w:tcPr>
            <w:tcW w:type="dxa" w:w="2376"/>
            <w:tcMar>
              <w:top w:w="80" w:type="dxa"/>
              <w:start w:w="120" w:type="dxa"/>
              <w:bottom w:w="80" w:type="dxa"/>
              <w:end w:w="120" w:type="dxa"/>
            </w:tcMar>
            <w:vAlign w:val="top"/>
          </w:tcPr>
          <w:p>
            <w:pPr>
              <w:spacing w:after="0"/>
            </w:pPr>
            <w:r>
              <w:rPr>
                <w:sz w:val="16"/>
              </w:rPr>
              <w:t>Distributed</w:t>
            </w:r>
          </w:p>
        </w:tc>
        <w:tc>
          <w:tcPr>
            <w:tcW w:type="dxa" w:w="7344"/>
            <w:tcMar>
              <w:top w:w="80" w:type="dxa"/>
              <w:start w:w="120" w:type="dxa"/>
              <w:bottom w:w="80" w:type="dxa"/>
              <w:end w:w="120" w:type="dxa"/>
            </w:tcMar>
            <w:vAlign w:val="top"/>
          </w:tcPr>
          <w:p>
            <w:pPr>
              <w:spacing w:after="0"/>
            </w:pPr>
            <w:r>
              <w:rPr>
                <w:sz w:val="16"/>
              </w:rPr>
              <w:t>Node count, node size, regional assignment, pooled overflow, common suppliers, safety stock, campaign schedule</w:t>
            </w:r>
          </w:p>
        </w:tc>
      </w:tr>
      <w:tr>
        <w:trPr>
          <w:cantSplit w:val="true"/>
        </w:trPr>
        <w:tc>
          <w:tcPr>
            <w:tcW w:type="dxa" w:w="2376"/>
            <w:tcMar>
              <w:top w:w="80" w:type="dxa"/>
              <w:start w:w="120" w:type="dxa"/>
              <w:bottom w:w="80" w:type="dxa"/>
              <w:end w:w="120" w:type="dxa"/>
            </w:tcMar>
            <w:vAlign w:val="top"/>
          </w:tcPr>
          <w:p>
            <w:pPr>
              <w:spacing w:after="0"/>
            </w:pPr>
            <w:r>
              <w:rPr>
                <w:sz w:val="16"/>
              </w:rPr>
              <w:t>503B</w:t>
            </w:r>
          </w:p>
        </w:tc>
        <w:tc>
          <w:tcPr>
            <w:tcW w:type="dxa" w:w="7344"/>
            <w:tcMar>
              <w:top w:w="80" w:type="dxa"/>
              <w:start w:w="120" w:type="dxa"/>
              <w:bottom w:w="80" w:type="dxa"/>
              <w:end w:w="120" w:type="dxa"/>
            </w:tcMar>
            <w:vAlign w:val="top"/>
          </w:tcPr>
          <w:p>
            <w:pPr>
              <w:spacing w:after="0"/>
            </w:pPr>
            <w:r>
              <w:rPr>
                <w:sz w:val="16"/>
              </w:rPr>
              <w:t>Eligible time windows, products/presentations, activation policy, BUD, jurisdictional reach</w:t>
            </w:r>
          </w:p>
        </w:tc>
      </w:tr>
    </w:tbl>
    <w:p>
      <w:pPr>
        <w:pStyle w:val="Heading1"/>
        <w:keepNext/>
        <w:keepLines/>
      </w:pPr>
      <w:r>
        <w:t>4. Regulatory and quality decision architecture</w:t>
      </w:r>
    </w:p>
    <w:p>
      <w:r>
        <w:t>Build a two-path decision map reviewed by a professional with actual generic-drug/CMC and 503B experience. Label it preliminary regulatory analysis. Do not infer permissions from a founder narrative, a proposed rule, or shortage status alone.</w:t>
      </w:r>
    </w:p>
    <w:p>
      <w:pPr>
        <w:pStyle w:val="Heading2"/>
        <w:keepNext/>
        <w:keepLines/>
      </w:pPr>
      <w:r>
        <w:t>4.1 Approved generic / contract-manufacturing path</w:t>
      </w:r>
    </w:p>
    <w:p>
      <w:pPr>
        <w:pStyle w:val="ListNumber"/>
      </w:pPr>
      <w:r>
        <w:t>Identify the application owner and exact product/application relationship in Drugs@FDA and the Orange Book.</w:t>
      </w:r>
    </w:p>
    <w:p>
      <w:pPr>
        <w:pStyle w:val="ListNumber"/>
      </w:pPr>
      <w:r>
        <w:t>Determine whether Telo would own/sponsor an application, act as a contract manufacturer for an owner, license a product, or supply a partner. State contractual and quality-unit responsibility.</w:t>
      </w:r>
    </w:p>
    <w:p>
      <w:pPr>
        <w:pStyle w:val="ListNumber"/>
      </w:pPr>
      <w:r>
        <w:t>Map each site and manufacturing step in the application; determine submission category, review/inspection needs, and implementation timing for each change or added site.</w:t>
      </w:r>
    </w:p>
    <w:p>
      <w:pPr>
        <w:pStyle w:val="ListNumber"/>
      </w:pPr>
      <w:r>
        <w:t>Define product and process development, control strategy, equipment qualification, process performance qualification, cleaning validation, analytical method transfer/validation, media fills/aseptic validation or terminal sterilization validation, container-closure integrity, stability, and continued process verification.</w:t>
      </w:r>
    </w:p>
    <w:p>
      <w:pPr>
        <w:pStyle w:val="ListNumber"/>
      </w:pPr>
      <w:r>
        <w:t>Map deviation, OOS, CAPA, change control, data integrity, batch disposition, recall, pharmacovigilance, and complaint responsibilities in the quality agreement.</w:t>
      </w:r>
    </w:p>
    <w:p>
      <w:pPr>
        <w:pStyle w:val="ListNumber"/>
      </w:pPr>
      <w:r>
        <w:t>Treat cross-site comparability and “statistical interchangeability” as claims requiring product/site evidence and agency engagement—not as automatic platform inheritance.</w:t>
      </w:r>
    </w:p>
    <w:p>
      <w:pPr>
        <w:pStyle w:val="Heading2"/>
        <w:keepNext/>
        <w:keepLines/>
      </w:pPr>
      <w:r>
        <w:t>4.2 503B shortage-response path</w:t>
      </w:r>
    </w:p>
    <w:p>
      <w:pPr>
        <w:pStyle w:val="ListBullet"/>
      </w:pPr>
      <w:r>
        <w:t>Verify facility registration, inspection/quality status, state permissions, and distribution rules.</w:t>
      </w:r>
    </w:p>
    <w:p>
      <w:pPr>
        <w:pStyle w:val="ListBullet"/>
      </w:pPr>
      <w:r>
        <w:t>Determine bulk-substance eligibility and the exact effect of FDA shortage-list status at compounding, distribution, and dispensing dates.</w:t>
      </w:r>
    </w:p>
    <w:p>
      <w:pPr>
        <w:pStyle w:val="ListBullet"/>
      </w:pPr>
      <w:r>
        <w:t>Analyze essentially-copy restrictions, clinical-difference exceptions, labeling, adverse-event reporting, and transition when a shortage resolves.</w:t>
      </w:r>
    </w:p>
    <w:p>
      <w:pPr>
        <w:pStyle w:val="ListBullet"/>
      </w:pPr>
      <w:r>
        <w:t>Support formulation, sterility, stability/BUD, container closure, testing, and release under applicable CGMP expectations.</w:t>
      </w:r>
    </w:p>
    <w:p>
      <w:pPr>
        <w:pStyle w:val="ListBullet"/>
      </w:pPr>
      <w:r>
        <w:t>Model this pathway as a state machine that can become unavailable; do not treat 503B output as an approved-generic supply source after legal predicates disappear.</w:t>
      </w:r>
    </w:p>
    <w:p>
      <w:pPr>
        <w:pStyle w:val="Heading2"/>
        <w:keepNext/>
        <w:keepLines/>
      </w:pPr>
      <w:r>
        <w:t>4.3 Distributed establishments and advanced manufacturing</w:t>
      </w:r>
    </w:p>
    <w:p>
      <w:r>
        <w:t>FDA's FRAME work and the Advanced Manufacturing Technologies Designation Program provide important engagement context, but they do not remove product approval, site, establishment, validation, inspection, or CGMP requirements. If citing the 2026 distributed-manufacturing-unit registration proposal, label it proposed and re-check final status before publication. The base case should not depend on a proposed rule becoming final in Telo's preferred form.</w:t>
      </w:r>
    </w:p>
    <w:p>
      <w:pPr>
        <w:pStyle w:val="Heading2"/>
        <w:keepNext/>
        <w:keepLines/>
      </w:pPr>
      <w:r>
        <w:t>4.4 Hard-gate matrix</w:t>
      </w:r>
    </w:p>
    <w:tbl>
      <w:tblPr>
        <w:tblStyle w:val="TableGrid"/>
        <w:tblW w:type="dxa" w:w="9720"/>
        <w:jc w:val="center"/>
        <w:tblLayout w:type="fixed"/>
        <w:tblLook w:firstColumn="1" w:firstRow="1" w:lastColumn="0" w:lastRow="0" w:noHBand="0" w:noVBand="1" w:val="04A0"/>
        <w:tblInd w:type="dxa" w:w="120"/>
      </w:tblPr>
      <w:tblGrid>
        <w:gridCol w:w="4320"/>
        <w:gridCol w:w="2088"/>
        <w:gridCol w:w="3312"/>
      </w:tblGrid>
      <w:tr>
        <w:trPr>
          <w:cantSplit w:val="true"/>
          <w:tblHeader w:val="true"/>
        </w:trPr>
        <w:tc>
          <w:tcPr>
            <w:tcW w:type="dxa" w:w="4320"/>
            <w:shd w:fill="E8EEF5"/>
            <w:tcMar>
              <w:top w:w="80" w:type="dxa"/>
              <w:start w:w="120" w:type="dxa"/>
              <w:bottom w:w="80" w:type="dxa"/>
              <w:end w:w="120" w:type="dxa"/>
            </w:tcMar>
            <w:vAlign w:val="center"/>
          </w:tcPr>
          <w:p>
            <w:pPr>
              <w:spacing w:after="0"/>
            </w:pPr>
            <w:r>
              <w:rPr>
                <w:b/>
                <w:color w:val="16324F"/>
                <w:sz w:val="16"/>
              </w:rPr>
              <w:t>Gate</w:t>
            </w:r>
          </w:p>
        </w:tc>
        <w:tc>
          <w:tcPr>
            <w:tcW w:type="dxa" w:w="2088"/>
            <w:shd w:fill="E8EEF5"/>
            <w:tcMar>
              <w:top w:w="80" w:type="dxa"/>
              <w:start w:w="120" w:type="dxa"/>
              <w:bottom w:w="80" w:type="dxa"/>
              <w:end w:w="120" w:type="dxa"/>
            </w:tcMar>
            <w:vAlign w:val="center"/>
          </w:tcPr>
          <w:p>
            <w:pPr>
              <w:spacing w:after="0"/>
            </w:pPr>
            <w:r>
              <w:rPr>
                <w:b/>
                <w:color w:val="16324F"/>
                <w:sz w:val="16"/>
              </w:rPr>
              <w:t>Pathway</w:t>
            </w:r>
          </w:p>
        </w:tc>
        <w:tc>
          <w:tcPr>
            <w:tcW w:type="dxa" w:w="3312"/>
            <w:shd w:fill="E8EEF5"/>
            <w:tcMar>
              <w:top w:w="80" w:type="dxa"/>
              <w:start w:w="120" w:type="dxa"/>
              <w:bottom w:w="80" w:type="dxa"/>
              <w:end w:w="120" w:type="dxa"/>
            </w:tcMar>
            <w:vAlign w:val="center"/>
          </w:tcPr>
          <w:p>
            <w:pPr>
              <w:spacing w:after="0"/>
            </w:pPr>
            <w:r>
              <w:rPr>
                <w:b/>
                <w:color w:val="16324F"/>
                <w:sz w:val="16"/>
              </w:rPr>
              <w:t>Model treatment</w:t>
            </w:r>
          </w:p>
        </w:tc>
      </w:tr>
      <w:tr>
        <w:trPr>
          <w:cantSplit w:val="true"/>
        </w:trPr>
        <w:tc>
          <w:tcPr>
            <w:tcW w:type="dxa" w:w="4320"/>
            <w:tcMar>
              <w:top w:w="80" w:type="dxa"/>
              <w:start w:w="120" w:type="dxa"/>
              <w:bottom w:w="80" w:type="dxa"/>
              <w:end w:w="120" w:type="dxa"/>
            </w:tcMar>
            <w:vAlign w:val="top"/>
          </w:tcPr>
          <w:p>
            <w:pPr>
              <w:spacing w:after="0"/>
            </w:pPr>
            <w:r>
              <w:rPr>
                <w:sz w:val="16"/>
              </w:rPr>
              <w:t>Application/quality owner identified</w:t>
            </w:r>
          </w:p>
        </w:tc>
        <w:tc>
          <w:tcPr>
            <w:tcW w:type="dxa" w:w="2088"/>
            <w:tcMar>
              <w:top w:w="80" w:type="dxa"/>
              <w:start w:w="120" w:type="dxa"/>
              <w:bottom w:w="80" w:type="dxa"/>
              <w:end w:w="120" w:type="dxa"/>
            </w:tcMar>
            <w:vAlign w:val="top"/>
          </w:tcPr>
          <w:p>
            <w:pPr>
              <w:spacing w:after="0"/>
            </w:pPr>
            <w:r>
              <w:rPr>
                <w:sz w:val="16"/>
              </w:rPr>
              <w:t>Approved/CMO</w:t>
            </w:r>
          </w:p>
        </w:tc>
        <w:tc>
          <w:tcPr>
            <w:tcW w:type="dxa" w:w="3312"/>
            <w:tcMar>
              <w:top w:w="80" w:type="dxa"/>
              <w:start w:w="120" w:type="dxa"/>
              <w:bottom w:w="80" w:type="dxa"/>
              <w:end w:w="120" w:type="dxa"/>
            </w:tcMar>
            <w:vAlign w:val="top"/>
          </w:tcPr>
          <w:p>
            <w:pPr>
              <w:spacing w:after="0"/>
            </w:pPr>
            <w:r>
              <w:rPr>
                <w:sz w:val="16"/>
              </w:rPr>
              <w:t>Fail = architecture excluded</w:t>
            </w:r>
          </w:p>
        </w:tc>
      </w:tr>
      <w:tr>
        <w:trPr>
          <w:cantSplit w:val="true"/>
        </w:trPr>
        <w:tc>
          <w:tcPr>
            <w:tcW w:type="dxa" w:w="4320"/>
            <w:tcMar>
              <w:top w:w="80" w:type="dxa"/>
              <w:start w:w="120" w:type="dxa"/>
              <w:bottom w:w="80" w:type="dxa"/>
              <w:end w:w="120" w:type="dxa"/>
            </w:tcMar>
            <w:vAlign w:val="top"/>
          </w:tcPr>
          <w:p>
            <w:pPr>
              <w:spacing w:after="0"/>
            </w:pPr>
            <w:r>
              <w:rPr>
                <w:sz w:val="16"/>
              </w:rPr>
              <w:t>Site and manufacturing steps supportable in application</w:t>
            </w:r>
          </w:p>
        </w:tc>
        <w:tc>
          <w:tcPr>
            <w:tcW w:type="dxa" w:w="2088"/>
            <w:tcMar>
              <w:top w:w="80" w:type="dxa"/>
              <w:start w:w="120" w:type="dxa"/>
              <w:bottom w:w="80" w:type="dxa"/>
              <w:end w:w="120" w:type="dxa"/>
            </w:tcMar>
            <w:vAlign w:val="top"/>
          </w:tcPr>
          <w:p>
            <w:pPr>
              <w:spacing w:after="0"/>
            </w:pPr>
            <w:r>
              <w:rPr>
                <w:sz w:val="16"/>
              </w:rPr>
              <w:t>Approved/CMO</w:t>
            </w:r>
          </w:p>
        </w:tc>
        <w:tc>
          <w:tcPr>
            <w:tcW w:type="dxa" w:w="3312"/>
            <w:tcMar>
              <w:top w:w="80" w:type="dxa"/>
              <w:start w:w="120" w:type="dxa"/>
              <w:bottom w:w="80" w:type="dxa"/>
              <w:end w:w="120" w:type="dxa"/>
            </w:tcMar>
            <w:vAlign w:val="top"/>
          </w:tcPr>
          <w:p>
            <w:pPr>
              <w:spacing w:after="0"/>
            </w:pPr>
            <w:r>
              <w:rPr>
                <w:sz w:val="16"/>
              </w:rPr>
              <w:t>Adds qualified lead time; unresolved = no conclusion</w:t>
            </w:r>
          </w:p>
        </w:tc>
      </w:tr>
      <w:tr>
        <w:trPr>
          <w:cantSplit w:val="true"/>
        </w:trPr>
        <w:tc>
          <w:tcPr>
            <w:tcW w:type="dxa" w:w="4320"/>
            <w:tcMar>
              <w:top w:w="80" w:type="dxa"/>
              <w:start w:w="120" w:type="dxa"/>
              <w:bottom w:w="80" w:type="dxa"/>
              <w:end w:w="120" w:type="dxa"/>
            </w:tcMar>
            <w:vAlign w:val="top"/>
          </w:tcPr>
          <w:p>
            <w:pPr>
              <w:spacing w:after="0"/>
            </w:pPr>
            <w:r>
              <w:rPr>
                <w:sz w:val="16"/>
              </w:rPr>
              <w:t>Process, cleaning, analytical, and aseptic/sterilization validation</w:t>
            </w:r>
          </w:p>
        </w:tc>
        <w:tc>
          <w:tcPr>
            <w:tcW w:type="dxa" w:w="2088"/>
            <w:tcMar>
              <w:top w:w="80" w:type="dxa"/>
              <w:start w:w="120" w:type="dxa"/>
              <w:bottom w:w="80" w:type="dxa"/>
              <w:end w:w="120" w:type="dxa"/>
            </w:tcMar>
            <w:vAlign w:val="top"/>
          </w:tcPr>
          <w:p>
            <w:pPr>
              <w:spacing w:after="0"/>
            </w:pPr>
            <w:r>
              <w:rPr>
                <w:sz w:val="16"/>
              </w:rPr>
              <w:t>Both</w:t>
            </w:r>
          </w:p>
        </w:tc>
        <w:tc>
          <w:tcPr>
            <w:tcW w:type="dxa" w:w="3312"/>
            <w:tcMar>
              <w:top w:w="80" w:type="dxa"/>
              <w:start w:w="120" w:type="dxa"/>
              <w:bottom w:w="80" w:type="dxa"/>
              <w:end w:w="120" w:type="dxa"/>
            </w:tcMar>
            <w:vAlign w:val="top"/>
          </w:tcPr>
          <w:p>
            <w:pPr>
              <w:spacing w:after="0"/>
            </w:pPr>
            <w:r>
              <w:rPr>
                <w:sz w:val="16"/>
              </w:rPr>
              <w:t>Hard feasibility condition</w:t>
            </w:r>
          </w:p>
        </w:tc>
      </w:tr>
      <w:tr>
        <w:trPr>
          <w:cantSplit w:val="true"/>
        </w:trPr>
        <w:tc>
          <w:tcPr>
            <w:tcW w:type="dxa" w:w="4320"/>
            <w:tcMar>
              <w:top w:w="80" w:type="dxa"/>
              <w:start w:w="120" w:type="dxa"/>
              <w:bottom w:w="80" w:type="dxa"/>
              <w:end w:w="120" w:type="dxa"/>
            </w:tcMar>
            <w:vAlign w:val="top"/>
          </w:tcPr>
          <w:p>
            <w:pPr>
              <w:spacing w:after="0"/>
            </w:pPr>
            <w:r>
              <w:rPr>
                <w:sz w:val="16"/>
              </w:rPr>
              <w:t>Stability and container-closure support</w:t>
            </w:r>
          </w:p>
        </w:tc>
        <w:tc>
          <w:tcPr>
            <w:tcW w:type="dxa" w:w="2088"/>
            <w:tcMar>
              <w:top w:w="80" w:type="dxa"/>
              <w:start w:w="120" w:type="dxa"/>
              <w:bottom w:w="80" w:type="dxa"/>
              <w:end w:w="120" w:type="dxa"/>
            </w:tcMar>
            <w:vAlign w:val="top"/>
          </w:tcPr>
          <w:p>
            <w:pPr>
              <w:spacing w:after="0"/>
            </w:pPr>
            <w:r>
              <w:rPr>
                <w:sz w:val="16"/>
              </w:rPr>
              <w:t>Both</w:t>
            </w:r>
          </w:p>
        </w:tc>
        <w:tc>
          <w:tcPr>
            <w:tcW w:type="dxa" w:w="3312"/>
            <w:tcMar>
              <w:top w:w="80" w:type="dxa"/>
              <w:start w:w="120" w:type="dxa"/>
              <w:bottom w:w="80" w:type="dxa"/>
              <w:end w:w="120" w:type="dxa"/>
            </w:tcMar>
            <w:vAlign w:val="top"/>
          </w:tcPr>
          <w:p>
            <w:pPr>
              <w:spacing w:after="0"/>
            </w:pPr>
            <w:r>
              <w:rPr>
                <w:sz w:val="16"/>
              </w:rPr>
              <w:t>Caps inventory, BUD/shelf life, and location policy</w:t>
            </w:r>
          </w:p>
        </w:tc>
      </w:tr>
      <w:tr>
        <w:trPr>
          <w:cantSplit w:val="true"/>
        </w:trPr>
        <w:tc>
          <w:tcPr>
            <w:tcW w:type="dxa" w:w="4320"/>
            <w:tcMar>
              <w:top w:w="80" w:type="dxa"/>
              <w:start w:w="120" w:type="dxa"/>
              <w:bottom w:w="80" w:type="dxa"/>
              <w:end w:w="120" w:type="dxa"/>
            </w:tcMar>
            <w:vAlign w:val="top"/>
          </w:tcPr>
          <w:p>
            <w:pPr>
              <w:spacing w:after="0"/>
            </w:pPr>
            <w:r>
              <w:rPr>
                <w:sz w:val="16"/>
              </w:rPr>
              <w:t>503B bulk/copy/shortage predicates</w:t>
            </w:r>
          </w:p>
        </w:tc>
        <w:tc>
          <w:tcPr>
            <w:tcW w:type="dxa" w:w="2088"/>
            <w:tcMar>
              <w:top w:w="80" w:type="dxa"/>
              <w:start w:w="120" w:type="dxa"/>
              <w:bottom w:w="80" w:type="dxa"/>
              <w:end w:w="120" w:type="dxa"/>
            </w:tcMar>
            <w:vAlign w:val="top"/>
          </w:tcPr>
          <w:p>
            <w:pPr>
              <w:spacing w:after="0"/>
            </w:pPr>
            <w:r>
              <w:rPr>
                <w:sz w:val="16"/>
              </w:rPr>
              <w:t>503B</w:t>
            </w:r>
          </w:p>
        </w:tc>
        <w:tc>
          <w:tcPr>
            <w:tcW w:type="dxa" w:w="3312"/>
            <w:tcMar>
              <w:top w:w="80" w:type="dxa"/>
              <w:start w:w="120" w:type="dxa"/>
              <w:bottom w:w="80" w:type="dxa"/>
              <w:end w:w="120" w:type="dxa"/>
            </w:tcMar>
            <w:vAlign w:val="top"/>
          </w:tcPr>
          <w:p>
            <w:pPr>
              <w:spacing w:after="0"/>
            </w:pPr>
            <w:r>
              <w:rPr>
                <w:sz w:val="16"/>
              </w:rPr>
              <w:t>Dynamic on/off state</w:t>
            </w:r>
          </w:p>
        </w:tc>
      </w:tr>
      <w:tr>
        <w:trPr>
          <w:cantSplit w:val="true"/>
        </w:trPr>
        <w:tc>
          <w:tcPr>
            <w:tcW w:type="dxa" w:w="4320"/>
            <w:tcMar>
              <w:top w:w="80" w:type="dxa"/>
              <w:start w:w="120" w:type="dxa"/>
              <w:bottom w:w="80" w:type="dxa"/>
              <w:end w:w="120" w:type="dxa"/>
            </w:tcMar>
            <w:vAlign w:val="top"/>
          </w:tcPr>
          <w:p>
            <w:pPr>
              <w:spacing w:after="0"/>
            </w:pPr>
            <w:r>
              <w:rPr>
                <w:sz w:val="16"/>
              </w:rPr>
              <w:t>State licensure/distribution permissions</w:t>
            </w:r>
          </w:p>
        </w:tc>
        <w:tc>
          <w:tcPr>
            <w:tcW w:type="dxa" w:w="2088"/>
            <w:tcMar>
              <w:top w:w="80" w:type="dxa"/>
              <w:start w:w="120" w:type="dxa"/>
              <w:bottom w:w="80" w:type="dxa"/>
              <w:end w:w="120" w:type="dxa"/>
            </w:tcMar>
            <w:vAlign w:val="top"/>
          </w:tcPr>
          <w:p>
            <w:pPr>
              <w:spacing w:after="0"/>
            </w:pPr>
            <w:r>
              <w:rPr>
                <w:sz w:val="16"/>
              </w:rPr>
              <w:t>503B/network</w:t>
            </w:r>
          </w:p>
        </w:tc>
        <w:tc>
          <w:tcPr>
            <w:tcW w:type="dxa" w:w="3312"/>
            <w:tcMar>
              <w:top w:w="80" w:type="dxa"/>
              <w:start w:w="120" w:type="dxa"/>
              <w:bottom w:w="80" w:type="dxa"/>
              <w:end w:w="120" w:type="dxa"/>
            </w:tcMar>
            <w:vAlign w:val="top"/>
          </w:tcPr>
          <w:p>
            <w:pPr>
              <w:spacing w:after="0"/>
            </w:pPr>
            <w:r>
              <w:rPr>
                <w:sz w:val="16"/>
              </w:rPr>
              <w:t>Restricts service region</w:t>
            </w:r>
          </w:p>
        </w:tc>
      </w:tr>
      <w:tr>
        <w:trPr>
          <w:cantSplit w:val="true"/>
        </w:trPr>
        <w:tc>
          <w:tcPr>
            <w:tcW w:type="dxa" w:w="4320"/>
            <w:tcMar>
              <w:top w:w="80" w:type="dxa"/>
              <w:start w:w="120" w:type="dxa"/>
              <w:bottom w:w="80" w:type="dxa"/>
              <w:end w:w="120" w:type="dxa"/>
            </w:tcMar>
            <w:vAlign w:val="top"/>
          </w:tcPr>
          <w:p>
            <w:pPr>
              <w:spacing w:after="0"/>
            </w:pPr>
            <w:r>
              <w:rPr>
                <w:sz w:val="16"/>
              </w:rPr>
              <w:t>AI/release model validated in state of control</w:t>
            </w:r>
          </w:p>
        </w:tc>
        <w:tc>
          <w:tcPr>
            <w:tcW w:type="dxa" w:w="2088"/>
            <w:tcMar>
              <w:top w:w="80" w:type="dxa"/>
              <w:start w:w="120" w:type="dxa"/>
              <w:bottom w:w="80" w:type="dxa"/>
              <w:end w:w="120" w:type="dxa"/>
            </w:tcMar>
            <w:vAlign w:val="top"/>
          </w:tcPr>
          <w:p>
            <w:pPr>
              <w:spacing w:after="0"/>
            </w:pPr>
            <w:r>
              <w:rPr>
                <w:sz w:val="16"/>
              </w:rPr>
              <w:t>Release-assurance scenario</w:t>
            </w:r>
          </w:p>
        </w:tc>
        <w:tc>
          <w:tcPr>
            <w:tcW w:type="dxa" w:w="3312"/>
            <w:tcMar>
              <w:top w:w="80" w:type="dxa"/>
              <w:start w:w="120" w:type="dxa"/>
              <w:bottom w:w="80" w:type="dxa"/>
              <w:end w:w="120" w:type="dxa"/>
            </w:tcMar>
            <w:vAlign w:val="top"/>
          </w:tcPr>
          <w:p>
            <w:pPr>
              <w:spacing w:after="0"/>
            </w:pPr>
            <w:r>
              <w:rPr>
                <w:sz w:val="16"/>
              </w:rPr>
              <w:t>If absent, use conventional release only</w:t>
            </w:r>
          </w:p>
        </w:tc>
      </w:tr>
      <w:tr>
        <w:trPr>
          <w:cantSplit w:val="true"/>
        </w:trPr>
        <w:tc>
          <w:tcPr>
            <w:tcW w:type="dxa" w:w="4320"/>
            <w:tcMar>
              <w:top w:w="80" w:type="dxa"/>
              <w:start w:w="120" w:type="dxa"/>
              <w:bottom w:w="80" w:type="dxa"/>
              <w:end w:w="120" w:type="dxa"/>
            </w:tcMar>
            <w:vAlign w:val="top"/>
          </w:tcPr>
          <w:p>
            <w:pPr>
              <w:spacing w:after="0"/>
            </w:pPr>
            <w:r>
              <w:rPr>
                <w:sz w:val="16"/>
              </w:rPr>
              <w:t>Cross-site comparability accepted</w:t>
            </w:r>
          </w:p>
        </w:tc>
        <w:tc>
          <w:tcPr>
            <w:tcW w:type="dxa" w:w="2088"/>
            <w:tcMar>
              <w:top w:w="80" w:type="dxa"/>
              <w:start w:w="120" w:type="dxa"/>
              <w:bottom w:w="80" w:type="dxa"/>
              <w:end w:w="120" w:type="dxa"/>
            </w:tcMar>
            <w:vAlign w:val="top"/>
          </w:tcPr>
          <w:p>
            <w:pPr>
              <w:spacing w:after="0"/>
            </w:pPr>
            <w:r>
              <w:rPr>
                <w:sz w:val="16"/>
              </w:rPr>
              <w:t>Distributed</w:t>
            </w:r>
          </w:p>
        </w:tc>
        <w:tc>
          <w:tcPr>
            <w:tcW w:type="dxa" w:w="3312"/>
            <w:tcMar>
              <w:top w:w="80" w:type="dxa"/>
              <w:start w:w="120" w:type="dxa"/>
              <w:bottom w:w="80" w:type="dxa"/>
              <w:end w:w="120" w:type="dxa"/>
            </w:tcMar>
            <w:vAlign w:val="top"/>
          </w:tcPr>
          <w:p>
            <w:pPr>
              <w:spacing w:after="0"/>
            </w:pPr>
            <w:r>
              <w:rPr>
                <w:sz w:val="16"/>
              </w:rPr>
              <w:t>No fleet-level equivalence claim if absent</w:t>
            </w:r>
          </w:p>
        </w:tc>
      </w:tr>
    </w:tbl>
    <w:p>
      <w:pPr>
        <w:pStyle w:val="Heading1"/>
        <w:keepNext/>
        <w:keepLines/>
      </w:pPr>
      <w:r>
        <w:t>5. Model boundary, network topology, and data architecture</w:t>
      </w:r>
    </w:p>
    <w:p>
      <w:pPr>
        <w:pStyle w:val="Heading2"/>
        <w:keepNext/>
        <w:keepLines/>
      </w:pPr>
      <w:r>
        <w:t>5.1 Scope and time resolution</w:t>
      </w:r>
    </w:p>
    <w:p>
      <w:r>
        <w:t>Use a daily time step for a five-year base horizon with warm-up sufficient to stabilize inventory and production queues. Run a weekly time-step sensitivity only after confirming it reproduces daily results. The stochastic network contains demand regions, hospitals or aggregated hospital classes, finished-goods inventories, manufacturing sites, batch queues, testing/release queues, API suppliers, critical component suppliers, distribution links, and regulatory availability states.</w:t>
      </w:r>
    </w:p>
    <w:p>
      <w:pPr>
        <w:pStyle w:val="Heading2"/>
        <w:keepNext/>
        <w:keepLines/>
      </w:pPr>
      <w:r>
        <w:t>5.2 Boundary choices to freeze</w:t>
      </w:r>
    </w:p>
    <w:tbl>
      <w:tblPr>
        <w:tblStyle w:val="TableGrid"/>
        <w:tblW w:type="dxa" w:w="9720"/>
        <w:jc w:val="center"/>
        <w:tblLayout w:type="fixed"/>
        <w:tblLook w:firstColumn="1" w:firstRow="1" w:lastColumn="0" w:lastRow="0" w:noHBand="0" w:noVBand="1" w:val="04A0"/>
        <w:tblInd w:type="dxa" w:w="120"/>
      </w:tblPr>
      <w:tblGrid>
        <w:gridCol w:w="1800"/>
        <w:gridCol w:w="7920"/>
      </w:tblGrid>
      <w:tr>
        <w:trPr>
          <w:cantSplit w:val="true"/>
          <w:tblHeader w:val="true"/>
        </w:trPr>
        <w:tc>
          <w:tcPr>
            <w:tcW w:type="dxa" w:w="1800"/>
            <w:shd w:fill="E8EEF5"/>
            <w:tcMar>
              <w:top w:w="80" w:type="dxa"/>
              <w:start w:w="120" w:type="dxa"/>
              <w:bottom w:w="80" w:type="dxa"/>
              <w:end w:w="120" w:type="dxa"/>
            </w:tcMar>
            <w:vAlign w:val="center"/>
          </w:tcPr>
          <w:p>
            <w:pPr>
              <w:spacing w:after="0"/>
            </w:pPr>
            <w:r>
              <w:rPr>
                <w:b/>
                <w:color w:val="16324F"/>
                <w:sz w:val="16"/>
              </w:rPr>
              <w:t>Boundary</w:t>
            </w:r>
          </w:p>
        </w:tc>
        <w:tc>
          <w:tcPr>
            <w:tcW w:type="dxa" w:w="7920"/>
            <w:shd w:fill="E8EEF5"/>
            <w:tcMar>
              <w:top w:w="80" w:type="dxa"/>
              <w:start w:w="120" w:type="dxa"/>
              <w:bottom w:w="80" w:type="dxa"/>
              <w:end w:w="120" w:type="dxa"/>
            </w:tcMar>
            <w:vAlign w:val="center"/>
          </w:tcPr>
          <w:p>
            <w:pPr>
              <w:spacing w:after="0"/>
            </w:pPr>
            <w:r>
              <w:rPr>
                <w:b/>
                <w:color w:val="16324F"/>
                <w:sz w:val="16"/>
              </w:rPr>
              <w:t>Base definition</w:t>
            </w:r>
          </w:p>
        </w:tc>
      </w:tr>
      <w:tr>
        <w:trPr>
          <w:cantSplit w:val="true"/>
        </w:trPr>
        <w:tc>
          <w:tcPr>
            <w:tcW w:type="dxa" w:w="1800"/>
            <w:tcMar>
              <w:top w:w="80" w:type="dxa"/>
              <w:start w:w="120" w:type="dxa"/>
              <w:bottom w:w="80" w:type="dxa"/>
              <w:end w:w="120" w:type="dxa"/>
            </w:tcMar>
            <w:vAlign w:val="top"/>
          </w:tcPr>
          <w:p>
            <w:pPr>
              <w:spacing w:after="0"/>
            </w:pPr>
            <w:r>
              <w:rPr>
                <w:sz w:val="16"/>
              </w:rPr>
              <w:t>Geography</w:t>
            </w:r>
          </w:p>
        </w:tc>
        <w:tc>
          <w:tcPr>
            <w:tcW w:type="dxa" w:w="7920"/>
            <w:tcMar>
              <w:top w:w="80" w:type="dxa"/>
              <w:start w:w="120" w:type="dxa"/>
              <w:bottom w:w="80" w:type="dxa"/>
              <w:end w:w="120" w:type="dxa"/>
            </w:tcMar>
            <w:vAlign w:val="top"/>
          </w:tcPr>
          <w:p>
            <w:pPr>
              <w:spacing w:after="0"/>
            </w:pPr>
            <w:r>
              <w:rPr>
                <w:sz w:val="16"/>
              </w:rPr>
              <w:t>Four U.S. demand regions in base case; sensitivity from 3–8; region definition must follow data and distribution practice</w:t>
            </w:r>
          </w:p>
        </w:tc>
      </w:tr>
      <w:tr>
        <w:trPr>
          <w:cantSplit w:val="true"/>
        </w:trPr>
        <w:tc>
          <w:tcPr>
            <w:tcW w:type="dxa" w:w="1800"/>
            <w:tcMar>
              <w:top w:w="80" w:type="dxa"/>
              <w:start w:w="120" w:type="dxa"/>
              <w:bottom w:w="80" w:type="dxa"/>
              <w:end w:w="120" w:type="dxa"/>
            </w:tcMar>
            <w:vAlign w:val="top"/>
          </w:tcPr>
          <w:p>
            <w:pPr>
              <w:spacing w:after="0"/>
            </w:pPr>
            <w:r>
              <w:rPr>
                <w:sz w:val="16"/>
              </w:rPr>
              <w:t>Demand</w:t>
            </w:r>
          </w:p>
        </w:tc>
        <w:tc>
          <w:tcPr>
            <w:tcW w:type="dxa" w:w="7920"/>
            <w:tcMar>
              <w:top w:w="80" w:type="dxa"/>
              <w:start w:w="120" w:type="dxa"/>
              <w:bottom w:w="80" w:type="dxa"/>
              <w:end w:w="120" w:type="dxa"/>
            </w:tcMar>
            <w:vAlign w:val="top"/>
          </w:tcPr>
          <w:p>
            <w:pPr>
              <w:spacing w:after="0"/>
            </w:pPr>
            <w:r>
              <w:rPr>
                <w:sz w:val="16"/>
              </w:rPr>
              <w:t>Presentation-specific units; do not combine concentrations or packages without explicit conversion/substitutability</w:t>
            </w:r>
          </w:p>
        </w:tc>
      </w:tr>
      <w:tr>
        <w:trPr>
          <w:cantSplit w:val="true"/>
        </w:trPr>
        <w:tc>
          <w:tcPr>
            <w:tcW w:type="dxa" w:w="1800"/>
            <w:tcMar>
              <w:top w:w="80" w:type="dxa"/>
              <w:start w:w="120" w:type="dxa"/>
              <w:bottom w:w="80" w:type="dxa"/>
              <w:end w:w="120" w:type="dxa"/>
            </w:tcMar>
            <w:vAlign w:val="top"/>
          </w:tcPr>
          <w:p>
            <w:pPr>
              <w:spacing w:after="0"/>
            </w:pPr>
            <w:r>
              <w:rPr>
                <w:sz w:val="16"/>
              </w:rPr>
              <w:t>Production</w:t>
            </w:r>
          </w:p>
        </w:tc>
        <w:tc>
          <w:tcPr>
            <w:tcW w:type="dxa" w:w="7920"/>
            <w:tcMar>
              <w:top w:w="80" w:type="dxa"/>
              <w:start w:w="120" w:type="dxa"/>
              <w:bottom w:w="80" w:type="dxa"/>
              <w:end w:w="120" w:type="dxa"/>
            </w:tcMar>
            <w:vAlign w:val="top"/>
          </w:tcPr>
          <w:p>
            <w:pPr>
              <w:spacing w:after="0"/>
            </w:pPr>
            <w:r>
              <w:rPr>
                <w:sz w:val="16"/>
              </w:rPr>
              <w:t>Formulation, sterile filtration where applicable, filling, inspection, testing, release, scrap, cleaning/changeover</w:t>
            </w:r>
          </w:p>
        </w:tc>
      </w:tr>
      <w:tr>
        <w:trPr>
          <w:cantSplit w:val="true"/>
        </w:trPr>
        <w:tc>
          <w:tcPr>
            <w:tcW w:type="dxa" w:w="1800"/>
            <w:tcMar>
              <w:top w:w="80" w:type="dxa"/>
              <w:start w:w="120" w:type="dxa"/>
              <w:bottom w:w="80" w:type="dxa"/>
              <w:end w:w="120" w:type="dxa"/>
            </w:tcMar>
            <w:vAlign w:val="top"/>
          </w:tcPr>
          <w:p>
            <w:pPr>
              <w:spacing w:after="0"/>
            </w:pPr>
            <w:r>
              <w:rPr>
                <w:sz w:val="16"/>
              </w:rPr>
              <w:t>Upstream</w:t>
            </w:r>
          </w:p>
        </w:tc>
        <w:tc>
          <w:tcPr>
            <w:tcW w:type="dxa" w:w="7920"/>
            <w:tcMar>
              <w:top w:w="80" w:type="dxa"/>
              <w:start w:w="120" w:type="dxa"/>
              <w:bottom w:w="80" w:type="dxa"/>
              <w:end w:w="120" w:type="dxa"/>
            </w:tcMar>
            <w:vAlign w:val="top"/>
          </w:tcPr>
          <w:p>
            <w:pPr>
              <w:spacing w:after="0"/>
            </w:pPr>
            <w:r>
              <w:rPr>
                <w:sz w:val="16"/>
              </w:rPr>
              <w:t>Qualified API and critical components represented as suppliers with lead times, capacity, and common-cause group</w:t>
            </w:r>
          </w:p>
        </w:tc>
      </w:tr>
      <w:tr>
        <w:trPr>
          <w:cantSplit w:val="true"/>
        </w:trPr>
        <w:tc>
          <w:tcPr>
            <w:tcW w:type="dxa" w:w="1800"/>
            <w:tcMar>
              <w:top w:w="80" w:type="dxa"/>
              <w:start w:w="120" w:type="dxa"/>
              <w:bottom w:w="80" w:type="dxa"/>
              <w:end w:w="120" w:type="dxa"/>
            </w:tcMar>
            <w:vAlign w:val="top"/>
          </w:tcPr>
          <w:p>
            <w:pPr>
              <w:spacing w:after="0"/>
            </w:pPr>
            <w:r>
              <w:rPr>
                <w:sz w:val="16"/>
              </w:rPr>
              <w:t>Downstream</w:t>
            </w:r>
          </w:p>
        </w:tc>
        <w:tc>
          <w:tcPr>
            <w:tcW w:type="dxa" w:w="7920"/>
            <w:tcMar>
              <w:top w:w="80" w:type="dxa"/>
              <w:start w:w="120" w:type="dxa"/>
              <w:bottom w:w="80" w:type="dxa"/>
              <w:end w:w="120" w:type="dxa"/>
            </w:tcMar>
            <w:vAlign w:val="top"/>
          </w:tcPr>
          <w:p>
            <w:pPr>
              <w:spacing w:after="0"/>
            </w:pPr>
            <w:r>
              <w:rPr>
                <w:sz w:val="16"/>
              </w:rPr>
              <w:t>Distribution center or direct-to-hospital policy, transport time, allocation, substitution, expiry</w:t>
            </w:r>
          </w:p>
        </w:tc>
      </w:tr>
      <w:tr>
        <w:trPr>
          <w:cantSplit w:val="true"/>
        </w:trPr>
        <w:tc>
          <w:tcPr>
            <w:tcW w:type="dxa" w:w="1800"/>
            <w:tcMar>
              <w:top w:w="80" w:type="dxa"/>
              <w:start w:w="120" w:type="dxa"/>
              <w:bottom w:w="80" w:type="dxa"/>
              <w:end w:w="120" w:type="dxa"/>
            </w:tcMar>
            <w:vAlign w:val="top"/>
          </w:tcPr>
          <w:p>
            <w:pPr>
              <w:spacing w:after="0"/>
            </w:pPr>
            <w:r>
              <w:rPr>
                <w:sz w:val="16"/>
              </w:rPr>
              <w:t>Quality</w:t>
            </w:r>
          </w:p>
        </w:tc>
        <w:tc>
          <w:tcPr>
            <w:tcW w:type="dxa" w:w="7920"/>
            <w:tcMar>
              <w:top w:w="80" w:type="dxa"/>
              <w:start w:w="120" w:type="dxa"/>
              <w:bottom w:w="80" w:type="dxa"/>
              <w:end w:w="120" w:type="dxa"/>
            </w:tcMar>
            <w:vAlign w:val="top"/>
          </w:tcPr>
          <w:p>
            <w:pPr>
              <w:spacing w:after="0"/>
            </w:pPr>
            <w:r>
              <w:rPr>
                <w:sz w:val="16"/>
              </w:rPr>
              <w:t>Deviation/rejection, testing queues, release time, model abstention, state-of-control loss</w:t>
            </w:r>
          </w:p>
        </w:tc>
      </w:tr>
      <w:tr>
        <w:trPr>
          <w:cantSplit w:val="true"/>
        </w:trPr>
        <w:tc>
          <w:tcPr>
            <w:tcW w:type="dxa" w:w="1800"/>
            <w:tcMar>
              <w:top w:w="80" w:type="dxa"/>
              <w:start w:w="120" w:type="dxa"/>
              <w:bottom w:w="80" w:type="dxa"/>
              <w:end w:w="120" w:type="dxa"/>
            </w:tcMar>
            <w:vAlign w:val="top"/>
          </w:tcPr>
          <w:p>
            <w:pPr>
              <w:spacing w:after="0"/>
            </w:pPr>
            <w:r>
              <w:rPr>
                <w:sz w:val="16"/>
              </w:rPr>
              <w:t>Regulation</w:t>
            </w:r>
          </w:p>
        </w:tc>
        <w:tc>
          <w:tcPr>
            <w:tcW w:type="dxa" w:w="7920"/>
            <w:tcMar>
              <w:top w:w="80" w:type="dxa"/>
              <w:start w:w="120" w:type="dxa"/>
              <w:bottom w:w="80" w:type="dxa"/>
              <w:end w:w="120" w:type="dxa"/>
            </w:tcMar>
            <w:vAlign w:val="top"/>
          </w:tcPr>
          <w:p>
            <w:pPr>
              <w:spacing w:after="0"/>
            </w:pPr>
            <w:r>
              <w:rPr>
                <w:sz w:val="16"/>
              </w:rPr>
              <w:t>Pathway availability, site qualification, shortage-list state for 503B, and implementation delay</w:t>
            </w:r>
          </w:p>
        </w:tc>
      </w:tr>
      <w:tr>
        <w:trPr>
          <w:cantSplit w:val="true"/>
        </w:trPr>
        <w:tc>
          <w:tcPr>
            <w:tcW w:type="dxa" w:w="1800"/>
            <w:tcMar>
              <w:top w:w="80" w:type="dxa"/>
              <w:start w:w="120" w:type="dxa"/>
              <w:bottom w:w="80" w:type="dxa"/>
              <w:end w:w="120" w:type="dxa"/>
            </w:tcMar>
            <w:vAlign w:val="top"/>
          </w:tcPr>
          <w:p>
            <w:pPr>
              <w:spacing w:after="0"/>
            </w:pPr>
            <w:r>
              <w:rPr>
                <w:sz w:val="16"/>
              </w:rPr>
              <w:t>Economics</w:t>
            </w:r>
          </w:p>
        </w:tc>
        <w:tc>
          <w:tcPr>
            <w:tcW w:type="dxa" w:w="7920"/>
            <w:tcMar>
              <w:top w:w="80" w:type="dxa"/>
              <w:start w:w="120" w:type="dxa"/>
              <w:bottom w:w="80" w:type="dxa"/>
              <w:end w:w="120" w:type="dxa"/>
            </w:tcMar>
            <w:vAlign w:val="top"/>
          </w:tcPr>
          <w:p>
            <w:pPr>
              <w:spacing w:after="0"/>
            </w:pPr>
            <w:r>
              <w:rPr>
                <w:sz w:val="16"/>
              </w:rPr>
              <w:t>Societal/purchaser supply cost primary; provider operational harm may be a secondary scenario, not an invented patient-dollar value</w:t>
            </w:r>
          </w:p>
        </w:tc>
      </w:tr>
    </w:tbl>
    <w:p>
      <w:pPr>
        <w:pStyle w:val="Heading2"/>
        <w:keepNext/>
        <w:keepLines/>
      </w:pPr>
      <w:r>
        <w:t>5.3 Data hierarchy</w:t>
      </w:r>
    </w:p>
    <w:tbl>
      <w:tblPr>
        <w:tblStyle w:val="TableGrid"/>
        <w:tblW w:type="dxa" w:w="9720"/>
        <w:jc w:val="center"/>
        <w:tblLayout w:type="fixed"/>
        <w:tblLook w:firstColumn="1" w:firstRow="1" w:lastColumn="0" w:lastRow="0" w:noHBand="0" w:noVBand="1" w:val="04A0"/>
        <w:tblInd w:type="dxa" w:w="120"/>
      </w:tblPr>
      <w:tblGrid>
        <w:gridCol w:w="936"/>
        <w:gridCol w:w="3024"/>
        <w:gridCol w:w="5760"/>
      </w:tblGrid>
      <w:tr>
        <w:trPr>
          <w:cantSplit w:val="true"/>
          <w:tblHeader w:val="true"/>
        </w:trPr>
        <w:tc>
          <w:tcPr>
            <w:tcW w:type="dxa" w:w="936"/>
            <w:shd w:fill="E8EEF5"/>
            <w:tcMar>
              <w:top w:w="80" w:type="dxa"/>
              <w:start w:w="120" w:type="dxa"/>
              <w:bottom w:w="80" w:type="dxa"/>
              <w:end w:w="120" w:type="dxa"/>
            </w:tcMar>
            <w:vAlign w:val="center"/>
          </w:tcPr>
          <w:p>
            <w:pPr>
              <w:spacing w:after="0"/>
            </w:pPr>
            <w:r>
              <w:rPr>
                <w:b/>
                <w:color w:val="16324F"/>
                <w:sz w:val="16"/>
              </w:rPr>
              <w:t>Tier</w:t>
            </w:r>
          </w:p>
        </w:tc>
        <w:tc>
          <w:tcPr>
            <w:tcW w:type="dxa" w:w="3024"/>
            <w:shd w:fill="E8EEF5"/>
            <w:tcMar>
              <w:top w:w="80" w:type="dxa"/>
              <w:start w:w="120" w:type="dxa"/>
              <w:bottom w:w="80" w:type="dxa"/>
              <w:end w:w="120" w:type="dxa"/>
            </w:tcMar>
            <w:vAlign w:val="center"/>
          </w:tcPr>
          <w:p>
            <w:pPr>
              <w:spacing w:after="0"/>
            </w:pPr>
            <w:r>
              <w:rPr>
                <w:b/>
                <w:color w:val="16324F"/>
                <w:sz w:val="16"/>
              </w:rPr>
              <w:t>Evidence</w:t>
            </w:r>
          </w:p>
        </w:tc>
        <w:tc>
          <w:tcPr>
            <w:tcW w:type="dxa" w:w="5760"/>
            <w:shd w:fill="E8EEF5"/>
            <w:tcMar>
              <w:top w:w="80" w:type="dxa"/>
              <w:start w:w="120" w:type="dxa"/>
              <w:bottom w:w="80" w:type="dxa"/>
              <w:end w:w="120" w:type="dxa"/>
            </w:tcMar>
            <w:vAlign w:val="center"/>
          </w:tcPr>
          <w:p>
            <w:pPr>
              <w:spacing w:after="0"/>
            </w:pPr>
            <w:r>
              <w:rPr>
                <w:b/>
                <w:color w:val="16324F"/>
                <w:sz w:val="16"/>
              </w:rPr>
              <w:t>Examples</w:t>
            </w:r>
          </w:p>
        </w:tc>
      </w:tr>
      <w:tr>
        <w:trPr>
          <w:cantSplit w:val="true"/>
        </w:trPr>
        <w:tc>
          <w:tcPr>
            <w:tcW w:type="dxa" w:w="936"/>
            <w:tcMar>
              <w:top w:w="80" w:type="dxa"/>
              <w:start w:w="120" w:type="dxa"/>
              <w:bottom w:w="80" w:type="dxa"/>
              <w:end w:w="120" w:type="dxa"/>
            </w:tcMar>
            <w:vAlign w:val="top"/>
          </w:tcPr>
          <w:p>
            <w:pPr>
              <w:spacing w:after="0"/>
            </w:pPr>
            <w:r>
              <w:rPr>
                <w:sz w:val="16"/>
              </w:rPr>
              <w:t>Tier 1</w:t>
            </w:r>
          </w:p>
        </w:tc>
        <w:tc>
          <w:tcPr>
            <w:tcW w:type="dxa" w:w="3024"/>
            <w:tcMar>
              <w:top w:w="80" w:type="dxa"/>
              <w:start w:w="120" w:type="dxa"/>
              <w:bottom w:w="80" w:type="dxa"/>
              <w:end w:w="120" w:type="dxa"/>
            </w:tcMar>
            <w:vAlign w:val="top"/>
          </w:tcPr>
          <w:p>
            <w:pPr>
              <w:spacing w:after="0"/>
            </w:pPr>
            <w:r>
              <w:rPr>
                <w:sz w:val="16"/>
              </w:rPr>
              <w:t>Legal/regulatory and official product/shortage records</w:t>
            </w:r>
          </w:p>
        </w:tc>
        <w:tc>
          <w:tcPr>
            <w:tcW w:type="dxa" w:w="5760"/>
            <w:tcMar>
              <w:top w:w="80" w:type="dxa"/>
              <w:start w:w="120" w:type="dxa"/>
              <w:bottom w:w="80" w:type="dxa"/>
              <w:end w:w="120" w:type="dxa"/>
            </w:tcMar>
            <w:vAlign w:val="top"/>
          </w:tcPr>
          <w:p>
            <w:pPr>
              <w:spacing w:after="0"/>
            </w:pPr>
            <w:r>
              <w:rPr>
                <w:sz w:val="16"/>
              </w:rPr>
              <w:t>eCFR, FDA guidance and databases, Drugs@FDA, Orange Book, DailyMed</w:t>
            </w:r>
          </w:p>
        </w:tc>
      </w:tr>
      <w:tr>
        <w:trPr>
          <w:cantSplit w:val="true"/>
        </w:trPr>
        <w:tc>
          <w:tcPr>
            <w:tcW w:type="dxa" w:w="936"/>
            <w:tcMar>
              <w:top w:w="80" w:type="dxa"/>
              <w:start w:w="120" w:type="dxa"/>
              <w:bottom w:w="80" w:type="dxa"/>
              <w:end w:w="120" w:type="dxa"/>
            </w:tcMar>
            <w:vAlign w:val="top"/>
          </w:tcPr>
          <w:p>
            <w:pPr>
              <w:spacing w:after="0"/>
            </w:pPr>
            <w:r>
              <w:rPr>
                <w:sz w:val="16"/>
              </w:rPr>
              <w:t>Tier 2</w:t>
            </w:r>
          </w:p>
        </w:tc>
        <w:tc>
          <w:tcPr>
            <w:tcW w:type="dxa" w:w="3024"/>
            <w:tcMar>
              <w:top w:w="80" w:type="dxa"/>
              <w:start w:w="120" w:type="dxa"/>
              <w:bottom w:w="80" w:type="dxa"/>
              <w:end w:w="120" w:type="dxa"/>
            </w:tcMar>
            <w:vAlign w:val="top"/>
          </w:tcPr>
          <w:p>
            <w:pPr>
              <w:spacing w:after="0"/>
            </w:pPr>
            <w:r>
              <w:rPr>
                <w:sz w:val="16"/>
              </w:rPr>
              <w:t>Direct operational evidence</w:t>
            </w:r>
          </w:p>
        </w:tc>
        <w:tc>
          <w:tcPr>
            <w:tcW w:type="dxa" w:w="5760"/>
            <w:tcMar>
              <w:top w:w="80" w:type="dxa"/>
              <w:start w:w="120" w:type="dxa"/>
              <w:bottom w:w="80" w:type="dxa"/>
              <w:end w:w="120" w:type="dxa"/>
            </w:tcMar>
            <w:vAlign w:val="top"/>
          </w:tcPr>
          <w:p>
            <w:pPr>
              <w:spacing w:after="0"/>
            </w:pPr>
            <w:r>
              <w:rPr>
                <w:sz w:val="16"/>
              </w:rPr>
              <w:t>Executed contracts, quotes, plant batch history, deviation/release logs, hospital/GPO/wholesaler demand</w:t>
            </w:r>
          </w:p>
        </w:tc>
      </w:tr>
      <w:tr>
        <w:trPr>
          <w:cantSplit w:val="true"/>
        </w:trPr>
        <w:tc>
          <w:tcPr>
            <w:tcW w:type="dxa" w:w="936"/>
            <w:tcMar>
              <w:top w:w="80" w:type="dxa"/>
              <w:start w:w="120" w:type="dxa"/>
              <w:bottom w:w="80" w:type="dxa"/>
              <w:end w:w="120" w:type="dxa"/>
            </w:tcMar>
            <w:vAlign w:val="top"/>
          </w:tcPr>
          <w:p>
            <w:pPr>
              <w:spacing w:after="0"/>
            </w:pPr>
            <w:r>
              <w:rPr>
                <w:sz w:val="16"/>
              </w:rPr>
              <w:t>Tier 3</w:t>
            </w:r>
          </w:p>
        </w:tc>
        <w:tc>
          <w:tcPr>
            <w:tcW w:type="dxa" w:w="3024"/>
            <w:tcMar>
              <w:top w:w="80" w:type="dxa"/>
              <w:start w:w="120" w:type="dxa"/>
              <w:bottom w:w="80" w:type="dxa"/>
              <w:end w:w="120" w:type="dxa"/>
            </w:tcMar>
            <w:vAlign w:val="top"/>
          </w:tcPr>
          <w:p>
            <w:pPr>
              <w:spacing w:after="0"/>
            </w:pPr>
            <w:r>
              <w:rPr>
                <w:sz w:val="16"/>
              </w:rPr>
              <w:t>Peer-reviewed empirical evidence</w:t>
            </w:r>
          </w:p>
        </w:tc>
        <w:tc>
          <w:tcPr>
            <w:tcW w:type="dxa" w:w="5760"/>
            <w:tcMar>
              <w:top w:w="80" w:type="dxa"/>
              <w:start w:w="120" w:type="dxa"/>
              <w:bottom w:w="80" w:type="dxa"/>
              <w:end w:w="120" w:type="dxa"/>
            </w:tcMar>
            <w:vAlign w:val="top"/>
          </w:tcPr>
          <w:p>
            <w:pPr>
              <w:spacing w:after="0"/>
            </w:pPr>
            <w:r>
              <w:rPr>
                <w:sz w:val="16"/>
              </w:rPr>
              <w:t>Recovery, resilience, inventory, and supply-network research</w:t>
            </w:r>
          </w:p>
        </w:tc>
      </w:tr>
      <w:tr>
        <w:trPr>
          <w:cantSplit w:val="true"/>
        </w:trPr>
        <w:tc>
          <w:tcPr>
            <w:tcW w:type="dxa" w:w="936"/>
            <w:tcMar>
              <w:top w:w="80" w:type="dxa"/>
              <w:start w:w="120" w:type="dxa"/>
              <w:bottom w:w="80" w:type="dxa"/>
              <w:end w:w="120" w:type="dxa"/>
            </w:tcMar>
            <w:vAlign w:val="top"/>
          </w:tcPr>
          <w:p>
            <w:pPr>
              <w:spacing w:after="0"/>
            </w:pPr>
            <w:r>
              <w:rPr>
                <w:sz w:val="16"/>
              </w:rPr>
              <w:t>Tier 4</w:t>
            </w:r>
          </w:p>
        </w:tc>
        <w:tc>
          <w:tcPr>
            <w:tcW w:type="dxa" w:w="3024"/>
            <w:tcMar>
              <w:top w:w="80" w:type="dxa"/>
              <w:start w:w="120" w:type="dxa"/>
              <w:bottom w:w="80" w:type="dxa"/>
              <w:end w:w="120" w:type="dxa"/>
            </w:tcMar>
            <w:vAlign w:val="top"/>
          </w:tcPr>
          <w:p>
            <w:pPr>
              <w:spacing w:after="0"/>
            </w:pPr>
            <w:r>
              <w:rPr>
                <w:sz w:val="16"/>
              </w:rPr>
              <w:t>Qualified expert elicitation</w:t>
            </w:r>
          </w:p>
        </w:tc>
        <w:tc>
          <w:tcPr>
            <w:tcW w:type="dxa" w:w="5760"/>
            <w:tcMar>
              <w:top w:w="80" w:type="dxa"/>
              <w:start w:w="120" w:type="dxa"/>
              <w:bottom w:w="80" w:type="dxa"/>
              <w:end w:w="120" w:type="dxa"/>
            </w:tcMar>
            <w:vAlign w:val="top"/>
          </w:tcPr>
          <w:p>
            <w:pPr>
              <w:spacing w:after="0"/>
            </w:pPr>
            <w:r>
              <w:rPr>
                <w:sz w:val="16"/>
              </w:rPr>
              <w:t>Structured ranges with role, experience, confidence, rationale, and disagreement</w:t>
            </w:r>
          </w:p>
        </w:tc>
      </w:tr>
      <w:tr>
        <w:trPr>
          <w:cantSplit w:val="true"/>
        </w:trPr>
        <w:tc>
          <w:tcPr>
            <w:tcW w:type="dxa" w:w="936"/>
            <w:tcMar>
              <w:top w:w="80" w:type="dxa"/>
              <w:start w:w="120" w:type="dxa"/>
              <w:bottom w:w="80" w:type="dxa"/>
              <w:end w:w="120" w:type="dxa"/>
            </w:tcMar>
            <w:vAlign w:val="top"/>
          </w:tcPr>
          <w:p>
            <w:pPr>
              <w:spacing w:after="0"/>
            </w:pPr>
            <w:r>
              <w:rPr>
                <w:sz w:val="16"/>
              </w:rPr>
              <w:t>Tier 5</w:t>
            </w:r>
          </w:p>
        </w:tc>
        <w:tc>
          <w:tcPr>
            <w:tcW w:type="dxa" w:w="3024"/>
            <w:tcMar>
              <w:top w:w="80" w:type="dxa"/>
              <w:start w:w="120" w:type="dxa"/>
              <w:bottom w:w="80" w:type="dxa"/>
              <w:end w:w="120" w:type="dxa"/>
            </w:tcMar>
            <w:vAlign w:val="top"/>
          </w:tcPr>
          <w:p>
            <w:pPr>
              <w:spacing w:after="0"/>
            </w:pPr>
            <w:r>
              <w:rPr>
                <w:sz w:val="16"/>
              </w:rPr>
              <w:t>Illustrative placeholders</w:t>
            </w:r>
          </w:p>
        </w:tc>
        <w:tc>
          <w:tcPr>
            <w:tcW w:type="dxa" w:w="5760"/>
            <w:tcMar>
              <w:top w:w="80" w:type="dxa"/>
              <w:start w:w="120" w:type="dxa"/>
              <w:bottom w:w="80" w:type="dxa"/>
              <w:end w:w="120" w:type="dxa"/>
            </w:tcMar>
            <w:vAlign w:val="top"/>
          </w:tcPr>
          <w:p>
            <w:pPr>
              <w:spacing w:after="0"/>
            </w:pPr>
            <w:r>
              <w:rPr>
                <w:sz w:val="16"/>
              </w:rPr>
              <w:t>Allowed for scaffold testing only; never cited as results</w:t>
            </w:r>
          </w:p>
        </w:tc>
      </w:tr>
    </w:tbl>
    <w:p>
      <w:pPr>
        <w:pStyle w:val="Heading2"/>
        <w:keepNext/>
        <w:keepLines/>
      </w:pPr>
      <w:r>
        <w:t>5.4 Assumption register schema</w:t>
      </w:r>
    </w:p>
    <w:p>
      <w:r>
        <w:t>Every material parameter must store: parameter ID, definition, units, entity level, low/base/high or full distribution, dependence group, source and page/line where possible, access date, transformation code, owner, confidence, validation status, last revision, and which outputs it can reverse. Never paste a number into the final model without provenance.</w:t>
      </w:r>
    </w:p>
    <w:p>
      <w:pPr>
        <w:pStyle w:val="Heading1"/>
        <w:keepNext/>
        <w:keepLines/>
      </w:pPr>
      <w:r>
        <w:t>6. Deterministic techno-economic model</w:t>
      </w:r>
    </w:p>
    <w:p>
      <w:r>
        <w:t>The spreadsheet is a transparent screening and audit layer. It should expose unit mismatches, infeasible capacity, cost double counting, and high-leverage inputs before simulation. It must not be presented as the final reliability estimate.</w:t>
      </w:r>
    </w:p>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Annual saleable capacity = sites × batches/site-year × units/batch × yield × uptime</w:t>
            </w:r>
          </w:p>
          <w:p>
            <w:pPr>
              <w:spacing w:after="0"/>
              <w:jc w:val="center"/>
            </w:pPr>
            <w:r>
              <w:rPr>
                <w:i/>
                <w:color w:val="5D6873"/>
                <w:sz w:val="17"/>
              </w:rPr>
              <w:t>Eq. 1. Calculate by product and site; do not use nominal nameplate capacity.</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Utilization = annual demand allocated to site ÷ annual saleable capacity</w:t>
            </w:r>
          </w:p>
          <w:p>
            <w:pPr>
              <w:spacing w:after="0"/>
              <w:jc w:val="center"/>
            </w:pPr>
            <w:r>
              <w:rPr>
                <w:i/>
                <w:color w:val="5D6873"/>
                <w:sz w:val="17"/>
              </w:rPr>
              <w:t>Eq. 2. Keep planned utilization distinct from realized utilization after disruptions.</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CRF = r(1+r)^n ÷ [(1+r)^n − 1]</w:t>
            </w:r>
          </w:p>
          <w:p>
            <w:pPr>
              <w:spacing w:after="0"/>
              <w:jc w:val="center"/>
            </w:pPr>
            <w:r>
              <w:rPr>
                <w:i/>
                <w:color w:val="5D6873"/>
                <w:sz w:val="17"/>
              </w:rPr>
              <w:t>Eq. 3. Use for annualized capital when a full discounted cash-flow model is not required.</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Fully loaded cost/unit = total annual strategy cost ÷ saleable units delivered</w:t>
            </w:r>
          </w:p>
          <w:p>
            <w:pPr>
              <w:spacing w:after="0"/>
              <w:jc w:val="center"/>
            </w:pPr>
            <w:r>
              <w:rPr>
                <w:i/>
                <w:color w:val="5D6873"/>
                <w:sz w:val="17"/>
              </w:rPr>
              <w:t>Eq. 4. Report denominator explicitly; produced and delivered units differ under expiry and shortage.</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Response time = material availability + setup + production + testing/release + delivery</w:t>
            </w:r>
          </w:p>
          <w:p>
            <w:pPr>
              <w:spacing w:after="0"/>
              <w:jc w:val="center"/>
            </w:pPr>
            <w:r>
              <w:rPr>
                <w:i/>
                <w:color w:val="5D6873"/>
                <w:sz w:val="17"/>
              </w:rPr>
              <w:t>Eq. 5. Terms can overlap only where operationally valid; model queues in simulation.</w:t>
            </w:r>
          </w:p>
        </w:tc>
      </w:tr>
    </w:tbl>
    <w:p>
      <w:pPr>
        <w:pStyle w:val="Heading2"/>
        <w:keepNext/>
        <w:keepLines/>
      </w:pPr>
      <w:r>
        <w:t>6.1 Cost ledger</w:t>
      </w:r>
    </w:p>
    <w:tbl>
      <w:tblPr>
        <w:tblStyle w:val="TableGrid"/>
        <w:tblW w:type="dxa" w:w="9720"/>
        <w:jc w:val="center"/>
        <w:tblLayout w:type="fixed"/>
        <w:tblLook w:firstColumn="1" w:firstRow="1" w:lastColumn="0" w:lastRow="0" w:noHBand="0" w:noVBand="1" w:val="04A0"/>
        <w:tblInd w:type="dxa" w:w="120"/>
      </w:tblPr>
      <w:tblGrid>
        <w:gridCol w:w="1944"/>
        <w:gridCol w:w="7776"/>
      </w:tblGrid>
      <w:tr>
        <w:trPr>
          <w:cantSplit w:val="true"/>
          <w:tblHeader w:val="true"/>
        </w:trPr>
        <w:tc>
          <w:tcPr>
            <w:tcW w:type="dxa" w:w="1944"/>
            <w:shd w:fill="E8EEF5"/>
            <w:tcMar>
              <w:top w:w="80" w:type="dxa"/>
              <w:start w:w="120" w:type="dxa"/>
              <w:bottom w:w="80" w:type="dxa"/>
              <w:end w:w="120" w:type="dxa"/>
            </w:tcMar>
            <w:vAlign w:val="center"/>
          </w:tcPr>
          <w:p>
            <w:pPr>
              <w:spacing w:after="0"/>
            </w:pPr>
            <w:r>
              <w:rPr>
                <w:b/>
                <w:color w:val="16324F"/>
                <w:sz w:val="16"/>
              </w:rPr>
              <w:t>Ledger</w:t>
            </w:r>
          </w:p>
        </w:tc>
        <w:tc>
          <w:tcPr>
            <w:tcW w:type="dxa" w:w="7776"/>
            <w:shd w:fill="E8EEF5"/>
            <w:tcMar>
              <w:top w:w="80" w:type="dxa"/>
              <w:start w:w="120" w:type="dxa"/>
              <w:bottom w:w="80" w:type="dxa"/>
              <w:end w:w="120" w:type="dxa"/>
            </w:tcMar>
            <w:vAlign w:val="center"/>
          </w:tcPr>
          <w:p>
            <w:pPr>
              <w:spacing w:after="0"/>
            </w:pPr>
            <w:r>
              <w:rPr>
                <w:b/>
                <w:color w:val="16324F"/>
                <w:sz w:val="16"/>
              </w:rPr>
              <w:t>Include</w:t>
            </w:r>
          </w:p>
        </w:tc>
      </w:tr>
      <w:tr>
        <w:trPr>
          <w:cantSplit w:val="true"/>
        </w:trPr>
        <w:tc>
          <w:tcPr>
            <w:tcW w:type="dxa" w:w="1944"/>
            <w:tcMar>
              <w:top w:w="80" w:type="dxa"/>
              <w:start w:w="120" w:type="dxa"/>
              <w:bottom w:w="80" w:type="dxa"/>
              <w:end w:w="120" w:type="dxa"/>
            </w:tcMar>
            <w:vAlign w:val="top"/>
          </w:tcPr>
          <w:p>
            <w:pPr>
              <w:spacing w:after="0"/>
            </w:pPr>
            <w:r>
              <w:rPr>
                <w:sz w:val="16"/>
              </w:rPr>
              <w:t>Capital</w:t>
            </w:r>
          </w:p>
        </w:tc>
        <w:tc>
          <w:tcPr>
            <w:tcW w:type="dxa" w:w="7776"/>
            <w:tcMar>
              <w:top w:w="80" w:type="dxa"/>
              <w:start w:w="120" w:type="dxa"/>
              <w:bottom w:w="80" w:type="dxa"/>
              <w:end w:w="120" w:type="dxa"/>
            </w:tcMar>
            <w:vAlign w:val="top"/>
          </w:tcPr>
          <w:p>
            <w:pPr>
              <w:spacing w:after="0"/>
            </w:pPr>
            <w:r>
              <w:rPr>
                <w:sz w:val="16"/>
              </w:rPr>
              <w:t>Building/module, utilities, cleanroom, process equipment, fill line, isolator/RABS, inspection, laboratory, warehouse, commissioning/qualification; annualize or model cash flows</w:t>
            </w:r>
          </w:p>
        </w:tc>
      </w:tr>
      <w:tr>
        <w:trPr>
          <w:cantSplit w:val="true"/>
        </w:trPr>
        <w:tc>
          <w:tcPr>
            <w:tcW w:type="dxa" w:w="1944"/>
            <w:tcMar>
              <w:top w:w="80" w:type="dxa"/>
              <w:start w:w="120" w:type="dxa"/>
              <w:bottom w:w="80" w:type="dxa"/>
              <w:end w:w="120" w:type="dxa"/>
            </w:tcMar>
            <w:vAlign w:val="top"/>
          </w:tcPr>
          <w:p>
            <w:pPr>
              <w:spacing w:after="0"/>
            </w:pPr>
            <w:r>
              <w:rPr>
                <w:sz w:val="16"/>
              </w:rPr>
              <w:t>Fixed site operations</w:t>
            </w:r>
          </w:p>
        </w:tc>
        <w:tc>
          <w:tcPr>
            <w:tcW w:type="dxa" w:w="7776"/>
            <w:tcMar>
              <w:top w:w="80" w:type="dxa"/>
              <w:start w:w="120" w:type="dxa"/>
              <w:bottom w:w="80" w:type="dxa"/>
              <w:end w:w="120" w:type="dxa"/>
            </w:tcMar>
            <w:vAlign w:val="top"/>
          </w:tcPr>
          <w:p>
            <w:pPr>
              <w:spacing w:after="0"/>
            </w:pPr>
            <w:r>
              <w:rPr>
                <w:sz w:val="16"/>
              </w:rPr>
              <w:t>Quality unit, production staff, maintenance, metrology, validation, regulatory, IT/data integrity, security, facility overhead</w:t>
            </w:r>
          </w:p>
        </w:tc>
      </w:tr>
      <w:tr>
        <w:trPr>
          <w:cantSplit w:val="true"/>
        </w:trPr>
        <w:tc>
          <w:tcPr>
            <w:tcW w:type="dxa" w:w="1944"/>
            <w:tcMar>
              <w:top w:w="80" w:type="dxa"/>
              <w:start w:w="120" w:type="dxa"/>
              <w:bottom w:w="80" w:type="dxa"/>
              <w:end w:w="120" w:type="dxa"/>
            </w:tcMar>
            <w:vAlign w:val="top"/>
          </w:tcPr>
          <w:p>
            <w:pPr>
              <w:spacing w:after="0"/>
            </w:pPr>
            <w:r>
              <w:rPr>
                <w:sz w:val="16"/>
              </w:rPr>
              <w:t>Product/site launch</w:t>
            </w:r>
          </w:p>
        </w:tc>
        <w:tc>
          <w:tcPr>
            <w:tcW w:type="dxa" w:w="7776"/>
            <w:tcMar>
              <w:top w:w="80" w:type="dxa"/>
              <w:start w:w="120" w:type="dxa"/>
              <w:bottom w:w="80" w:type="dxa"/>
              <w:end w:w="120" w:type="dxa"/>
            </w:tcMar>
            <w:vAlign w:val="top"/>
          </w:tcPr>
          <w:p>
            <w:pPr>
              <w:spacing w:after="0"/>
            </w:pPr>
            <w:r>
              <w:rPr>
                <w:sz w:val="16"/>
              </w:rPr>
              <w:t>Development, tech transfer, methods, stability, PPQ, media fills, submissions, inspections; amortize transparently</w:t>
            </w:r>
          </w:p>
        </w:tc>
      </w:tr>
      <w:tr>
        <w:trPr>
          <w:cantSplit w:val="true"/>
        </w:trPr>
        <w:tc>
          <w:tcPr>
            <w:tcW w:type="dxa" w:w="1944"/>
            <w:tcMar>
              <w:top w:w="80" w:type="dxa"/>
              <w:start w:w="120" w:type="dxa"/>
              <w:bottom w:w="80" w:type="dxa"/>
              <w:end w:w="120" w:type="dxa"/>
            </w:tcMar>
            <w:vAlign w:val="top"/>
          </w:tcPr>
          <w:p>
            <w:pPr>
              <w:spacing w:after="0"/>
            </w:pPr>
            <w:r>
              <w:rPr>
                <w:sz w:val="16"/>
              </w:rPr>
              <w:t>Variable production</w:t>
            </w:r>
          </w:p>
        </w:tc>
        <w:tc>
          <w:tcPr>
            <w:tcW w:type="dxa" w:w="7776"/>
            <w:tcMar>
              <w:top w:w="80" w:type="dxa"/>
              <w:start w:w="120" w:type="dxa"/>
              <w:bottom w:w="80" w:type="dxa"/>
              <w:end w:w="120" w:type="dxa"/>
            </w:tcMar>
            <w:vAlign w:val="top"/>
          </w:tcPr>
          <w:p>
            <w:pPr>
              <w:spacing w:after="0"/>
            </w:pPr>
            <w:r>
              <w:rPr>
                <w:sz w:val="16"/>
              </w:rPr>
              <w:t>API, excipients, vial, stopper, seal, label, packaging, consumables, utilities, direct labor truly variable with volume</w:t>
            </w:r>
          </w:p>
        </w:tc>
      </w:tr>
      <w:tr>
        <w:trPr>
          <w:cantSplit w:val="true"/>
        </w:trPr>
        <w:tc>
          <w:tcPr>
            <w:tcW w:type="dxa" w:w="1944"/>
            <w:tcMar>
              <w:top w:w="80" w:type="dxa"/>
              <w:start w:w="120" w:type="dxa"/>
              <w:bottom w:w="80" w:type="dxa"/>
              <w:end w:w="120" w:type="dxa"/>
            </w:tcMar>
            <w:vAlign w:val="top"/>
          </w:tcPr>
          <w:p>
            <w:pPr>
              <w:spacing w:after="0"/>
            </w:pPr>
            <w:r>
              <w:rPr>
                <w:sz w:val="16"/>
              </w:rPr>
              <w:t>Quality/testing</w:t>
            </w:r>
          </w:p>
        </w:tc>
        <w:tc>
          <w:tcPr>
            <w:tcW w:type="dxa" w:w="7776"/>
            <w:tcMar>
              <w:top w:w="80" w:type="dxa"/>
              <w:start w:w="120" w:type="dxa"/>
              <w:bottom w:w="80" w:type="dxa"/>
              <w:end w:w="120" w:type="dxa"/>
            </w:tcMar>
            <w:vAlign w:val="top"/>
          </w:tcPr>
          <w:p>
            <w:pPr>
              <w:spacing w:after="0"/>
            </w:pPr>
            <w:r>
              <w:rPr>
                <w:sz w:val="16"/>
              </w:rPr>
              <w:t>Release testing, sterility/endotoxin/assay, reference standards, environmental monitoring, retain samples, deviation investigation</w:t>
            </w:r>
          </w:p>
        </w:tc>
      </w:tr>
      <w:tr>
        <w:trPr>
          <w:cantSplit w:val="true"/>
        </w:trPr>
        <w:tc>
          <w:tcPr>
            <w:tcW w:type="dxa" w:w="1944"/>
            <w:tcMar>
              <w:top w:w="80" w:type="dxa"/>
              <w:start w:w="120" w:type="dxa"/>
              <w:bottom w:w="80" w:type="dxa"/>
              <w:end w:w="120" w:type="dxa"/>
            </w:tcMar>
            <w:vAlign w:val="top"/>
          </w:tcPr>
          <w:p>
            <w:pPr>
              <w:spacing w:after="0"/>
            </w:pPr>
            <w:r>
              <w:rPr>
                <w:sz w:val="16"/>
              </w:rPr>
              <w:t>Failure/waste</w:t>
            </w:r>
          </w:p>
        </w:tc>
        <w:tc>
          <w:tcPr>
            <w:tcW w:type="dxa" w:w="7776"/>
            <w:tcMar>
              <w:top w:w="80" w:type="dxa"/>
              <w:start w:w="120" w:type="dxa"/>
              <w:bottom w:w="80" w:type="dxa"/>
              <w:end w:w="120" w:type="dxa"/>
            </w:tcMar>
            <w:vAlign w:val="top"/>
          </w:tcPr>
          <w:p>
            <w:pPr>
              <w:spacing w:after="0"/>
            </w:pPr>
            <w:r>
              <w:rPr>
                <w:sz w:val="16"/>
              </w:rPr>
              <w:t>Yield loss, rejected batches, line clearance, changeover, expiry, obsolescence, recalls if modeled</w:t>
            </w:r>
          </w:p>
        </w:tc>
      </w:tr>
      <w:tr>
        <w:trPr>
          <w:cantSplit w:val="true"/>
        </w:trPr>
        <w:tc>
          <w:tcPr>
            <w:tcW w:type="dxa" w:w="1944"/>
            <w:tcMar>
              <w:top w:w="80" w:type="dxa"/>
              <w:start w:w="120" w:type="dxa"/>
              <w:bottom w:w="80" w:type="dxa"/>
              <w:end w:w="120" w:type="dxa"/>
            </w:tcMar>
            <w:vAlign w:val="top"/>
          </w:tcPr>
          <w:p>
            <w:pPr>
              <w:spacing w:after="0"/>
            </w:pPr>
            <w:r>
              <w:rPr>
                <w:sz w:val="16"/>
              </w:rPr>
              <w:t>Inventory/logistics</w:t>
            </w:r>
          </w:p>
        </w:tc>
        <w:tc>
          <w:tcPr>
            <w:tcW w:type="dxa" w:w="7776"/>
            <w:tcMar>
              <w:top w:w="80" w:type="dxa"/>
              <w:start w:w="120" w:type="dxa"/>
              <w:bottom w:w="80" w:type="dxa"/>
              <w:end w:w="120" w:type="dxa"/>
            </w:tcMar>
            <w:vAlign w:val="top"/>
          </w:tcPr>
          <w:p>
            <w:pPr>
              <w:spacing w:after="0"/>
            </w:pPr>
            <w:r>
              <w:rPr>
                <w:sz w:val="16"/>
              </w:rPr>
              <w:t>Carrying, warehousing, cold/light controls if applicable, transport, emergency freight, redistribution</w:t>
            </w:r>
          </w:p>
        </w:tc>
      </w:tr>
      <w:tr>
        <w:trPr>
          <w:cantSplit w:val="true"/>
        </w:trPr>
        <w:tc>
          <w:tcPr>
            <w:tcW w:type="dxa" w:w="1944"/>
            <w:tcMar>
              <w:top w:w="80" w:type="dxa"/>
              <w:start w:w="120" w:type="dxa"/>
              <w:bottom w:w="80" w:type="dxa"/>
              <w:end w:w="120" w:type="dxa"/>
            </w:tcMar>
            <w:vAlign w:val="top"/>
          </w:tcPr>
          <w:p>
            <w:pPr>
              <w:spacing w:after="0"/>
            </w:pPr>
            <w:r>
              <w:rPr>
                <w:sz w:val="16"/>
              </w:rPr>
              <w:t>Resilience contracts</w:t>
            </w:r>
          </w:p>
        </w:tc>
        <w:tc>
          <w:tcPr>
            <w:tcW w:type="dxa" w:w="7776"/>
            <w:tcMar>
              <w:top w:w="80" w:type="dxa"/>
              <w:start w:w="120" w:type="dxa"/>
              <w:bottom w:w="80" w:type="dxa"/>
              <w:end w:w="120" w:type="dxa"/>
            </w:tcMar>
            <w:vAlign w:val="top"/>
          </w:tcPr>
          <w:p>
            <w:pPr>
              <w:spacing w:after="0"/>
            </w:pPr>
            <w:r>
              <w:rPr>
                <w:sz w:val="16"/>
              </w:rPr>
              <w:t>Capacity reservation, minimum purchase, take-or-pay, supplier qualification, second-source maintenance</w:t>
            </w:r>
          </w:p>
        </w:tc>
      </w:tr>
      <w:tr>
        <w:trPr>
          <w:cantSplit w:val="true"/>
        </w:trPr>
        <w:tc>
          <w:tcPr>
            <w:tcW w:type="dxa" w:w="1944"/>
            <w:tcMar>
              <w:top w:w="80" w:type="dxa"/>
              <w:start w:w="120" w:type="dxa"/>
              <w:bottom w:w="80" w:type="dxa"/>
              <w:end w:w="120" w:type="dxa"/>
            </w:tcMar>
            <w:vAlign w:val="top"/>
          </w:tcPr>
          <w:p>
            <w:pPr>
              <w:spacing w:after="0"/>
            </w:pPr>
            <w:r>
              <w:rPr>
                <w:sz w:val="16"/>
              </w:rPr>
              <w:t>OS/integration</w:t>
            </w:r>
          </w:p>
        </w:tc>
        <w:tc>
          <w:tcPr>
            <w:tcW w:type="dxa" w:w="7776"/>
            <w:tcMar>
              <w:top w:w="80" w:type="dxa"/>
              <w:start w:w="120" w:type="dxa"/>
              <w:bottom w:w="80" w:type="dxa"/>
              <w:end w:w="120" w:type="dxa"/>
            </w:tcMar>
            <w:vAlign w:val="top"/>
          </w:tcPr>
          <w:p>
            <w:pPr>
              <w:spacing w:after="0"/>
            </w:pPr>
            <w:r>
              <w:rPr>
                <w:sz w:val="16"/>
              </w:rPr>
              <w:t>Sensors, interfaces, validation, cybersecurity, model monitoring, audit storage, user training and support</w:t>
            </w:r>
          </w:p>
        </w:tc>
      </w:tr>
    </w:tbl>
    <w:p>
      <w:pPr>
        <w:pStyle w:val="Heading2"/>
        <w:keepNext/>
        <w:keepLines/>
      </w:pPr>
      <w:r>
        <w:t>6.2 Break-even calculations</w:t>
      </w:r>
    </w:p>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Break-even contracted volume = annual fixed/resilience cost ÷ contribution margin per delivered unit</w:t>
            </w:r>
          </w:p>
          <w:p>
            <w:pPr>
              <w:spacing w:after="0"/>
              <w:jc w:val="center"/>
            </w:pPr>
            <w:r>
              <w:rPr>
                <w:i/>
                <w:color w:val="5D6873"/>
                <w:sz w:val="17"/>
              </w:rPr>
              <w:t>Eq. 6. Use price net of variable production, testing, distribution, and expected waste.</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Required resilience premium = [Cost(strategy) − Cost(status quo)] ÷ committed units</w:t>
            </w:r>
          </w:p>
          <w:p>
            <w:pPr>
              <w:spacing w:after="0"/>
              <w:jc w:val="center"/>
            </w:pPr>
            <w:r>
              <w:rPr>
                <w:i/>
                <w:color w:val="5D6873"/>
                <w:sz w:val="17"/>
              </w:rPr>
              <w:t>Eq. 7. State whether premium is paid by hospitals, GPOs, government, or another purchaser.</w:t>
            </w:r>
          </w:p>
        </w:tc>
      </w:tr>
    </w:tbl>
    <w:p>
      <w:r>
        <w:t>Compute break-even surfaces—not one point—over node count, site size, utilization, product count per node, changeovers, release time, quality staffing, and commitment share. Multi-product pooling may improve utilization but adds changeover, scheduling, validation, and shared-failure complexity; model both sides.</w:t>
      </w:r>
    </w:p>
    <w:p>
      <w:pPr>
        <w:pStyle w:val="Heading1"/>
        <w:keepNext/>
        <w:keepLines/>
      </w:pPr>
      <w:r>
        <w:t>7. Stochastic reliability simulation</w:t>
      </w:r>
    </w:p>
    <w:p>
      <w:r>
        <w:t>Implement a discrete-time, event-driven network simulation in Python after the spreadsheet screen. Use seeded random streams and common random numbers across strategies. Store one tidy row per run–product–strategy plus event logs for audit. A daily step is adequate initially; use an explicit queue for production and release rather than adding average lead times after the fact.</w:t>
      </w:r>
    </w:p>
    <w:p>
      <w:pPr>
        <w:pStyle w:val="Heading2"/>
        <w:keepNext/>
        <w:keepLines/>
      </w:pPr>
      <w:r>
        <w:t>7.1 State variables</w:t>
      </w:r>
    </w:p>
    <w:p>
      <w:pPr>
        <w:pStyle w:val="ListBullet"/>
      </w:pPr>
      <w:r>
        <w:t>On-hand inventory by product, region/location, age/expiry, and regulatory status.</w:t>
      </w:r>
    </w:p>
    <w:p>
      <w:pPr>
        <w:pStyle w:val="ListBullet"/>
      </w:pPr>
      <w:r>
        <w:t>Outstanding demand/backorders and allocation priority by region/hospital class.</w:t>
      </w:r>
    </w:p>
    <w:p>
      <w:pPr>
        <w:pStyle w:val="ListBullet"/>
      </w:pPr>
      <w:r>
        <w:t>Raw-material/component inventory and open purchase orders by qualified supplier.</w:t>
      </w:r>
    </w:p>
    <w:p>
      <w:pPr>
        <w:pStyle w:val="ListBullet"/>
      </w:pPr>
      <w:r>
        <w:t>Site capacity, uptime/failure state, campaign/setup state, batch work in process, and maintenance state.</w:t>
      </w:r>
    </w:p>
    <w:p>
      <w:pPr>
        <w:pStyle w:val="ListBullet"/>
      </w:pPr>
      <w:r>
        <w:t>Testing/release queue, deviation state, batch disposition, and Telo-model state of control where applicable.</w:t>
      </w:r>
    </w:p>
    <w:p>
      <w:pPr>
        <w:pStyle w:val="ListBullet"/>
      </w:pPr>
      <w:r>
        <w:t>Transport links and delay states.</w:t>
      </w:r>
    </w:p>
    <w:p>
      <w:pPr>
        <w:pStyle w:val="ListBullet"/>
      </w:pPr>
      <w:r>
        <w:t>Pathway state, including 503B shortage eligibility windows and newly qualified site availability.</w:t>
      </w:r>
    </w:p>
    <w:p>
      <w:pPr>
        <w:pStyle w:val="Heading2"/>
        <w:keepNext/>
        <w:keepLines/>
      </w:pPr>
      <w:r>
        <w:t>7.2 Core daily event order</w:t>
      </w:r>
    </w:p>
    <w:p>
      <w:pPr>
        <w:pStyle w:val="ListNumber"/>
      </w:pPr>
      <w:r>
        <w:t>Advance date and expire inventory using FEFO rules.</w:t>
      </w:r>
    </w:p>
    <w:p>
      <w:pPr>
        <w:pStyle w:val="ListNumber"/>
      </w:pPr>
      <w:r>
        <w:t>Draw/advance demand and demand shocks using the run's shared random streams.</w:t>
      </w:r>
    </w:p>
    <w:p>
      <w:pPr>
        <w:pStyle w:val="ListNumber"/>
      </w:pPr>
      <w:r>
        <w:t>Advance supplier, site, common-cause, regulatory, and transportation disruption states.</w:t>
      </w:r>
    </w:p>
    <w:p>
      <w:pPr>
        <w:pStyle w:val="ListNumber"/>
      </w:pPr>
      <w:r>
        <w:t>Receive qualified materials and released batches whose lead times complete.</w:t>
      </w:r>
    </w:p>
    <w:p>
      <w:pPr>
        <w:pStyle w:val="ListNumber"/>
      </w:pPr>
      <w:r>
        <w:t>Allocate available inventory under the pre-specified policy; record served demand, backorders, unmet units, and shortage-day flags.</w:t>
      </w:r>
    </w:p>
    <w:p>
      <w:pPr>
        <w:pStyle w:val="ListNumber"/>
      </w:pPr>
      <w:r>
        <w:t>Advance setup, production, inspection, test, deviation, and release queues; sample yield and rejection consistently with site/batch effects.</w:t>
      </w:r>
    </w:p>
    <w:p>
      <w:pPr>
        <w:pStyle w:val="ListNumber"/>
      </w:pPr>
      <w:r>
        <w:t>Trigger reorder, campaign, emergency transfer, reserved-capacity activation, and 503B policies if eligible.</w:t>
      </w:r>
    </w:p>
    <w:p>
      <w:pPr>
        <w:pStyle w:val="ListNumber"/>
      </w:pPr>
      <w:r>
        <w:t>Accrue cost and write audit events; assert mass balance and nonnegative state.</w:t>
      </w:r>
    </w:p>
    <w:p>
      <w:pPr>
        <w:pStyle w:val="Heading2"/>
        <w:keepNext/>
        <w:keepLines/>
      </w:pPr>
      <w:r>
        <w:t>7.3 Publication pseudocode</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F4F6F8"/>
            <w:tcMar>
              <w:top w:w="130" w:type="dxa"/>
              <w:start w:w="170" w:type="dxa"/>
              <w:bottom w:w="130" w:type="dxa"/>
              <w:end w:w="170" w:type="dxa"/>
            </w:tcMar>
          </w:tcPr>
          <w:p>
            <w:pPr>
              <w:spacing w:after="60"/>
            </w:pPr>
            <w:r>
              <w:rPr>
                <w:b/>
                <w:color w:val="16324F"/>
              </w:rPr>
              <w:t>Paired simulation</w:t>
            </w:r>
          </w:p>
          <w:p>
            <w:pPr>
              <w:spacing w:after="0"/>
            </w:pPr>
            <w:r>
              <w:t>for run in 1…N:</w:t>
              <w:br/>
              <w:t xml:space="preserve">  sample uncertain structural parameters</w:t>
              <w:br/>
              <w:t xml:space="preserve">  generate shared demand and disruption streams</w:t>
              <w:br/>
              <w:t xml:space="preserve">  for strategy in eligible_strategies:</w:t>
              <w:br/>
              <w:t xml:space="preserve">    reset state with strategy-specific design</w:t>
              <w:br/>
              <w:t xml:space="preserve">    simulate warm-up + analysis horizon</w:t>
              <w:br/>
              <w:t xml:space="preserve">    assert mass balance and log events</w:t>
              <w:br/>
              <w:t xml:space="preserve">    write costs, service, failures, and recovery metrics</w:t>
              <w:br/>
              <w:t>compare paired strategy outcomes; optimize designs; bootstrap uncertainty</w:t>
            </w:r>
          </w:p>
        </w:tc>
      </w:tr>
    </w:tbl>
    <w:p>
      <w:pPr>
        <w:pStyle w:val="Heading2"/>
        <w:keepNext/>
        <w:keepLines/>
      </w:pPr>
      <w:r>
        <w:t>7.4 Randomness and dependence</w:t>
      </w:r>
    </w:p>
    <w:p>
      <w:r>
        <w:t>Use separate reproducible random streams for routine demand, demand shocks, site failures, common-cause events, supplier delays, yield, deviations, release times, and transport. Within each run, strategies receive the same exogenous streams wherever conceptually comparable. Represent dependency with hierarchical effects or explicit cause groups rather than an arbitrary correlation coefficient alone. Example: two sites may be physically independent but share the same API source, stopper supplier, analytical method defect, OS version, or regulatory action.</w:t>
      </w:r>
    </w:p>
    <w:p>
      <w:pPr>
        <w:pStyle w:val="Heading1"/>
        <w:keepNext/>
        <w:keepLines/>
      </w:pPr>
      <w:r>
        <w:t>8. Demand, disruption, inventory, and allocation submodels</w:t>
      </w:r>
    </w:p>
    <w:p>
      <w:pPr>
        <w:pStyle w:val="Heading2"/>
        <w:keepNext/>
        <w:keepLines/>
      </w:pPr>
      <w:r>
        <w:t>8.1 Demand</w:t>
      </w:r>
    </w:p>
    <w:p>
      <w:r>
        <w:t>Estimate annual presentation-specific demand and regional shares using the strongest available direct evidence. Model routine nonnegative variability with a hierarchical time-series distribution that reproduces mean, coefficient of variation, seasonality, and autocorrelation. Add compound demand shocks only when empirically or expert-supported. Separate true utilization from purchases distorted by stockpiling or allocation during shortages.</w:t>
      </w:r>
    </w:p>
    <w:p>
      <w:pPr>
        <w:pStyle w:val="ListBullet"/>
      </w:pPr>
      <w:r>
        <w:t>Base case: hierarchical lognormal or negative-binomial daily/weekly demand with region and season effects.</w:t>
      </w:r>
    </w:p>
    <w:p>
      <w:pPr>
        <w:pStyle w:val="ListBullet"/>
      </w:pPr>
      <w:r>
        <w:t>Shock arrivals: Poisson or empirically resampled episodes; magnitude and duration jointly distributed.</w:t>
      </w:r>
    </w:p>
    <w:p>
      <w:pPr>
        <w:pStyle w:val="ListBullet"/>
      </w:pPr>
      <w:r>
        <w:t>Substitution: presentation/clinical substitution matrix reviewed by pharmacists; do not assume one vial equals another merely by ingredient name.</w:t>
      </w:r>
    </w:p>
    <w:p>
      <w:pPr>
        <w:pStyle w:val="ListBullet"/>
      </w:pPr>
      <w:r>
        <w:t>Contract demand: committed volume is distinct from potential demand and determines economic utilization.</w:t>
      </w:r>
    </w:p>
    <w:p>
      <w:pPr>
        <w:pStyle w:val="Heading2"/>
        <w:keepNext/>
        <w:keepLines/>
      </w:pPr>
      <w:r>
        <w:t>8.2 Supply disruptions</w:t>
      </w:r>
    </w:p>
    <w:tbl>
      <w:tblPr>
        <w:tblStyle w:val="TableGrid"/>
        <w:tblW w:type="dxa" w:w="9720"/>
        <w:jc w:val="center"/>
        <w:tblLayout w:type="fixed"/>
        <w:tblLook w:firstColumn="1" w:firstRow="1" w:lastColumn="0" w:lastRow="0" w:noHBand="0" w:noVBand="1" w:val="04A0"/>
        <w:tblInd w:type="dxa" w:w="120"/>
      </w:tblPr>
      <w:tblGrid>
        <w:gridCol w:w="1656"/>
        <w:gridCol w:w="4320"/>
        <w:gridCol w:w="3744"/>
      </w:tblGrid>
      <w:tr>
        <w:trPr>
          <w:cantSplit w:val="true"/>
          <w:tblHeader w:val="true"/>
        </w:trPr>
        <w:tc>
          <w:tcPr>
            <w:tcW w:type="dxa" w:w="1656"/>
            <w:shd w:fill="E8EEF5"/>
            <w:tcMar>
              <w:top w:w="80" w:type="dxa"/>
              <w:start w:w="120" w:type="dxa"/>
              <w:bottom w:w="80" w:type="dxa"/>
              <w:end w:w="120" w:type="dxa"/>
            </w:tcMar>
            <w:vAlign w:val="center"/>
          </w:tcPr>
          <w:p>
            <w:pPr>
              <w:spacing w:after="0"/>
            </w:pPr>
            <w:r>
              <w:rPr>
                <w:b/>
                <w:color w:val="16324F"/>
                <w:sz w:val="16"/>
              </w:rPr>
              <w:t>Class</w:t>
            </w:r>
          </w:p>
        </w:tc>
        <w:tc>
          <w:tcPr>
            <w:tcW w:type="dxa" w:w="4320"/>
            <w:shd w:fill="E8EEF5"/>
            <w:tcMar>
              <w:top w:w="80" w:type="dxa"/>
              <w:start w:w="120" w:type="dxa"/>
              <w:bottom w:w="80" w:type="dxa"/>
              <w:end w:w="120" w:type="dxa"/>
            </w:tcMar>
            <w:vAlign w:val="center"/>
          </w:tcPr>
          <w:p>
            <w:pPr>
              <w:spacing w:after="0"/>
            </w:pPr>
            <w:r>
              <w:rPr>
                <w:b/>
                <w:color w:val="16324F"/>
                <w:sz w:val="16"/>
              </w:rPr>
              <w:t>Examples</w:t>
            </w:r>
          </w:p>
        </w:tc>
        <w:tc>
          <w:tcPr>
            <w:tcW w:type="dxa" w:w="3744"/>
            <w:shd w:fill="E8EEF5"/>
            <w:tcMar>
              <w:top w:w="80" w:type="dxa"/>
              <w:start w:w="120" w:type="dxa"/>
              <w:bottom w:w="80" w:type="dxa"/>
              <w:end w:w="120" w:type="dxa"/>
            </w:tcMar>
            <w:vAlign w:val="center"/>
          </w:tcPr>
          <w:p>
            <w:pPr>
              <w:spacing w:after="0"/>
            </w:pPr>
            <w:r>
              <w:rPr>
                <w:b/>
                <w:color w:val="16324F"/>
                <w:sz w:val="16"/>
              </w:rPr>
              <w:t>Parameters</w:t>
            </w:r>
          </w:p>
        </w:tc>
      </w:tr>
      <w:tr>
        <w:trPr>
          <w:cantSplit w:val="true"/>
        </w:trPr>
        <w:tc>
          <w:tcPr>
            <w:tcW w:type="dxa" w:w="1656"/>
            <w:tcMar>
              <w:top w:w="80" w:type="dxa"/>
              <w:start w:w="120" w:type="dxa"/>
              <w:bottom w:w="80" w:type="dxa"/>
              <w:end w:w="120" w:type="dxa"/>
            </w:tcMar>
            <w:vAlign w:val="top"/>
          </w:tcPr>
          <w:p>
            <w:pPr>
              <w:spacing w:after="0"/>
            </w:pPr>
            <w:r>
              <w:rPr>
                <w:sz w:val="16"/>
              </w:rPr>
              <w:t>Site-specific</w:t>
            </w:r>
          </w:p>
        </w:tc>
        <w:tc>
          <w:tcPr>
            <w:tcW w:type="dxa" w:w="4320"/>
            <w:tcMar>
              <w:top w:w="80" w:type="dxa"/>
              <w:start w:w="120" w:type="dxa"/>
              <w:bottom w:w="80" w:type="dxa"/>
              <w:end w:w="120" w:type="dxa"/>
            </w:tcMar>
            <w:vAlign w:val="top"/>
          </w:tcPr>
          <w:p>
            <w:pPr>
              <w:spacing w:after="0"/>
            </w:pPr>
            <w:r>
              <w:rPr>
                <w:sz w:val="16"/>
              </w:rPr>
              <w:t>Equipment failure, contamination investigation, maintenance, local utility/weather event</w:t>
            </w:r>
          </w:p>
        </w:tc>
        <w:tc>
          <w:tcPr>
            <w:tcW w:type="dxa" w:w="3744"/>
            <w:tcMar>
              <w:top w:w="80" w:type="dxa"/>
              <w:start w:w="120" w:type="dxa"/>
              <w:bottom w:w="80" w:type="dxa"/>
              <w:end w:w="120" w:type="dxa"/>
            </w:tcMar>
            <w:vAlign w:val="top"/>
          </w:tcPr>
          <w:p>
            <w:pPr>
              <w:spacing w:after="0"/>
            </w:pPr>
            <w:r>
              <w:rPr>
                <w:sz w:val="16"/>
              </w:rPr>
              <w:t>Frequency, duration, residual capacity, restart/requalification</w:t>
            </w:r>
          </w:p>
        </w:tc>
      </w:tr>
      <w:tr>
        <w:trPr>
          <w:cantSplit w:val="true"/>
        </w:trPr>
        <w:tc>
          <w:tcPr>
            <w:tcW w:type="dxa" w:w="1656"/>
            <w:tcMar>
              <w:top w:w="80" w:type="dxa"/>
              <w:start w:w="120" w:type="dxa"/>
              <w:bottom w:w="80" w:type="dxa"/>
              <w:end w:w="120" w:type="dxa"/>
            </w:tcMar>
            <w:vAlign w:val="top"/>
          </w:tcPr>
          <w:p>
            <w:pPr>
              <w:spacing w:after="0"/>
            </w:pPr>
            <w:r>
              <w:rPr>
                <w:sz w:val="16"/>
              </w:rPr>
              <w:t>Quality</w:t>
            </w:r>
          </w:p>
        </w:tc>
        <w:tc>
          <w:tcPr>
            <w:tcW w:type="dxa" w:w="4320"/>
            <w:tcMar>
              <w:top w:w="80" w:type="dxa"/>
              <w:start w:w="120" w:type="dxa"/>
              <w:bottom w:w="80" w:type="dxa"/>
              <w:end w:w="120" w:type="dxa"/>
            </w:tcMar>
            <w:vAlign w:val="top"/>
          </w:tcPr>
          <w:p>
            <w:pPr>
              <w:spacing w:after="0"/>
            </w:pPr>
            <w:r>
              <w:rPr>
                <w:sz w:val="16"/>
              </w:rPr>
              <w:t>Deviation, OOS, sterility concern, data-integrity issue, batch rejection</w:t>
            </w:r>
          </w:p>
        </w:tc>
        <w:tc>
          <w:tcPr>
            <w:tcW w:type="dxa" w:w="3744"/>
            <w:tcMar>
              <w:top w:w="80" w:type="dxa"/>
              <w:start w:w="120" w:type="dxa"/>
              <w:bottom w:w="80" w:type="dxa"/>
              <w:end w:w="120" w:type="dxa"/>
            </w:tcMar>
            <w:vAlign w:val="top"/>
          </w:tcPr>
          <w:p>
            <w:pPr>
              <w:spacing w:after="0"/>
            </w:pPr>
            <w:r>
              <w:rPr>
                <w:sz w:val="16"/>
              </w:rPr>
              <w:t>Batch/site dependence, investigation duration, release blockage</w:t>
            </w:r>
          </w:p>
        </w:tc>
      </w:tr>
      <w:tr>
        <w:trPr>
          <w:cantSplit w:val="true"/>
        </w:trPr>
        <w:tc>
          <w:tcPr>
            <w:tcW w:type="dxa" w:w="1656"/>
            <w:tcMar>
              <w:top w:w="80" w:type="dxa"/>
              <w:start w:w="120" w:type="dxa"/>
              <w:bottom w:w="80" w:type="dxa"/>
              <w:end w:w="120" w:type="dxa"/>
            </w:tcMar>
            <w:vAlign w:val="top"/>
          </w:tcPr>
          <w:p>
            <w:pPr>
              <w:spacing w:after="0"/>
            </w:pPr>
            <w:r>
              <w:rPr>
                <w:sz w:val="16"/>
              </w:rPr>
              <w:t>Supplier</w:t>
            </w:r>
          </w:p>
        </w:tc>
        <w:tc>
          <w:tcPr>
            <w:tcW w:type="dxa" w:w="4320"/>
            <w:tcMar>
              <w:top w:w="80" w:type="dxa"/>
              <w:start w:w="120" w:type="dxa"/>
              <w:bottom w:w="80" w:type="dxa"/>
              <w:end w:w="120" w:type="dxa"/>
            </w:tcMar>
            <w:vAlign w:val="top"/>
          </w:tcPr>
          <w:p>
            <w:pPr>
              <w:spacing w:after="0"/>
            </w:pPr>
            <w:r>
              <w:rPr>
                <w:sz w:val="16"/>
              </w:rPr>
              <w:t>API, vial, stopper, seal, testing material, single-use component</w:t>
            </w:r>
          </w:p>
        </w:tc>
        <w:tc>
          <w:tcPr>
            <w:tcW w:type="dxa" w:w="3744"/>
            <w:tcMar>
              <w:top w:w="80" w:type="dxa"/>
              <w:start w:w="120" w:type="dxa"/>
              <w:bottom w:w="80" w:type="dxa"/>
              <w:end w:w="120" w:type="dxa"/>
            </w:tcMar>
            <w:vAlign w:val="top"/>
          </w:tcPr>
          <w:p>
            <w:pPr>
              <w:spacing w:after="0"/>
            </w:pPr>
            <w:r>
              <w:rPr>
                <w:sz w:val="16"/>
              </w:rPr>
              <w:t>Lead time, allocation, qualification, shared supplier graph</w:t>
            </w:r>
          </w:p>
        </w:tc>
      </w:tr>
      <w:tr>
        <w:trPr>
          <w:cantSplit w:val="true"/>
        </w:trPr>
        <w:tc>
          <w:tcPr>
            <w:tcW w:type="dxa" w:w="1656"/>
            <w:tcMar>
              <w:top w:w="80" w:type="dxa"/>
              <w:start w:w="120" w:type="dxa"/>
              <w:bottom w:w="80" w:type="dxa"/>
              <w:end w:w="120" w:type="dxa"/>
            </w:tcMar>
            <w:vAlign w:val="top"/>
          </w:tcPr>
          <w:p>
            <w:pPr>
              <w:spacing w:after="0"/>
            </w:pPr>
            <w:r>
              <w:rPr>
                <w:sz w:val="16"/>
              </w:rPr>
              <w:t>Common cause</w:t>
            </w:r>
          </w:p>
        </w:tc>
        <w:tc>
          <w:tcPr>
            <w:tcW w:type="dxa" w:w="4320"/>
            <w:tcMar>
              <w:top w:w="80" w:type="dxa"/>
              <w:start w:w="120" w:type="dxa"/>
              <w:bottom w:w="80" w:type="dxa"/>
              <w:end w:w="120" w:type="dxa"/>
            </w:tcMar>
            <w:vAlign w:val="top"/>
          </w:tcPr>
          <w:p>
            <w:pPr>
              <w:spacing w:after="0"/>
            </w:pPr>
            <w:r>
              <w:rPr>
                <w:sz w:val="16"/>
              </w:rPr>
              <w:t>Shared supplier, method, software, cyber, regulatory, ownership, geography</w:t>
            </w:r>
          </w:p>
        </w:tc>
        <w:tc>
          <w:tcPr>
            <w:tcW w:type="dxa" w:w="3744"/>
            <w:tcMar>
              <w:top w:w="80" w:type="dxa"/>
              <w:start w:w="120" w:type="dxa"/>
              <w:bottom w:w="80" w:type="dxa"/>
              <w:end w:w="120" w:type="dxa"/>
            </w:tcMar>
            <w:vAlign w:val="top"/>
          </w:tcPr>
          <w:p>
            <w:pPr>
              <w:spacing w:after="0"/>
            </w:pPr>
            <w:r>
              <w:rPr>
                <w:sz w:val="16"/>
              </w:rPr>
              <w:t>Affected set and conditional impact—not independent site draws</w:t>
            </w:r>
          </w:p>
        </w:tc>
      </w:tr>
      <w:tr>
        <w:trPr>
          <w:cantSplit w:val="true"/>
        </w:trPr>
        <w:tc>
          <w:tcPr>
            <w:tcW w:type="dxa" w:w="1656"/>
            <w:tcMar>
              <w:top w:w="80" w:type="dxa"/>
              <w:start w:w="120" w:type="dxa"/>
              <w:bottom w:w="80" w:type="dxa"/>
              <w:end w:w="120" w:type="dxa"/>
            </w:tcMar>
            <w:vAlign w:val="top"/>
          </w:tcPr>
          <w:p>
            <w:pPr>
              <w:spacing w:after="0"/>
            </w:pPr>
            <w:r>
              <w:rPr>
                <w:sz w:val="16"/>
              </w:rPr>
              <w:t>Demand surge</w:t>
            </w:r>
          </w:p>
        </w:tc>
        <w:tc>
          <w:tcPr>
            <w:tcW w:type="dxa" w:w="4320"/>
            <w:tcMar>
              <w:top w:w="80" w:type="dxa"/>
              <w:start w:w="120" w:type="dxa"/>
              <w:bottom w:w="80" w:type="dxa"/>
              <w:end w:w="120" w:type="dxa"/>
            </w:tcMar>
            <w:vAlign w:val="top"/>
          </w:tcPr>
          <w:p>
            <w:pPr>
              <w:spacing w:after="0"/>
            </w:pPr>
            <w:r>
              <w:rPr>
                <w:sz w:val="16"/>
              </w:rPr>
              <w:t>Clinical event, substitution from another shortage, policy change</w:t>
            </w:r>
          </w:p>
        </w:tc>
        <w:tc>
          <w:tcPr>
            <w:tcW w:type="dxa" w:w="3744"/>
            <w:tcMar>
              <w:top w:w="80" w:type="dxa"/>
              <w:start w:w="120" w:type="dxa"/>
              <w:bottom w:w="80" w:type="dxa"/>
              <w:end w:w="120" w:type="dxa"/>
            </w:tcMar>
            <w:vAlign w:val="top"/>
          </w:tcPr>
          <w:p>
            <w:pPr>
              <w:spacing w:after="0"/>
            </w:pPr>
            <w:r>
              <w:rPr>
                <w:sz w:val="16"/>
              </w:rPr>
              <w:t>Correlated regions, magnitude, duration</w:t>
            </w:r>
          </w:p>
        </w:tc>
      </w:tr>
      <w:tr>
        <w:trPr>
          <w:cantSplit w:val="true"/>
        </w:trPr>
        <w:tc>
          <w:tcPr>
            <w:tcW w:type="dxa" w:w="1656"/>
            <w:tcMar>
              <w:top w:w="80" w:type="dxa"/>
              <w:start w:w="120" w:type="dxa"/>
              <w:bottom w:w="80" w:type="dxa"/>
              <w:end w:w="120" w:type="dxa"/>
            </w:tcMar>
            <w:vAlign w:val="top"/>
          </w:tcPr>
          <w:p>
            <w:pPr>
              <w:spacing w:after="0"/>
            </w:pPr>
            <w:r>
              <w:rPr>
                <w:sz w:val="16"/>
              </w:rPr>
              <w:t>Regulatory/pathway</w:t>
            </w:r>
          </w:p>
        </w:tc>
        <w:tc>
          <w:tcPr>
            <w:tcW w:type="dxa" w:w="4320"/>
            <w:tcMar>
              <w:top w:w="80" w:type="dxa"/>
              <w:start w:w="120" w:type="dxa"/>
              <w:bottom w:w="80" w:type="dxa"/>
              <w:end w:w="120" w:type="dxa"/>
            </w:tcMar>
            <w:vAlign w:val="top"/>
          </w:tcPr>
          <w:p>
            <w:pPr>
              <w:spacing w:after="0"/>
            </w:pPr>
            <w:r>
              <w:rPr>
                <w:sz w:val="16"/>
              </w:rPr>
              <w:t>Site/action delay, shortage-list resolution, new-site qualification</w:t>
            </w:r>
          </w:p>
        </w:tc>
        <w:tc>
          <w:tcPr>
            <w:tcW w:type="dxa" w:w="3744"/>
            <w:tcMar>
              <w:top w:w="80" w:type="dxa"/>
              <w:start w:w="120" w:type="dxa"/>
              <w:bottom w:w="80" w:type="dxa"/>
              <w:end w:w="120" w:type="dxa"/>
            </w:tcMar>
            <w:vAlign w:val="top"/>
          </w:tcPr>
          <w:p>
            <w:pPr>
              <w:spacing w:after="0"/>
            </w:pPr>
            <w:r>
              <w:rPr>
                <w:sz w:val="16"/>
              </w:rPr>
              <w:t>State transition and implementation lag</w:t>
            </w:r>
          </w:p>
        </w:tc>
      </w:tr>
    </w:tbl>
    <w:p>
      <w:pPr>
        <w:pStyle w:val="Heading2"/>
        <w:keepNext/>
        <w:keepLines/>
      </w:pPr>
      <w:r>
        <w:t>8.3 Inventory and allocation</w:t>
      </w:r>
    </w:p>
    <w:p>
      <w:r>
        <w:t>Track inventory by age and location using first-expire-first-out. A strategy cannot claim the reliability of six months of stock without paying for working capital, warehousing, rotation, and expiry, and without testing whether the stock existed before the disruption. Allocate scarce supply with a pre-specified policy—proportional, criticality-weighted, minimum-guarantee, or optimization-based—and report regional equity. The preferred result should not depend silently on starving one region.</w:t>
      </w:r>
    </w:p>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Inventory[t+1] = Inventory[t] + released receipts − shipments − expiry − quality holds</w:t>
            </w:r>
          </w:p>
          <w:p>
            <w:pPr>
              <w:spacing w:after="0"/>
              <w:jc w:val="center"/>
            </w:pPr>
            <w:r>
              <w:rPr>
                <w:i/>
                <w:color w:val="5D6873"/>
                <w:sz w:val="17"/>
              </w:rPr>
              <w:t>Eq. 8. Compute by product, presentation, location, and age cohort.</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Backlog[t+1] = max(0, Backlog[t] + Demand[t] − fulfilled[t])</w:t>
            </w:r>
          </w:p>
          <w:p>
            <w:pPr>
              <w:spacing w:after="0"/>
              <w:jc w:val="center"/>
            </w:pPr>
            <w:r>
              <w:rPr>
                <w:i/>
                <w:color w:val="5D6873"/>
                <w:sz w:val="17"/>
              </w:rPr>
              <w:t>Eq. 9. Also report demand permanently lost or clinically substituted if modeled.</w:t>
            </w:r>
          </w:p>
        </w:tc>
      </w:tr>
    </w:tbl>
    <w:p>
      <w:pPr>
        <w:pStyle w:val="Heading2"/>
        <w:keepNext/>
        <w:keepLines/>
      </w:pPr>
      <w:r>
        <w:t>8.4 Recovery</w:t>
      </w:r>
    </w:p>
    <w:p>
      <w:r>
        <w:t>Define recovery as a sustained return above the service threshold for a minimum window (for example, 14 or 30 days), not the first day inventory becomes positive. Report time to first response, time to stable recovery, area under the unmet-demand curve, and probability that demand is met throughout an episode. This distinguishes rapid but insufficient bursts from durable recovery.</w:t>
      </w:r>
    </w:p>
    <w:p>
      <w:pPr>
        <w:pStyle w:val="Heading1"/>
        <w:keepNext/>
        <w:keepLines/>
      </w:pPr>
      <w:r>
        <w:t>9. Telo release-assurance submodel</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FFF4CC"/>
            <w:tcMar>
              <w:top w:w="130" w:type="dxa"/>
              <w:start w:w="170" w:type="dxa"/>
              <w:bottom w:w="130" w:type="dxa"/>
              <w:end w:w="170" w:type="dxa"/>
            </w:tcMar>
          </w:tcPr>
          <w:p>
            <w:pPr>
              <w:spacing w:after="60"/>
            </w:pPr>
            <w:r>
              <w:rPr>
                <w:b/>
                <w:color w:val="16324F"/>
              </w:rPr>
              <w:t>Current evidence boundary</w:t>
            </w:r>
          </w:p>
          <w:p>
            <w:pPr>
              <w:spacing w:after="0"/>
            </w:pPr>
            <w:r>
              <w:t>The public-spectra work is a methods proof that a conventional calibration can fail under instrument shift and that a conservative layer can detect out-of-distribution conditions and abstain. It is not yet evidence of accurate commercial batch release, target-drug chemistry, validated real-time release, sterility assurance, or useful throughput at an acceptable abstention rate.</w:t>
            </w:r>
          </w:p>
        </w:tc>
      </w:tr>
    </w:tbl>
    <w:p>
      <w:r>
        <w:t>The prior benchmark should be reported with both risk and coverage. In the cited older experiment, low unconditional wrong-release exposure was achieved primarily by abstaining on nearly all shifted cases; conditional coverage among the few released cases remained poor. That result supports stop-the-line detection, not a claim that release has been automated. The next evidence milestone is a useful risk–coverage frontier under realistic shifts, followed by prospective product/site validation.</w:t>
      </w:r>
    </w:p>
    <w:p>
      <w:pPr>
        <w:pStyle w:val="Heading2"/>
        <w:keepNext/>
        <w:keepLines/>
      </w:pPr>
      <w:r>
        <w:t>9.1 Separate four scenarios</w:t>
      </w:r>
    </w:p>
    <w:tbl>
      <w:tblPr>
        <w:tblStyle w:val="TableGrid"/>
        <w:tblW w:type="dxa" w:w="9720"/>
        <w:jc w:val="center"/>
        <w:tblLayout w:type="fixed"/>
        <w:tblLook w:firstColumn="1" w:firstRow="1" w:lastColumn="0" w:lastRow="0" w:noHBand="0" w:noVBand="1" w:val="04A0"/>
        <w:tblInd w:type="dxa" w:w="120"/>
      </w:tblPr>
      <w:tblGrid>
        <w:gridCol w:w="936"/>
        <w:gridCol w:w="2880"/>
        <w:gridCol w:w="5904"/>
      </w:tblGrid>
      <w:tr>
        <w:trPr>
          <w:cantSplit w:val="true"/>
          <w:tblHeader w:val="true"/>
        </w:trPr>
        <w:tc>
          <w:tcPr>
            <w:tcW w:type="dxa" w:w="936"/>
            <w:shd w:fill="E8EEF5"/>
            <w:tcMar>
              <w:top w:w="80" w:type="dxa"/>
              <w:start w:w="120" w:type="dxa"/>
              <w:bottom w:w="80" w:type="dxa"/>
              <w:end w:w="120" w:type="dxa"/>
            </w:tcMar>
            <w:vAlign w:val="center"/>
          </w:tcPr>
          <w:p>
            <w:pPr>
              <w:spacing w:after="0"/>
            </w:pPr>
            <w:r>
              <w:rPr>
                <w:b/>
                <w:color w:val="16324F"/>
                <w:sz w:val="16"/>
              </w:rPr>
              <w:t>Scenario</w:t>
            </w:r>
          </w:p>
        </w:tc>
        <w:tc>
          <w:tcPr>
            <w:tcW w:type="dxa" w:w="2880"/>
            <w:shd w:fill="E8EEF5"/>
            <w:tcMar>
              <w:top w:w="80" w:type="dxa"/>
              <w:start w:w="120" w:type="dxa"/>
              <w:bottom w:w="80" w:type="dxa"/>
              <w:end w:w="120" w:type="dxa"/>
            </w:tcMar>
            <w:vAlign w:val="center"/>
          </w:tcPr>
          <w:p>
            <w:pPr>
              <w:spacing w:after="0"/>
            </w:pPr>
            <w:r>
              <w:rPr>
                <w:b/>
                <w:color w:val="16324F"/>
                <w:sz w:val="16"/>
              </w:rPr>
              <w:t>State</w:t>
            </w:r>
          </w:p>
        </w:tc>
        <w:tc>
          <w:tcPr>
            <w:tcW w:type="dxa" w:w="5904"/>
            <w:shd w:fill="E8EEF5"/>
            <w:tcMar>
              <w:top w:w="80" w:type="dxa"/>
              <w:start w:w="120" w:type="dxa"/>
              <w:bottom w:w="80" w:type="dxa"/>
              <w:end w:w="120" w:type="dxa"/>
            </w:tcMar>
            <w:vAlign w:val="center"/>
          </w:tcPr>
          <w:p>
            <w:pPr>
              <w:spacing w:after="0"/>
            </w:pPr>
            <w:r>
              <w:rPr>
                <w:b/>
                <w:color w:val="16324F"/>
                <w:sz w:val="16"/>
              </w:rPr>
              <w:t>Model treatment</w:t>
            </w:r>
          </w:p>
        </w:tc>
      </w:tr>
      <w:tr>
        <w:trPr>
          <w:cantSplit w:val="true"/>
        </w:trPr>
        <w:tc>
          <w:tcPr>
            <w:tcW w:type="dxa" w:w="936"/>
            <w:tcMar>
              <w:top w:w="80" w:type="dxa"/>
              <w:start w:w="120" w:type="dxa"/>
              <w:bottom w:w="80" w:type="dxa"/>
              <w:end w:w="120" w:type="dxa"/>
            </w:tcMar>
            <w:vAlign w:val="top"/>
          </w:tcPr>
          <w:p>
            <w:pPr>
              <w:spacing w:after="0"/>
            </w:pPr>
            <w:r>
              <w:rPr>
                <w:sz w:val="16"/>
              </w:rPr>
              <w:t>R0</w:t>
            </w:r>
          </w:p>
        </w:tc>
        <w:tc>
          <w:tcPr>
            <w:tcW w:type="dxa" w:w="2880"/>
            <w:tcMar>
              <w:top w:w="80" w:type="dxa"/>
              <w:start w:w="120" w:type="dxa"/>
              <w:bottom w:w="80" w:type="dxa"/>
              <w:end w:w="120" w:type="dxa"/>
            </w:tcMar>
            <w:vAlign w:val="top"/>
          </w:tcPr>
          <w:p>
            <w:pPr>
              <w:spacing w:after="0"/>
            </w:pPr>
            <w:r>
              <w:rPr>
                <w:sz w:val="16"/>
              </w:rPr>
              <w:t>Conventional release</w:t>
            </w:r>
          </w:p>
        </w:tc>
        <w:tc>
          <w:tcPr>
            <w:tcW w:type="dxa" w:w="5904"/>
            <w:tcMar>
              <w:top w:w="80" w:type="dxa"/>
              <w:start w:w="120" w:type="dxa"/>
              <w:bottom w:w="80" w:type="dxa"/>
              <w:end w:w="120" w:type="dxa"/>
            </w:tcMar>
            <w:vAlign w:val="top"/>
          </w:tcPr>
          <w:p>
            <w:pPr>
              <w:spacing w:after="0"/>
            </w:pPr>
            <w:r>
              <w:rPr>
                <w:sz w:val="16"/>
              </w:rPr>
              <w:t>All standard validated testing and human disposition; no Telo benefit</w:t>
            </w:r>
          </w:p>
        </w:tc>
      </w:tr>
      <w:tr>
        <w:trPr>
          <w:cantSplit w:val="true"/>
        </w:trPr>
        <w:tc>
          <w:tcPr>
            <w:tcW w:type="dxa" w:w="936"/>
            <w:tcMar>
              <w:top w:w="80" w:type="dxa"/>
              <w:start w:w="120" w:type="dxa"/>
              <w:bottom w:w="80" w:type="dxa"/>
              <w:end w:w="120" w:type="dxa"/>
            </w:tcMar>
            <w:vAlign w:val="top"/>
          </w:tcPr>
          <w:p>
            <w:pPr>
              <w:spacing w:after="0"/>
            </w:pPr>
            <w:r>
              <w:rPr>
                <w:sz w:val="16"/>
              </w:rPr>
              <w:t>R1</w:t>
            </w:r>
          </w:p>
        </w:tc>
        <w:tc>
          <w:tcPr>
            <w:tcW w:type="dxa" w:w="2880"/>
            <w:tcMar>
              <w:top w:w="80" w:type="dxa"/>
              <w:start w:w="120" w:type="dxa"/>
              <w:bottom w:w="80" w:type="dxa"/>
              <w:end w:w="120" w:type="dxa"/>
            </w:tcMar>
            <w:vAlign w:val="top"/>
          </w:tcPr>
          <w:p>
            <w:pPr>
              <w:spacing w:after="0"/>
            </w:pPr>
            <w:r>
              <w:rPr>
                <w:sz w:val="16"/>
              </w:rPr>
              <w:t>Documentation/orchestration</w:t>
            </w:r>
          </w:p>
        </w:tc>
        <w:tc>
          <w:tcPr>
            <w:tcW w:type="dxa" w:w="5904"/>
            <w:tcMar>
              <w:top w:w="80" w:type="dxa"/>
              <w:start w:w="120" w:type="dxa"/>
              <w:bottom w:w="80" w:type="dxa"/>
              <w:end w:w="120" w:type="dxa"/>
            </w:tcMar>
            <w:vAlign w:val="top"/>
          </w:tcPr>
          <w:p>
            <w:pPr>
              <w:spacing w:after="0"/>
            </w:pPr>
            <w:r>
              <w:rPr>
                <w:sz w:val="16"/>
              </w:rPr>
              <w:t>Reduces administrative cycle time only where measured; no analytical test replacement</w:t>
            </w:r>
          </w:p>
        </w:tc>
      </w:tr>
      <w:tr>
        <w:trPr>
          <w:cantSplit w:val="true"/>
        </w:trPr>
        <w:tc>
          <w:tcPr>
            <w:tcW w:type="dxa" w:w="936"/>
            <w:tcMar>
              <w:top w:w="80" w:type="dxa"/>
              <w:start w:w="120" w:type="dxa"/>
              <w:bottom w:w="80" w:type="dxa"/>
              <w:end w:w="120" w:type="dxa"/>
            </w:tcMar>
            <w:vAlign w:val="top"/>
          </w:tcPr>
          <w:p>
            <w:pPr>
              <w:spacing w:after="0"/>
            </w:pPr>
            <w:r>
              <w:rPr>
                <w:sz w:val="16"/>
              </w:rPr>
              <w:t>R2</w:t>
            </w:r>
          </w:p>
        </w:tc>
        <w:tc>
          <w:tcPr>
            <w:tcW w:type="dxa" w:w="2880"/>
            <w:tcMar>
              <w:top w:w="80" w:type="dxa"/>
              <w:start w:w="120" w:type="dxa"/>
              <w:bottom w:w="80" w:type="dxa"/>
              <w:end w:w="120" w:type="dxa"/>
            </w:tcMar>
            <w:vAlign w:val="top"/>
          </w:tcPr>
          <w:p>
            <w:pPr>
              <w:spacing w:after="0"/>
            </w:pPr>
            <w:r>
              <w:rPr>
                <w:sz w:val="16"/>
              </w:rPr>
              <w:t>Shadow-mode decision support</w:t>
            </w:r>
          </w:p>
        </w:tc>
        <w:tc>
          <w:tcPr>
            <w:tcW w:type="dxa" w:w="5904"/>
            <w:tcMar>
              <w:top w:w="80" w:type="dxa"/>
              <w:start w:w="120" w:type="dxa"/>
              <w:bottom w:w="80" w:type="dxa"/>
              <w:end w:w="120" w:type="dxa"/>
            </w:tcMar>
            <w:vAlign w:val="top"/>
          </w:tcPr>
          <w:p>
            <w:pPr>
              <w:spacing w:after="0"/>
            </w:pPr>
            <w:r>
              <w:rPr>
                <w:sz w:val="16"/>
              </w:rPr>
              <w:t>Predictions and shift alerts do not control release; value measured through detection, investigation prioritization, and prospective concordance</w:t>
            </w:r>
          </w:p>
        </w:tc>
      </w:tr>
      <w:tr>
        <w:trPr>
          <w:cantSplit w:val="true"/>
        </w:trPr>
        <w:tc>
          <w:tcPr>
            <w:tcW w:type="dxa" w:w="936"/>
            <w:tcMar>
              <w:top w:w="80" w:type="dxa"/>
              <w:start w:w="120" w:type="dxa"/>
              <w:bottom w:w="80" w:type="dxa"/>
              <w:end w:w="120" w:type="dxa"/>
            </w:tcMar>
            <w:vAlign w:val="top"/>
          </w:tcPr>
          <w:p>
            <w:pPr>
              <w:spacing w:after="0"/>
            </w:pPr>
            <w:r>
              <w:rPr>
                <w:sz w:val="16"/>
              </w:rPr>
              <w:t>R3</w:t>
            </w:r>
          </w:p>
        </w:tc>
        <w:tc>
          <w:tcPr>
            <w:tcW w:type="dxa" w:w="2880"/>
            <w:tcMar>
              <w:top w:w="80" w:type="dxa"/>
              <w:start w:w="120" w:type="dxa"/>
              <w:bottom w:w="80" w:type="dxa"/>
              <w:end w:w="120" w:type="dxa"/>
            </w:tcMar>
            <w:vAlign w:val="top"/>
          </w:tcPr>
          <w:p>
            <w:pPr>
              <w:spacing w:after="0"/>
            </w:pPr>
            <w:r>
              <w:rPr>
                <w:sz w:val="16"/>
              </w:rPr>
              <w:t>Validated release component</w:t>
            </w:r>
          </w:p>
        </w:tc>
        <w:tc>
          <w:tcPr>
            <w:tcW w:type="dxa" w:w="5904"/>
            <w:tcMar>
              <w:top w:w="80" w:type="dxa"/>
              <w:start w:w="120" w:type="dxa"/>
              <w:bottom w:w="80" w:type="dxa"/>
              <w:end w:w="120" w:type="dxa"/>
            </w:tcMar>
            <w:vAlign w:val="top"/>
          </w:tcPr>
          <w:p>
            <w:pPr>
              <w:spacing w:after="0"/>
            </w:pPr>
            <w:r>
              <w:rPr>
                <w:sz w:val="16"/>
              </w:rPr>
              <w:t>Only after predefined product/site validation and quality/regulatory acceptance; model the exact component and fallback path</w:t>
            </w:r>
          </w:p>
        </w:tc>
      </w:tr>
    </w:tbl>
    <w:p>
      <w:pPr>
        <w:pStyle w:val="Heading2"/>
        <w:keepNext/>
        <w:keepLines/>
      </w:pPr>
      <w:r>
        <w:t>9.2 Metrics that must travel together</w:t>
      </w:r>
    </w:p>
    <w:p>
      <w:pPr>
        <w:pStyle w:val="ListBullet"/>
      </w:pPr>
      <w:r>
        <w:t>Released fraction (coverage) and abstention fraction.</w:t>
      </w:r>
    </w:p>
    <w:p>
      <w:pPr>
        <w:pStyle w:val="ListBullet"/>
      </w:pPr>
      <w:r>
        <w:t>Wrong-release probability among all units and conditional on release.</w:t>
      </w:r>
    </w:p>
    <w:p>
      <w:pPr>
        <w:pStyle w:val="ListBullet"/>
      </w:pPr>
      <w:r>
        <w:t>False-hold probability and operational cost of unnecessary abstention.</w:t>
      </w:r>
    </w:p>
    <w:p>
      <w:pPr>
        <w:pStyle w:val="ListBullet"/>
      </w:pPr>
      <w:r>
        <w:t>Calibration/coverage overall and by instrument, site, lot, time, concentration range, operator, and shift type.</w:t>
      </w:r>
    </w:p>
    <w:p>
      <w:pPr>
        <w:pStyle w:val="ListBullet"/>
      </w:pPr>
      <w:r>
        <w:t>Detection delay, repair sample count, and performance after repair without leakage.</w:t>
      </w:r>
    </w:p>
    <w:p>
      <w:pPr>
        <w:pStyle w:val="ListBullet"/>
      </w:pPr>
      <w:r>
        <w:t>Release-time distribution including fallback testing, investigation, and revalidation—not only model inference time.</w:t>
      </w:r>
    </w:p>
    <w:p>
      <w:pPr>
        <w:pStyle w:val="Heading2"/>
        <w:keepNext/>
        <w:keepLines/>
      </w:pPr>
      <w:r>
        <w:t>9.3 Required next benchmark design</w:t>
      </w:r>
    </w:p>
    <w:p>
      <w:pPr>
        <w:pStyle w:val="ListNumber"/>
      </w:pPr>
      <w:r>
        <w:t>Pre-register datasets, shifts, endpoints, thresholds, and failure definitions.</w:t>
      </w:r>
    </w:p>
    <w:p>
      <w:pPr>
        <w:pStyle w:val="ListNumber"/>
      </w:pPr>
      <w:r>
        <w:t>Use grouped external validation by instrument/site/lot/time; prevent spectra from related samples leaking across train/test partitions.</w:t>
      </w:r>
    </w:p>
    <w:p>
      <w:pPr>
        <w:pStyle w:val="ListNumber"/>
      </w:pPr>
      <w:r>
        <w:t>Compare against calibration transfer, standardization, domain adaptation, conformal/uncertainty baselines, and a mandatory-hold policy.</w:t>
      </w:r>
    </w:p>
    <w:p>
      <w:pPr>
        <w:pStyle w:val="ListNumber"/>
      </w:pPr>
      <w:r>
        <w:t>Evaluate selective prediction curves: risk versus coverage and operational cost versus coverage.</w:t>
      </w:r>
    </w:p>
    <w:p>
      <w:pPr>
        <w:pStyle w:val="ListNumber"/>
      </w:pPr>
      <w:r>
        <w:t>Stress test unknown shift types, adversarial sensor faults, missing metadata, label noise, drift, and repair with few verified assays.</w:t>
      </w:r>
    </w:p>
    <w:p>
      <w:pPr>
        <w:pStyle w:val="ListNumber"/>
      </w:pPr>
      <w:r>
        <w:t>Release code, seeds, data provenance, model card, negative results, and limitations; then repeat on target chemistry with a qualified laboratory partner.</w:t>
      </w:r>
    </w:p>
    <w:p>
      <w:pPr>
        <w:pStyle w:val="Heading1"/>
        <w:keepNext/>
        <w:keepLines/>
      </w:pPr>
      <w:r>
        <w:t>10. Optimization, outputs, and decision rules</w:t>
      </w:r>
    </w:p>
    <w:p>
      <w:pPr>
        <w:pStyle w:val="Heading2"/>
        <w:keepNext/>
        <w:keepLines/>
      </w:pPr>
      <w:r>
        <w:t>10.1 Primary optimization</w:t>
      </w:r>
    </w:p>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minimize E[annual total cost] subject to fill rate ≥ τ, P(fill rate ≥ τ) ≥ q, and every hard gate = PASS</w:t>
            </w:r>
          </w:p>
          <w:p>
            <w:pPr>
              <w:spacing w:after="0"/>
              <w:jc w:val="center"/>
            </w:pPr>
            <w:r>
              <w:rPr>
                <w:i/>
                <w:color w:val="5D6873"/>
                <w:sz w:val="17"/>
              </w:rPr>
              <w:t>Eq. 10. Optimize each strategy separately over its allowed design variables.</w:t>
            </w:r>
          </w:p>
        </w:tc>
      </w:tr>
    </w:tbl>
    <w:p>
      <w:r>
        <w:t>Choose τ and q before viewing final results—for example, a mean fill-rate threshold plus a tail-reliability constraint. Also bound maximum shortage days, maximum regional disparity, and recovery time where stakeholders consider those independently important. A strategy is “best” only relative to explicit weights or constraints; otherwise present the Pareto frontier.</w:t>
      </w:r>
    </w:p>
    <w:p>
      <w:pPr>
        <w:pStyle w:val="Heading2"/>
        <w:keepNext/>
        <w:keepLines/>
      </w:pPr>
      <w:r>
        <w:t>10.2 Required outputs</w:t>
      </w:r>
    </w:p>
    <w:tbl>
      <w:tblPr>
        <w:tblStyle w:val="TableGrid"/>
        <w:tblW w:type="dxa" w:w="9720"/>
        <w:jc w:val="center"/>
        <w:tblLayout w:type="fixed"/>
        <w:tblLook w:firstColumn="1" w:firstRow="1" w:lastColumn="0" w:lastRow="0" w:noHBand="0" w:noVBand="1" w:val="04A0"/>
        <w:tblInd w:type="dxa" w:w="120"/>
      </w:tblPr>
      <w:tblGrid>
        <w:gridCol w:w="2232"/>
        <w:gridCol w:w="5256"/>
        <w:gridCol w:w="2232"/>
      </w:tblGrid>
      <w:tr>
        <w:trPr>
          <w:cantSplit w:val="true"/>
          <w:tblHeader w:val="true"/>
        </w:trPr>
        <w:tc>
          <w:tcPr>
            <w:tcW w:type="dxa" w:w="2232"/>
            <w:shd w:fill="E8EEF5"/>
            <w:tcMar>
              <w:top w:w="80" w:type="dxa"/>
              <w:start w:w="120" w:type="dxa"/>
              <w:bottom w:w="80" w:type="dxa"/>
              <w:end w:w="120" w:type="dxa"/>
            </w:tcMar>
            <w:vAlign w:val="center"/>
          </w:tcPr>
          <w:p>
            <w:pPr>
              <w:spacing w:after="0"/>
            </w:pPr>
            <w:r>
              <w:rPr>
                <w:b/>
                <w:color w:val="16324F"/>
                <w:sz w:val="15"/>
              </w:rPr>
              <w:t>Metric</w:t>
            </w:r>
          </w:p>
        </w:tc>
        <w:tc>
          <w:tcPr>
            <w:tcW w:type="dxa" w:w="5256"/>
            <w:shd w:fill="E8EEF5"/>
            <w:tcMar>
              <w:top w:w="80" w:type="dxa"/>
              <w:start w:w="120" w:type="dxa"/>
              <w:bottom w:w="80" w:type="dxa"/>
              <w:end w:w="120" w:type="dxa"/>
            </w:tcMar>
            <w:vAlign w:val="center"/>
          </w:tcPr>
          <w:p>
            <w:pPr>
              <w:spacing w:after="0"/>
            </w:pPr>
            <w:r>
              <w:rPr>
                <w:b/>
                <w:color w:val="16324F"/>
                <w:sz w:val="15"/>
              </w:rPr>
              <w:t>Definition</w:t>
            </w:r>
          </w:p>
        </w:tc>
        <w:tc>
          <w:tcPr>
            <w:tcW w:type="dxa" w:w="2232"/>
            <w:shd w:fill="E8EEF5"/>
            <w:tcMar>
              <w:top w:w="80" w:type="dxa"/>
              <w:start w:w="120" w:type="dxa"/>
              <w:bottom w:w="80" w:type="dxa"/>
              <w:end w:w="120" w:type="dxa"/>
            </w:tcMar>
            <w:vAlign w:val="center"/>
          </w:tcPr>
          <w:p>
            <w:pPr>
              <w:spacing w:after="0"/>
            </w:pPr>
            <w:r>
              <w:rPr>
                <w:b/>
                <w:color w:val="16324F"/>
                <w:sz w:val="15"/>
              </w:rPr>
              <w:t>Report</w:t>
            </w:r>
          </w:p>
        </w:tc>
      </w:tr>
      <w:tr>
        <w:trPr>
          <w:cantSplit w:val="true"/>
        </w:trPr>
        <w:tc>
          <w:tcPr>
            <w:tcW w:type="dxa" w:w="2232"/>
            <w:tcMar>
              <w:top w:w="80" w:type="dxa"/>
              <w:start w:w="120" w:type="dxa"/>
              <w:bottom w:w="80" w:type="dxa"/>
              <w:end w:w="120" w:type="dxa"/>
            </w:tcMar>
            <w:vAlign w:val="top"/>
          </w:tcPr>
          <w:p>
            <w:pPr>
              <w:spacing w:after="0"/>
            </w:pPr>
            <w:r>
              <w:rPr>
                <w:sz w:val="15"/>
              </w:rPr>
              <w:t>Cost per delivered unit</w:t>
            </w:r>
          </w:p>
        </w:tc>
        <w:tc>
          <w:tcPr>
            <w:tcW w:type="dxa" w:w="5256"/>
            <w:tcMar>
              <w:top w:w="80" w:type="dxa"/>
              <w:start w:w="120" w:type="dxa"/>
              <w:bottom w:w="80" w:type="dxa"/>
              <w:end w:w="120" w:type="dxa"/>
            </w:tcMar>
            <w:vAlign w:val="top"/>
          </w:tcPr>
          <w:p>
            <w:pPr>
              <w:spacing w:after="0"/>
            </w:pPr>
            <w:r>
              <w:rPr>
                <w:sz w:val="15"/>
              </w:rPr>
              <w:t>Total annual cost / delivered nonexpired units</w:t>
            </w:r>
          </w:p>
        </w:tc>
        <w:tc>
          <w:tcPr>
            <w:tcW w:type="dxa" w:w="2232"/>
            <w:tcMar>
              <w:top w:w="80" w:type="dxa"/>
              <w:start w:w="120" w:type="dxa"/>
              <w:bottom w:w="80" w:type="dxa"/>
              <w:end w:w="120" w:type="dxa"/>
            </w:tcMar>
            <w:vAlign w:val="top"/>
          </w:tcPr>
          <w:p>
            <w:pPr>
              <w:spacing w:after="0"/>
            </w:pPr>
            <w:r>
              <w:rPr>
                <w:sz w:val="15"/>
              </w:rPr>
              <w:t>Mean, median, p5/p95</w:t>
            </w:r>
          </w:p>
        </w:tc>
      </w:tr>
      <w:tr>
        <w:trPr>
          <w:cantSplit w:val="true"/>
        </w:trPr>
        <w:tc>
          <w:tcPr>
            <w:tcW w:type="dxa" w:w="2232"/>
            <w:tcMar>
              <w:top w:w="80" w:type="dxa"/>
              <w:start w:w="120" w:type="dxa"/>
              <w:bottom w:w="80" w:type="dxa"/>
              <w:end w:w="120" w:type="dxa"/>
            </w:tcMar>
            <w:vAlign w:val="top"/>
          </w:tcPr>
          <w:p>
            <w:pPr>
              <w:spacing w:after="0"/>
            </w:pPr>
            <w:r>
              <w:rPr>
                <w:sz w:val="15"/>
              </w:rPr>
              <w:t>Fill rate</w:t>
            </w:r>
          </w:p>
        </w:tc>
        <w:tc>
          <w:tcPr>
            <w:tcW w:type="dxa" w:w="5256"/>
            <w:tcMar>
              <w:top w:w="80" w:type="dxa"/>
              <w:start w:w="120" w:type="dxa"/>
              <w:bottom w:w="80" w:type="dxa"/>
              <w:end w:w="120" w:type="dxa"/>
            </w:tcMar>
            <w:vAlign w:val="top"/>
          </w:tcPr>
          <w:p>
            <w:pPr>
              <w:spacing w:after="0"/>
            </w:pPr>
            <w:r>
              <w:rPr>
                <w:sz w:val="15"/>
              </w:rPr>
              <w:t>Fulfilled demand / demand</w:t>
            </w:r>
          </w:p>
        </w:tc>
        <w:tc>
          <w:tcPr>
            <w:tcW w:type="dxa" w:w="2232"/>
            <w:tcMar>
              <w:top w:w="80" w:type="dxa"/>
              <w:start w:w="120" w:type="dxa"/>
              <w:bottom w:w="80" w:type="dxa"/>
              <w:end w:w="120" w:type="dxa"/>
            </w:tcMar>
            <w:vAlign w:val="top"/>
          </w:tcPr>
          <w:p>
            <w:pPr>
              <w:spacing w:after="0"/>
            </w:pPr>
            <w:r>
              <w:rPr>
                <w:sz w:val="15"/>
              </w:rPr>
              <w:t>Overall and by region; mean and tail</w:t>
            </w:r>
          </w:p>
        </w:tc>
      </w:tr>
      <w:tr>
        <w:trPr>
          <w:cantSplit w:val="true"/>
        </w:trPr>
        <w:tc>
          <w:tcPr>
            <w:tcW w:type="dxa" w:w="2232"/>
            <w:tcMar>
              <w:top w:w="80" w:type="dxa"/>
              <w:start w:w="120" w:type="dxa"/>
              <w:bottom w:w="80" w:type="dxa"/>
              <w:end w:w="120" w:type="dxa"/>
            </w:tcMar>
            <w:vAlign w:val="top"/>
          </w:tcPr>
          <w:p>
            <w:pPr>
              <w:spacing w:after="0"/>
            </w:pPr>
            <w:r>
              <w:rPr>
                <w:sz w:val="15"/>
              </w:rPr>
              <w:t>Shortage days</w:t>
            </w:r>
          </w:p>
        </w:tc>
        <w:tc>
          <w:tcPr>
            <w:tcW w:type="dxa" w:w="5256"/>
            <w:tcMar>
              <w:top w:w="80" w:type="dxa"/>
              <w:start w:w="120" w:type="dxa"/>
              <w:bottom w:w="80" w:type="dxa"/>
              <w:end w:w="120" w:type="dxa"/>
            </w:tcMar>
            <w:vAlign w:val="top"/>
          </w:tcPr>
          <w:p>
            <w:pPr>
              <w:spacing w:after="0"/>
            </w:pPr>
            <w:r>
              <w:rPr>
                <w:sz w:val="15"/>
              </w:rPr>
              <w:t>Days daily fill falls below frozen threshold</w:t>
            </w:r>
          </w:p>
        </w:tc>
        <w:tc>
          <w:tcPr>
            <w:tcW w:type="dxa" w:w="2232"/>
            <w:tcMar>
              <w:top w:w="80" w:type="dxa"/>
              <w:start w:w="120" w:type="dxa"/>
              <w:bottom w:w="80" w:type="dxa"/>
              <w:end w:w="120" w:type="dxa"/>
            </w:tcMar>
            <w:vAlign w:val="top"/>
          </w:tcPr>
          <w:p>
            <w:pPr>
              <w:spacing w:after="0"/>
            </w:pPr>
            <w:r>
              <w:rPr>
                <w:sz w:val="15"/>
              </w:rPr>
              <w:t>Expected, p95, probability of zero</w:t>
            </w:r>
          </w:p>
        </w:tc>
      </w:tr>
      <w:tr>
        <w:trPr>
          <w:cantSplit w:val="true"/>
        </w:trPr>
        <w:tc>
          <w:tcPr>
            <w:tcW w:type="dxa" w:w="2232"/>
            <w:tcMar>
              <w:top w:w="80" w:type="dxa"/>
              <w:start w:w="120" w:type="dxa"/>
              <w:bottom w:w="80" w:type="dxa"/>
              <w:end w:w="120" w:type="dxa"/>
            </w:tcMar>
            <w:vAlign w:val="top"/>
          </w:tcPr>
          <w:p>
            <w:pPr>
              <w:spacing w:after="0"/>
            </w:pPr>
            <w:r>
              <w:rPr>
                <w:sz w:val="15"/>
              </w:rPr>
              <w:t>Unmet units</w:t>
            </w:r>
          </w:p>
        </w:tc>
        <w:tc>
          <w:tcPr>
            <w:tcW w:type="dxa" w:w="5256"/>
            <w:tcMar>
              <w:top w:w="80" w:type="dxa"/>
              <w:start w:w="120" w:type="dxa"/>
              <w:bottom w:w="80" w:type="dxa"/>
              <w:end w:w="120" w:type="dxa"/>
            </w:tcMar>
            <w:vAlign w:val="top"/>
          </w:tcPr>
          <w:p>
            <w:pPr>
              <w:spacing w:after="0"/>
            </w:pPr>
            <w:r>
              <w:rPr>
                <w:sz w:val="15"/>
              </w:rPr>
              <w:t>Demand not fulfilled within allowed window</w:t>
            </w:r>
          </w:p>
        </w:tc>
        <w:tc>
          <w:tcPr>
            <w:tcW w:type="dxa" w:w="2232"/>
            <w:tcMar>
              <w:top w:w="80" w:type="dxa"/>
              <w:start w:w="120" w:type="dxa"/>
              <w:bottom w:w="80" w:type="dxa"/>
              <w:end w:w="120" w:type="dxa"/>
            </w:tcMar>
            <w:vAlign w:val="top"/>
          </w:tcPr>
          <w:p>
            <w:pPr>
              <w:spacing w:after="0"/>
            </w:pPr>
            <w:r>
              <w:rPr>
                <w:sz w:val="15"/>
              </w:rPr>
              <w:t>Area and peak</w:t>
            </w:r>
          </w:p>
        </w:tc>
      </w:tr>
      <w:tr>
        <w:trPr>
          <w:cantSplit w:val="true"/>
        </w:trPr>
        <w:tc>
          <w:tcPr>
            <w:tcW w:type="dxa" w:w="2232"/>
            <w:tcMar>
              <w:top w:w="80" w:type="dxa"/>
              <w:start w:w="120" w:type="dxa"/>
              <w:bottom w:w="80" w:type="dxa"/>
              <w:end w:w="120" w:type="dxa"/>
            </w:tcMar>
            <w:vAlign w:val="top"/>
          </w:tcPr>
          <w:p>
            <w:pPr>
              <w:spacing w:after="0"/>
            </w:pPr>
            <w:r>
              <w:rPr>
                <w:sz w:val="15"/>
              </w:rPr>
              <w:t>Recovery time</w:t>
            </w:r>
          </w:p>
        </w:tc>
        <w:tc>
          <w:tcPr>
            <w:tcW w:type="dxa" w:w="5256"/>
            <w:tcMar>
              <w:top w:w="80" w:type="dxa"/>
              <w:start w:w="120" w:type="dxa"/>
              <w:bottom w:w="80" w:type="dxa"/>
              <w:end w:w="120" w:type="dxa"/>
            </w:tcMar>
            <w:vAlign w:val="top"/>
          </w:tcPr>
          <w:p>
            <w:pPr>
              <w:spacing w:after="0"/>
            </w:pPr>
            <w:r>
              <w:rPr>
                <w:sz w:val="15"/>
              </w:rPr>
              <w:t>Days from disruption to sustained service recovery</w:t>
            </w:r>
          </w:p>
        </w:tc>
        <w:tc>
          <w:tcPr>
            <w:tcW w:type="dxa" w:w="2232"/>
            <w:tcMar>
              <w:top w:w="80" w:type="dxa"/>
              <w:start w:w="120" w:type="dxa"/>
              <w:bottom w:w="80" w:type="dxa"/>
              <w:end w:w="120" w:type="dxa"/>
            </w:tcMar>
            <w:vAlign w:val="top"/>
          </w:tcPr>
          <w:p>
            <w:pPr>
              <w:spacing w:after="0"/>
            </w:pPr>
            <w:r>
              <w:rPr>
                <w:sz w:val="15"/>
              </w:rPr>
              <w:t>Median/p95 by event class</w:t>
            </w:r>
          </w:p>
        </w:tc>
      </w:tr>
      <w:tr>
        <w:trPr>
          <w:cantSplit w:val="true"/>
        </w:trPr>
        <w:tc>
          <w:tcPr>
            <w:tcW w:type="dxa" w:w="2232"/>
            <w:tcMar>
              <w:top w:w="80" w:type="dxa"/>
              <w:start w:w="120" w:type="dxa"/>
              <w:bottom w:w="80" w:type="dxa"/>
              <w:end w:w="120" w:type="dxa"/>
            </w:tcMar>
            <w:vAlign w:val="top"/>
          </w:tcPr>
          <w:p>
            <w:pPr>
              <w:spacing w:after="0"/>
            </w:pPr>
            <w:r>
              <w:rPr>
                <w:sz w:val="15"/>
              </w:rPr>
              <w:t>Probability meeting demand</w:t>
            </w:r>
          </w:p>
        </w:tc>
        <w:tc>
          <w:tcPr>
            <w:tcW w:type="dxa" w:w="5256"/>
            <w:tcMar>
              <w:top w:w="80" w:type="dxa"/>
              <w:start w:w="120" w:type="dxa"/>
              <w:bottom w:w="80" w:type="dxa"/>
              <w:end w:w="120" w:type="dxa"/>
            </w:tcMar>
            <w:vAlign w:val="top"/>
          </w:tcPr>
          <w:p>
            <w:pPr>
              <w:spacing w:after="0"/>
            </w:pPr>
            <w:r>
              <w:rPr>
                <w:sz w:val="15"/>
              </w:rPr>
              <w:t>Runs satisfying all service constraints</w:t>
            </w:r>
          </w:p>
        </w:tc>
        <w:tc>
          <w:tcPr>
            <w:tcW w:type="dxa" w:w="2232"/>
            <w:tcMar>
              <w:top w:w="80" w:type="dxa"/>
              <w:start w:w="120" w:type="dxa"/>
              <w:bottom w:w="80" w:type="dxa"/>
              <w:end w:w="120" w:type="dxa"/>
            </w:tcMar>
            <w:vAlign w:val="top"/>
          </w:tcPr>
          <w:p>
            <w:pPr>
              <w:spacing w:after="0"/>
            </w:pPr>
            <w:r>
              <w:rPr>
                <w:sz w:val="15"/>
              </w:rPr>
              <w:t>With Monte Carlo interval</w:t>
            </w:r>
          </w:p>
        </w:tc>
      </w:tr>
      <w:tr>
        <w:trPr>
          <w:cantSplit w:val="true"/>
        </w:trPr>
        <w:tc>
          <w:tcPr>
            <w:tcW w:type="dxa" w:w="2232"/>
            <w:tcMar>
              <w:top w:w="80" w:type="dxa"/>
              <w:start w:w="120" w:type="dxa"/>
              <w:bottom w:w="80" w:type="dxa"/>
              <w:end w:w="120" w:type="dxa"/>
            </w:tcMar>
            <w:vAlign w:val="top"/>
          </w:tcPr>
          <w:p>
            <w:pPr>
              <w:spacing w:after="0"/>
            </w:pPr>
            <w:r>
              <w:rPr>
                <w:sz w:val="15"/>
              </w:rPr>
              <w:t>Break-even volume</w:t>
            </w:r>
          </w:p>
        </w:tc>
        <w:tc>
          <w:tcPr>
            <w:tcW w:type="dxa" w:w="5256"/>
            <w:tcMar>
              <w:top w:w="80" w:type="dxa"/>
              <w:start w:w="120" w:type="dxa"/>
              <w:bottom w:w="80" w:type="dxa"/>
              <w:end w:w="120" w:type="dxa"/>
            </w:tcMar>
            <w:vAlign w:val="top"/>
          </w:tcPr>
          <w:p>
            <w:pPr>
              <w:spacing w:after="0"/>
            </w:pPr>
            <w:r>
              <w:rPr>
                <w:sz w:val="15"/>
              </w:rPr>
              <w:t>Committed units supporting fixed/resilience cost</w:t>
            </w:r>
          </w:p>
        </w:tc>
        <w:tc>
          <w:tcPr>
            <w:tcW w:type="dxa" w:w="2232"/>
            <w:tcMar>
              <w:top w:w="80" w:type="dxa"/>
              <w:start w:w="120" w:type="dxa"/>
              <w:bottom w:w="80" w:type="dxa"/>
              <w:end w:w="120" w:type="dxa"/>
            </w:tcMar>
            <w:vAlign w:val="top"/>
          </w:tcPr>
          <w:p>
            <w:pPr>
              <w:spacing w:after="0"/>
            </w:pPr>
            <w:r>
              <w:rPr>
                <w:sz w:val="15"/>
              </w:rPr>
              <w:t>Surface over price/utilization/node count</w:t>
            </w:r>
          </w:p>
        </w:tc>
      </w:tr>
      <w:tr>
        <w:trPr>
          <w:cantSplit w:val="true"/>
        </w:trPr>
        <w:tc>
          <w:tcPr>
            <w:tcW w:type="dxa" w:w="2232"/>
            <w:tcMar>
              <w:top w:w="80" w:type="dxa"/>
              <w:start w:w="120" w:type="dxa"/>
              <w:bottom w:w="80" w:type="dxa"/>
              <w:end w:w="120" w:type="dxa"/>
            </w:tcMar>
            <w:vAlign w:val="top"/>
          </w:tcPr>
          <w:p>
            <w:pPr>
              <w:spacing w:after="0"/>
            </w:pPr>
            <w:r>
              <w:rPr>
                <w:sz w:val="15"/>
              </w:rPr>
              <w:t>Incremental cost-effectiveness</w:t>
            </w:r>
          </w:p>
        </w:tc>
        <w:tc>
          <w:tcPr>
            <w:tcW w:type="dxa" w:w="5256"/>
            <w:tcMar>
              <w:top w:w="80" w:type="dxa"/>
              <w:start w:w="120" w:type="dxa"/>
              <w:bottom w:w="80" w:type="dxa"/>
              <w:end w:w="120" w:type="dxa"/>
            </w:tcMar>
            <w:vAlign w:val="top"/>
          </w:tcPr>
          <w:p>
            <w:pPr>
              <w:spacing w:after="0"/>
            </w:pPr>
            <w:r>
              <w:rPr>
                <w:sz w:val="15"/>
              </w:rPr>
              <w:t>Incremental cost / shortage-day avoided</w:t>
            </w:r>
          </w:p>
        </w:tc>
        <w:tc>
          <w:tcPr>
            <w:tcW w:type="dxa" w:w="2232"/>
            <w:tcMar>
              <w:top w:w="80" w:type="dxa"/>
              <w:start w:w="120" w:type="dxa"/>
              <w:bottom w:w="80" w:type="dxa"/>
              <w:end w:w="120" w:type="dxa"/>
            </w:tcMar>
            <w:vAlign w:val="top"/>
          </w:tcPr>
          <w:p>
            <w:pPr>
              <w:spacing w:after="0"/>
            </w:pPr>
            <w:r>
              <w:rPr>
                <w:sz w:val="15"/>
              </w:rPr>
              <w:t>Exclude dominated strategies; uncertainty interval</w:t>
            </w:r>
          </w:p>
        </w:tc>
      </w:tr>
      <w:tr>
        <w:trPr>
          <w:cantSplit w:val="true"/>
        </w:trPr>
        <w:tc>
          <w:tcPr>
            <w:tcW w:type="dxa" w:w="2232"/>
            <w:tcMar>
              <w:top w:w="80" w:type="dxa"/>
              <w:start w:w="120" w:type="dxa"/>
              <w:bottom w:w="80" w:type="dxa"/>
              <w:end w:w="120" w:type="dxa"/>
            </w:tcMar>
            <w:vAlign w:val="top"/>
          </w:tcPr>
          <w:p>
            <w:pPr>
              <w:spacing w:after="0"/>
            </w:pPr>
            <w:r>
              <w:rPr>
                <w:sz w:val="15"/>
              </w:rPr>
              <w:t>Regional equity</w:t>
            </w:r>
          </w:p>
        </w:tc>
        <w:tc>
          <w:tcPr>
            <w:tcW w:type="dxa" w:w="5256"/>
            <w:tcMar>
              <w:top w:w="80" w:type="dxa"/>
              <w:start w:w="120" w:type="dxa"/>
              <w:bottom w:w="80" w:type="dxa"/>
              <w:end w:w="120" w:type="dxa"/>
            </w:tcMar>
            <w:vAlign w:val="top"/>
          </w:tcPr>
          <w:p>
            <w:pPr>
              <w:spacing w:after="0"/>
            </w:pPr>
            <w:r>
              <w:rPr>
                <w:sz w:val="15"/>
              </w:rPr>
              <w:t>Max–min or dispersion in region-level fill/recovery</w:t>
            </w:r>
          </w:p>
        </w:tc>
        <w:tc>
          <w:tcPr>
            <w:tcW w:type="dxa" w:w="2232"/>
            <w:tcMar>
              <w:top w:w="80" w:type="dxa"/>
              <w:start w:w="120" w:type="dxa"/>
              <w:bottom w:w="80" w:type="dxa"/>
              <w:end w:w="120" w:type="dxa"/>
            </w:tcMar>
            <w:vAlign w:val="top"/>
          </w:tcPr>
          <w:p>
            <w:pPr>
              <w:spacing w:after="0"/>
            </w:pPr>
            <w:r>
              <w:rPr>
                <w:sz w:val="15"/>
              </w:rPr>
              <w:t>Report allocation-policy sensitivity</w:t>
            </w:r>
          </w:p>
        </w:tc>
      </w:tr>
      <w:tr>
        <w:trPr>
          <w:cantSplit w:val="true"/>
        </w:trPr>
        <w:tc>
          <w:tcPr>
            <w:tcW w:type="dxa" w:w="2232"/>
            <w:tcMar>
              <w:top w:w="80" w:type="dxa"/>
              <w:start w:w="120" w:type="dxa"/>
              <w:bottom w:w="80" w:type="dxa"/>
              <w:end w:w="120" w:type="dxa"/>
            </w:tcMar>
            <w:vAlign w:val="top"/>
          </w:tcPr>
          <w:p>
            <w:pPr>
              <w:spacing w:after="0"/>
            </w:pPr>
            <w:r>
              <w:rPr>
                <w:sz w:val="15"/>
              </w:rPr>
              <w:t>Quality burden</w:t>
            </w:r>
          </w:p>
        </w:tc>
        <w:tc>
          <w:tcPr>
            <w:tcW w:type="dxa" w:w="5256"/>
            <w:tcMar>
              <w:top w:w="80" w:type="dxa"/>
              <w:start w:w="120" w:type="dxa"/>
              <w:bottom w:w="80" w:type="dxa"/>
              <w:end w:w="120" w:type="dxa"/>
            </w:tcMar>
            <w:vAlign w:val="top"/>
          </w:tcPr>
          <w:p>
            <w:pPr>
              <w:spacing w:after="0"/>
            </w:pPr>
            <w:r>
              <w:rPr>
                <w:sz w:val="15"/>
              </w:rPr>
              <w:t>Holds, abstentions, deviations, rejected batches</w:t>
            </w:r>
          </w:p>
        </w:tc>
        <w:tc>
          <w:tcPr>
            <w:tcW w:type="dxa" w:w="2232"/>
            <w:tcMar>
              <w:top w:w="80" w:type="dxa"/>
              <w:start w:w="120" w:type="dxa"/>
              <w:bottom w:w="80" w:type="dxa"/>
              <w:end w:w="120" w:type="dxa"/>
            </w:tcMar>
            <w:vAlign w:val="top"/>
          </w:tcPr>
          <w:p>
            <w:pPr>
              <w:spacing w:after="0"/>
            </w:pPr>
            <w:r>
              <w:rPr>
                <w:sz w:val="15"/>
              </w:rPr>
              <w:t>Counts, duration, cost</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ICER = [Cost(strategy) − Cost(reference)] ÷ [Shortage-days(reference) − Shortage-days(strategy)]</w:t>
            </w:r>
          </w:p>
          <w:p>
            <w:pPr>
              <w:spacing w:after="0"/>
              <w:jc w:val="center"/>
            </w:pPr>
            <w:r>
              <w:rPr>
                <w:i/>
                <w:color w:val="5D6873"/>
                <w:sz w:val="17"/>
              </w:rPr>
              <w:t>Eq. 11. Do not compute for a strategy that is more costly and less effective; label dominance.</w:t>
            </w:r>
          </w:p>
        </w:tc>
      </w:tr>
    </w:tbl>
    <w:p>
      <w:pPr>
        <w:pStyle w:val="Heading2"/>
        <w:keepNext/>
        <w:keepLines/>
      </w:pPr>
      <w:r>
        <w:t>10.3 Decision classification</w:t>
      </w:r>
    </w:p>
    <w:tbl>
      <w:tblPr>
        <w:tblStyle w:val="TableGrid"/>
        <w:tblW w:type="dxa" w:w="9720"/>
        <w:jc w:val="center"/>
        <w:tblLayout w:type="fixed"/>
        <w:tblLook w:firstColumn="1" w:firstRow="1" w:lastColumn="0" w:lastRow="0" w:noHBand="0" w:noVBand="1" w:val="04A0"/>
        <w:tblInd w:type="dxa" w:w="120"/>
      </w:tblPr>
      <w:tblGrid>
        <w:gridCol w:w="1872"/>
        <w:gridCol w:w="7848"/>
      </w:tblGrid>
      <w:tr>
        <w:trPr>
          <w:cantSplit w:val="true"/>
          <w:tblHeader w:val="true"/>
        </w:trPr>
        <w:tc>
          <w:tcPr>
            <w:tcW w:type="dxa" w:w="1872"/>
            <w:shd w:fill="E8EEF5"/>
            <w:tcMar>
              <w:top w:w="80" w:type="dxa"/>
              <w:start w:w="120" w:type="dxa"/>
              <w:bottom w:w="80" w:type="dxa"/>
              <w:end w:w="120" w:type="dxa"/>
            </w:tcMar>
            <w:vAlign w:val="center"/>
          </w:tcPr>
          <w:p>
            <w:pPr>
              <w:spacing w:after="0"/>
            </w:pPr>
            <w:r>
              <w:rPr>
                <w:b/>
                <w:color w:val="16324F"/>
                <w:sz w:val="16"/>
              </w:rPr>
              <w:t>Decision</w:t>
            </w:r>
          </w:p>
        </w:tc>
        <w:tc>
          <w:tcPr>
            <w:tcW w:type="dxa" w:w="7848"/>
            <w:shd w:fill="E8EEF5"/>
            <w:tcMar>
              <w:top w:w="80" w:type="dxa"/>
              <w:start w:w="120" w:type="dxa"/>
              <w:bottom w:w="80" w:type="dxa"/>
              <w:end w:w="120" w:type="dxa"/>
            </w:tcMar>
            <w:vAlign w:val="center"/>
          </w:tcPr>
          <w:p>
            <w:pPr>
              <w:spacing w:after="0"/>
            </w:pPr>
            <w:r>
              <w:rPr>
                <w:b/>
                <w:color w:val="16324F"/>
                <w:sz w:val="16"/>
              </w:rPr>
              <w:t>Pre-specified interpretation</w:t>
            </w:r>
          </w:p>
        </w:tc>
      </w:tr>
      <w:tr>
        <w:trPr>
          <w:cantSplit w:val="true"/>
        </w:trPr>
        <w:tc>
          <w:tcPr>
            <w:tcW w:type="dxa" w:w="1872"/>
            <w:tcMar>
              <w:top w:w="80" w:type="dxa"/>
              <w:start w:w="120" w:type="dxa"/>
              <w:bottom w:w="80" w:type="dxa"/>
              <w:end w:w="120" w:type="dxa"/>
            </w:tcMar>
            <w:vAlign w:val="top"/>
          </w:tcPr>
          <w:p>
            <w:pPr>
              <w:spacing w:after="0"/>
            </w:pPr>
            <w:r>
              <w:rPr>
                <w:sz w:val="16"/>
              </w:rPr>
              <w:t>Advance</w:t>
            </w:r>
          </w:p>
        </w:tc>
        <w:tc>
          <w:tcPr>
            <w:tcW w:type="dxa" w:w="7848"/>
            <w:tcMar>
              <w:top w:w="80" w:type="dxa"/>
              <w:start w:w="120" w:type="dxa"/>
              <w:bottom w:w="80" w:type="dxa"/>
              <w:end w:w="120" w:type="dxa"/>
            </w:tcMar>
            <w:vAlign w:val="top"/>
          </w:tcPr>
          <w:p>
            <w:pPr>
              <w:spacing w:after="0"/>
            </w:pPr>
            <w:r>
              <w:rPr>
                <w:sz w:val="16"/>
              </w:rPr>
              <w:t>All gates pass; distributed design is Pareto-efficient; benefit persists through credible uncertainty; contractable demand clears break-even; no unresolvable common-cause fragility</w:t>
            </w:r>
          </w:p>
        </w:tc>
      </w:tr>
      <w:tr>
        <w:trPr>
          <w:cantSplit w:val="true"/>
        </w:trPr>
        <w:tc>
          <w:tcPr>
            <w:tcW w:type="dxa" w:w="1872"/>
            <w:tcMar>
              <w:top w:w="80" w:type="dxa"/>
              <w:start w:w="120" w:type="dxa"/>
              <w:bottom w:w="80" w:type="dxa"/>
              <w:end w:w="120" w:type="dxa"/>
            </w:tcMar>
            <w:vAlign w:val="top"/>
          </w:tcPr>
          <w:p>
            <w:pPr>
              <w:spacing w:after="0"/>
            </w:pPr>
            <w:r>
              <w:rPr>
                <w:sz w:val="16"/>
              </w:rPr>
              <w:t>Narrow advance</w:t>
            </w:r>
          </w:p>
        </w:tc>
        <w:tc>
          <w:tcPr>
            <w:tcW w:type="dxa" w:w="7848"/>
            <w:tcMar>
              <w:top w:w="80" w:type="dxa"/>
              <w:start w:w="120" w:type="dxa"/>
              <w:bottom w:w="80" w:type="dxa"/>
              <w:end w:w="120" w:type="dxa"/>
            </w:tcMar>
            <w:vAlign w:val="top"/>
          </w:tcPr>
          <w:p>
            <w:pPr>
              <w:spacing w:after="0"/>
            </w:pPr>
            <w:r>
              <w:rPr>
                <w:sz w:val="16"/>
              </w:rPr>
              <w:t>Feasible only for a defined product/presentation/region/contract structure; state the boundary as the principal finding</w:t>
            </w:r>
          </w:p>
        </w:tc>
      </w:tr>
      <w:tr>
        <w:trPr>
          <w:cantSplit w:val="true"/>
        </w:trPr>
        <w:tc>
          <w:tcPr>
            <w:tcW w:type="dxa" w:w="1872"/>
            <w:tcMar>
              <w:top w:w="80" w:type="dxa"/>
              <w:start w:w="120" w:type="dxa"/>
              <w:bottom w:w="80" w:type="dxa"/>
              <w:end w:w="120" w:type="dxa"/>
            </w:tcMar>
            <w:vAlign w:val="top"/>
          </w:tcPr>
          <w:p>
            <w:pPr>
              <w:spacing w:after="0"/>
            </w:pPr>
            <w:r>
              <w:rPr>
                <w:sz w:val="16"/>
              </w:rPr>
              <w:t>Redesign</w:t>
            </w:r>
          </w:p>
        </w:tc>
        <w:tc>
          <w:tcPr>
            <w:tcW w:type="dxa" w:w="7848"/>
            <w:tcMar>
              <w:top w:w="80" w:type="dxa"/>
              <w:start w:w="120" w:type="dxa"/>
              <w:bottom w:w="80" w:type="dxa"/>
              <w:end w:w="120" w:type="dxa"/>
            </w:tcMar>
            <w:vAlign w:val="top"/>
          </w:tcPr>
          <w:p>
            <w:pPr>
              <w:spacing w:after="0"/>
            </w:pPr>
            <w:r>
              <w:rPr>
                <w:sz w:val="16"/>
              </w:rPr>
              <w:t>A resolvable bottleneck—supplier independence, release process, site size, stock placement, or contract—causes failure</w:t>
            </w:r>
          </w:p>
        </w:tc>
      </w:tr>
      <w:tr>
        <w:trPr>
          <w:cantSplit w:val="true"/>
        </w:trPr>
        <w:tc>
          <w:tcPr>
            <w:tcW w:type="dxa" w:w="1872"/>
            <w:tcMar>
              <w:top w:w="80" w:type="dxa"/>
              <w:start w:w="120" w:type="dxa"/>
              <w:bottom w:w="80" w:type="dxa"/>
              <w:end w:w="120" w:type="dxa"/>
            </w:tcMar>
            <w:vAlign w:val="top"/>
          </w:tcPr>
          <w:p>
            <w:pPr>
              <w:spacing w:after="0"/>
            </w:pPr>
            <w:r>
              <w:rPr>
                <w:sz w:val="16"/>
              </w:rPr>
              <w:t>Stop</w:t>
            </w:r>
          </w:p>
        </w:tc>
        <w:tc>
          <w:tcPr>
            <w:tcW w:type="dxa" w:w="7848"/>
            <w:tcMar>
              <w:top w:w="80" w:type="dxa"/>
              <w:start w:w="120" w:type="dxa"/>
              <w:bottom w:w="80" w:type="dxa"/>
              <w:end w:w="120" w:type="dxa"/>
            </w:tcMar>
            <w:vAlign w:val="top"/>
          </w:tcPr>
          <w:p>
            <w:pPr>
              <w:spacing w:after="0"/>
            </w:pPr>
            <w:r>
              <w:rPr>
                <w:sz w:val="16"/>
              </w:rPr>
              <w:t>Dominated, legally/technically infeasible, dependent on unsupported release claims, or economically incompatible with credible demand</w:t>
            </w:r>
          </w:p>
        </w:tc>
      </w:tr>
    </w:tbl>
    <w:p>
      <w:pPr>
        <w:pStyle w:val="Heading1"/>
        <w:keepNext/>
        <w:keepLines/>
      </w:pPr>
      <w:r>
        <w:t>11. Uncertainty, sensitivity, and value of information</w:t>
      </w:r>
    </w:p>
    <w:p>
      <w:pPr>
        <w:pStyle w:val="Heading2"/>
        <w:keepNext/>
        <w:keepLines/>
      </w:pPr>
      <w:r>
        <w:t>11.1 Parameter uncertainty</w:t>
      </w:r>
    </w:p>
    <w:p>
      <w:r>
        <w:t>Represent material uncertainty as distributions or empirically resampled data, not decorative low/base/high bars. Use bounded distributions that respect physical support; preserve posterior or elicited dependence. Separate aleatory variation (events/demand) from epistemic uncertainty (unknown failure rates, costs, or regulatory timing) so the team can see what more evidence can reduce.</w:t>
      </w:r>
    </w:p>
    <w:p>
      <w:pPr>
        <w:pStyle w:val="Heading2"/>
        <w:keepNext/>
        <w:keepLines/>
      </w:pPr>
      <w:r>
        <w:t>11.2 Mandatory sensitivity set</w:t>
      </w:r>
    </w:p>
    <w:tbl>
      <w:tblPr>
        <w:tblStyle w:val="TableGrid"/>
        <w:tblW w:type="dxa" w:w="9720"/>
        <w:jc w:val="center"/>
        <w:tblLayout w:type="fixed"/>
        <w:tblLook w:firstColumn="1" w:firstRow="1" w:lastColumn="0" w:lastRow="0" w:noHBand="0" w:noVBand="1" w:val="04A0"/>
        <w:tblInd w:type="dxa" w:w="120"/>
      </w:tblPr>
      <w:tblGrid>
        <w:gridCol w:w="3168"/>
        <w:gridCol w:w="6552"/>
      </w:tblGrid>
      <w:tr>
        <w:trPr>
          <w:cantSplit w:val="true"/>
          <w:tblHeader w:val="true"/>
        </w:trPr>
        <w:tc>
          <w:tcPr>
            <w:tcW w:type="dxa" w:w="3168"/>
            <w:shd w:fill="E8EEF5"/>
            <w:tcMar>
              <w:top w:w="80" w:type="dxa"/>
              <w:start w:w="120" w:type="dxa"/>
              <w:bottom w:w="80" w:type="dxa"/>
              <w:end w:w="120" w:type="dxa"/>
            </w:tcMar>
            <w:vAlign w:val="center"/>
          </w:tcPr>
          <w:p>
            <w:pPr>
              <w:spacing w:after="0"/>
            </w:pPr>
            <w:r>
              <w:rPr>
                <w:b/>
                <w:color w:val="16324F"/>
                <w:sz w:val="16"/>
              </w:rPr>
              <w:t>Input</w:t>
            </w:r>
          </w:p>
        </w:tc>
        <w:tc>
          <w:tcPr>
            <w:tcW w:type="dxa" w:w="6552"/>
            <w:shd w:fill="E8EEF5"/>
            <w:tcMar>
              <w:top w:w="80" w:type="dxa"/>
              <w:start w:w="120" w:type="dxa"/>
              <w:bottom w:w="80" w:type="dxa"/>
              <w:end w:w="120" w:type="dxa"/>
            </w:tcMar>
            <w:vAlign w:val="center"/>
          </w:tcPr>
          <w:p>
            <w:pPr>
              <w:spacing w:after="0"/>
            </w:pPr>
            <w:r>
              <w:rPr>
                <w:b/>
                <w:color w:val="16324F"/>
                <w:sz w:val="16"/>
              </w:rPr>
              <w:t>Decision channel</w:t>
            </w:r>
          </w:p>
        </w:tc>
      </w:tr>
      <w:tr>
        <w:trPr>
          <w:cantSplit w:val="true"/>
        </w:trPr>
        <w:tc>
          <w:tcPr>
            <w:tcW w:type="dxa" w:w="3168"/>
            <w:tcMar>
              <w:top w:w="80" w:type="dxa"/>
              <w:start w:w="120" w:type="dxa"/>
              <w:bottom w:w="80" w:type="dxa"/>
              <w:end w:w="120" w:type="dxa"/>
            </w:tcMar>
            <w:vAlign w:val="top"/>
          </w:tcPr>
          <w:p>
            <w:pPr>
              <w:spacing w:after="0"/>
            </w:pPr>
            <w:r>
              <w:rPr>
                <w:sz w:val="16"/>
              </w:rPr>
              <w:t>Capacity utilization</w:t>
            </w:r>
          </w:p>
        </w:tc>
        <w:tc>
          <w:tcPr>
            <w:tcW w:type="dxa" w:w="6552"/>
            <w:tcMar>
              <w:top w:w="80" w:type="dxa"/>
              <w:start w:w="120" w:type="dxa"/>
              <w:bottom w:w="80" w:type="dxa"/>
              <w:end w:w="120" w:type="dxa"/>
            </w:tcMar>
            <w:vAlign w:val="top"/>
          </w:tcPr>
          <w:p>
            <w:pPr>
              <w:spacing w:after="0"/>
            </w:pPr>
            <w:r>
              <w:rPr>
                <w:sz w:val="16"/>
              </w:rPr>
              <w:t>Fixed cost/unit, surge headroom, break-even commitment</w:t>
            </w:r>
          </w:p>
        </w:tc>
      </w:tr>
      <w:tr>
        <w:trPr>
          <w:cantSplit w:val="true"/>
        </w:trPr>
        <w:tc>
          <w:tcPr>
            <w:tcW w:type="dxa" w:w="3168"/>
            <w:tcMar>
              <w:top w:w="80" w:type="dxa"/>
              <w:start w:w="120" w:type="dxa"/>
              <w:bottom w:w="80" w:type="dxa"/>
              <w:end w:w="120" w:type="dxa"/>
            </w:tcMar>
            <w:vAlign w:val="top"/>
          </w:tcPr>
          <w:p>
            <w:pPr>
              <w:spacing w:after="0"/>
            </w:pPr>
            <w:r>
              <w:rPr>
                <w:sz w:val="16"/>
              </w:rPr>
              <w:t>Release time</w:t>
            </w:r>
          </w:p>
        </w:tc>
        <w:tc>
          <w:tcPr>
            <w:tcW w:type="dxa" w:w="6552"/>
            <w:tcMar>
              <w:top w:w="80" w:type="dxa"/>
              <w:start w:w="120" w:type="dxa"/>
              <w:bottom w:w="80" w:type="dxa"/>
              <w:end w:w="120" w:type="dxa"/>
            </w:tcMar>
            <w:vAlign w:val="top"/>
          </w:tcPr>
          <w:p>
            <w:pPr>
              <w:spacing w:after="0"/>
            </w:pPr>
            <w:r>
              <w:rPr>
                <w:sz w:val="16"/>
              </w:rPr>
              <w:t>Whether local production can respond before stock/contract alternatives</w:t>
            </w:r>
          </w:p>
        </w:tc>
      </w:tr>
      <w:tr>
        <w:trPr>
          <w:cantSplit w:val="true"/>
        </w:trPr>
        <w:tc>
          <w:tcPr>
            <w:tcW w:type="dxa" w:w="3168"/>
            <w:tcMar>
              <w:top w:w="80" w:type="dxa"/>
              <w:start w:w="120" w:type="dxa"/>
              <w:bottom w:w="80" w:type="dxa"/>
              <w:end w:w="120" w:type="dxa"/>
            </w:tcMar>
            <w:vAlign w:val="top"/>
          </w:tcPr>
          <w:p>
            <w:pPr>
              <w:spacing w:after="0"/>
            </w:pPr>
            <w:r>
              <w:rPr>
                <w:sz w:val="16"/>
              </w:rPr>
              <w:t>Fixed QA/labor per node</w:t>
            </w:r>
          </w:p>
        </w:tc>
        <w:tc>
          <w:tcPr>
            <w:tcW w:type="dxa" w:w="6552"/>
            <w:tcMar>
              <w:top w:w="80" w:type="dxa"/>
              <w:start w:w="120" w:type="dxa"/>
              <w:bottom w:w="80" w:type="dxa"/>
              <w:end w:w="120" w:type="dxa"/>
            </w:tcMar>
            <w:vAlign w:val="top"/>
          </w:tcPr>
          <w:p>
            <w:pPr>
              <w:spacing w:after="0"/>
            </w:pPr>
            <w:r>
              <w:rPr>
                <w:sz w:val="16"/>
              </w:rPr>
              <w:t>Penalty for replicating qualified quality systems</w:t>
            </w:r>
          </w:p>
        </w:tc>
      </w:tr>
      <w:tr>
        <w:trPr>
          <w:cantSplit w:val="true"/>
        </w:trPr>
        <w:tc>
          <w:tcPr>
            <w:tcW w:type="dxa" w:w="3168"/>
            <w:tcMar>
              <w:top w:w="80" w:type="dxa"/>
              <w:start w:w="120" w:type="dxa"/>
              <w:bottom w:w="80" w:type="dxa"/>
              <w:end w:w="120" w:type="dxa"/>
            </w:tcMar>
            <w:vAlign w:val="top"/>
          </w:tcPr>
          <w:p>
            <w:pPr>
              <w:spacing w:after="0"/>
            </w:pPr>
            <w:r>
              <w:rPr>
                <w:sz w:val="16"/>
              </w:rPr>
              <w:t>Yield and uptime</w:t>
            </w:r>
          </w:p>
        </w:tc>
        <w:tc>
          <w:tcPr>
            <w:tcW w:type="dxa" w:w="6552"/>
            <w:tcMar>
              <w:top w:w="80" w:type="dxa"/>
              <w:start w:w="120" w:type="dxa"/>
              <w:bottom w:w="80" w:type="dxa"/>
              <w:end w:w="120" w:type="dxa"/>
            </w:tcMar>
            <w:vAlign w:val="top"/>
          </w:tcPr>
          <w:p>
            <w:pPr>
              <w:spacing w:after="0"/>
            </w:pPr>
            <w:r>
              <w:rPr>
                <w:sz w:val="16"/>
              </w:rPr>
              <w:t>Effective capacity and downside tail</w:t>
            </w:r>
          </w:p>
        </w:tc>
      </w:tr>
      <w:tr>
        <w:trPr>
          <w:cantSplit w:val="true"/>
        </w:trPr>
        <w:tc>
          <w:tcPr>
            <w:tcW w:type="dxa" w:w="3168"/>
            <w:tcMar>
              <w:top w:w="80" w:type="dxa"/>
              <w:start w:w="120" w:type="dxa"/>
              <w:bottom w:w="80" w:type="dxa"/>
              <w:end w:w="120" w:type="dxa"/>
            </w:tcMar>
            <w:vAlign w:val="top"/>
          </w:tcPr>
          <w:p>
            <w:pPr>
              <w:spacing w:after="0"/>
            </w:pPr>
            <w:r>
              <w:rPr>
                <w:sz w:val="16"/>
              </w:rPr>
              <w:t>Demand volatility/covariance</w:t>
            </w:r>
          </w:p>
        </w:tc>
        <w:tc>
          <w:tcPr>
            <w:tcW w:type="dxa" w:w="6552"/>
            <w:tcMar>
              <w:top w:w="80" w:type="dxa"/>
              <w:start w:w="120" w:type="dxa"/>
              <w:bottom w:w="80" w:type="dxa"/>
              <w:end w:w="120" w:type="dxa"/>
            </w:tcMar>
            <w:vAlign w:val="top"/>
          </w:tcPr>
          <w:p>
            <w:pPr>
              <w:spacing w:after="0"/>
            </w:pPr>
            <w:r>
              <w:rPr>
                <w:sz w:val="16"/>
              </w:rPr>
              <w:t>Pooling benefit versus regional responsiveness</w:t>
            </w:r>
          </w:p>
        </w:tc>
      </w:tr>
      <w:tr>
        <w:trPr>
          <w:cantSplit w:val="true"/>
        </w:trPr>
        <w:tc>
          <w:tcPr>
            <w:tcW w:type="dxa" w:w="3168"/>
            <w:tcMar>
              <w:top w:w="80" w:type="dxa"/>
              <w:start w:w="120" w:type="dxa"/>
              <w:bottom w:w="80" w:type="dxa"/>
              <w:end w:w="120" w:type="dxa"/>
            </w:tcMar>
            <w:vAlign w:val="top"/>
          </w:tcPr>
          <w:p>
            <w:pPr>
              <w:spacing w:after="0"/>
            </w:pPr>
            <w:r>
              <w:rPr>
                <w:sz w:val="16"/>
              </w:rPr>
              <w:t>API/component lead time</w:t>
            </w:r>
          </w:p>
        </w:tc>
        <w:tc>
          <w:tcPr>
            <w:tcW w:type="dxa" w:w="6552"/>
            <w:tcMar>
              <w:top w:w="80" w:type="dxa"/>
              <w:start w:w="120" w:type="dxa"/>
              <w:bottom w:w="80" w:type="dxa"/>
              <w:end w:w="120" w:type="dxa"/>
            </w:tcMar>
            <w:vAlign w:val="top"/>
          </w:tcPr>
          <w:p>
            <w:pPr>
              <w:spacing w:after="0"/>
            </w:pPr>
            <w:r>
              <w:rPr>
                <w:sz w:val="16"/>
              </w:rPr>
              <w:t>Whether local fill-finish is upstream-constrained</w:t>
            </w:r>
          </w:p>
        </w:tc>
      </w:tr>
      <w:tr>
        <w:trPr>
          <w:cantSplit w:val="true"/>
        </w:trPr>
        <w:tc>
          <w:tcPr>
            <w:tcW w:type="dxa" w:w="3168"/>
            <w:tcMar>
              <w:top w:w="80" w:type="dxa"/>
              <w:start w:w="120" w:type="dxa"/>
              <w:bottom w:w="80" w:type="dxa"/>
              <w:end w:w="120" w:type="dxa"/>
            </w:tcMar>
            <w:vAlign w:val="top"/>
          </w:tcPr>
          <w:p>
            <w:pPr>
              <w:spacing w:after="0"/>
            </w:pPr>
            <w:r>
              <w:rPr>
                <w:sz w:val="16"/>
              </w:rPr>
              <w:t>Common-cause dependence</w:t>
            </w:r>
          </w:p>
        </w:tc>
        <w:tc>
          <w:tcPr>
            <w:tcW w:type="dxa" w:w="6552"/>
            <w:tcMar>
              <w:top w:w="80" w:type="dxa"/>
              <w:start w:w="120" w:type="dxa"/>
              <w:bottom w:w="80" w:type="dxa"/>
              <w:end w:w="120" w:type="dxa"/>
            </w:tcMar>
            <w:vAlign w:val="top"/>
          </w:tcPr>
          <w:p>
            <w:pPr>
              <w:spacing w:after="0"/>
            </w:pPr>
            <w:r>
              <w:rPr>
                <w:sz w:val="16"/>
              </w:rPr>
              <w:t>Whether node count is real redundancy</w:t>
            </w:r>
          </w:p>
        </w:tc>
      </w:tr>
      <w:tr>
        <w:trPr>
          <w:cantSplit w:val="true"/>
        </w:trPr>
        <w:tc>
          <w:tcPr>
            <w:tcW w:type="dxa" w:w="3168"/>
            <w:tcMar>
              <w:top w:w="80" w:type="dxa"/>
              <w:start w:w="120" w:type="dxa"/>
              <w:bottom w:w="80" w:type="dxa"/>
              <w:end w:w="120" w:type="dxa"/>
            </w:tcMar>
            <w:vAlign w:val="top"/>
          </w:tcPr>
          <w:p>
            <w:pPr>
              <w:spacing w:after="0"/>
            </w:pPr>
            <w:r>
              <w:rPr>
                <w:sz w:val="16"/>
              </w:rPr>
              <w:t>Shelf life/expiry</w:t>
            </w:r>
          </w:p>
        </w:tc>
        <w:tc>
          <w:tcPr>
            <w:tcW w:type="dxa" w:w="6552"/>
            <w:tcMar>
              <w:top w:w="80" w:type="dxa"/>
              <w:start w:w="120" w:type="dxa"/>
              <w:bottom w:w="80" w:type="dxa"/>
              <w:end w:w="120" w:type="dxa"/>
            </w:tcMar>
            <w:vAlign w:val="top"/>
          </w:tcPr>
          <w:p>
            <w:pPr>
              <w:spacing w:after="0"/>
            </w:pPr>
            <w:r>
              <w:rPr>
                <w:sz w:val="16"/>
              </w:rPr>
              <w:t>Inventory option value and distributed inventory waste</w:t>
            </w:r>
          </w:p>
        </w:tc>
      </w:tr>
      <w:tr>
        <w:trPr>
          <w:cantSplit w:val="true"/>
        </w:trPr>
        <w:tc>
          <w:tcPr>
            <w:tcW w:type="dxa" w:w="3168"/>
            <w:tcMar>
              <w:top w:w="80" w:type="dxa"/>
              <w:start w:w="120" w:type="dxa"/>
              <w:bottom w:w="80" w:type="dxa"/>
              <w:end w:w="120" w:type="dxa"/>
            </w:tcMar>
            <w:vAlign w:val="top"/>
          </w:tcPr>
          <w:p>
            <w:pPr>
              <w:spacing w:after="0"/>
            </w:pPr>
            <w:r>
              <w:rPr>
                <w:sz w:val="16"/>
              </w:rPr>
              <w:t>Node count/size</w:t>
            </w:r>
          </w:p>
        </w:tc>
        <w:tc>
          <w:tcPr>
            <w:tcW w:type="dxa" w:w="6552"/>
            <w:tcMar>
              <w:top w:w="80" w:type="dxa"/>
              <w:start w:w="120" w:type="dxa"/>
              <w:bottom w:w="80" w:type="dxa"/>
              <w:end w:w="120" w:type="dxa"/>
            </w:tcMar>
            <w:vAlign w:val="top"/>
          </w:tcPr>
          <w:p>
            <w:pPr>
              <w:spacing w:after="0"/>
            </w:pPr>
            <w:r>
              <w:rPr>
                <w:sz w:val="16"/>
              </w:rPr>
              <w:t>Scale–redundancy frontier</w:t>
            </w:r>
          </w:p>
        </w:tc>
      </w:tr>
      <w:tr>
        <w:trPr>
          <w:cantSplit w:val="true"/>
        </w:trPr>
        <w:tc>
          <w:tcPr>
            <w:tcW w:type="dxa" w:w="3168"/>
            <w:tcMar>
              <w:top w:w="80" w:type="dxa"/>
              <w:start w:w="120" w:type="dxa"/>
              <w:bottom w:w="80" w:type="dxa"/>
              <w:end w:w="120" w:type="dxa"/>
            </w:tcMar>
            <w:vAlign w:val="top"/>
          </w:tcPr>
          <w:p>
            <w:pPr>
              <w:spacing w:after="0"/>
            </w:pPr>
            <w:r>
              <w:rPr>
                <w:sz w:val="16"/>
              </w:rPr>
              <w:t>Contract commitment</w:t>
            </w:r>
          </w:p>
        </w:tc>
        <w:tc>
          <w:tcPr>
            <w:tcW w:type="dxa" w:w="6552"/>
            <w:tcMar>
              <w:top w:w="80" w:type="dxa"/>
              <w:start w:w="120" w:type="dxa"/>
              <w:bottom w:w="80" w:type="dxa"/>
              <w:end w:w="120" w:type="dxa"/>
            </w:tcMar>
            <w:vAlign w:val="top"/>
          </w:tcPr>
          <w:p>
            <w:pPr>
              <w:spacing w:after="0"/>
            </w:pPr>
            <w:r>
              <w:rPr>
                <w:sz w:val="16"/>
              </w:rPr>
              <w:t>Economic utilization and purchaser premium</w:t>
            </w:r>
          </w:p>
        </w:tc>
      </w:tr>
      <w:tr>
        <w:trPr>
          <w:cantSplit w:val="true"/>
        </w:trPr>
        <w:tc>
          <w:tcPr>
            <w:tcW w:type="dxa" w:w="3168"/>
            <w:tcMar>
              <w:top w:w="80" w:type="dxa"/>
              <w:start w:w="120" w:type="dxa"/>
              <w:bottom w:w="80" w:type="dxa"/>
              <w:end w:w="120" w:type="dxa"/>
            </w:tcMar>
            <w:vAlign w:val="top"/>
          </w:tcPr>
          <w:p>
            <w:pPr>
              <w:spacing w:after="0"/>
            </w:pPr>
            <w:r>
              <w:rPr>
                <w:sz w:val="16"/>
              </w:rPr>
              <w:t>Deviation/rejection and release assurance</w:t>
            </w:r>
          </w:p>
        </w:tc>
        <w:tc>
          <w:tcPr>
            <w:tcW w:type="dxa" w:w="6552"/>
            <w:tcMar>
              <w:top w:w="80" w:type="dxa"/>
              <w:start w:w="120" w:type="dxa"/>
              <w:bottom w:w="80" w:type="dxa"/>
              <w:end w:w="120" w:type="dxa"/>
            </w:tcMar>
            <w:vAlign w:val="top"/>
          </w:tcPr>
          <w:p>
            <w:pPr>
              <w:spacing w:after="0"/>
            </w:pPr>
            <w:r>
              <w:rPr>
                <w:sz w:val="16"/>
              </w:rPr>
              <w:t>Quality-driven delay, abstention, and false-hold burden</w:t>
            </w:r>
          </w:p>
        </w:tc>
      </w:tr>
    </w:tbl>
    <w:p>
      <w:pPr>
        <w:pStyle w:val="Heading2"/>
        <w:keepNext/>
        <w:keepLines/>
      </w:pPr>
      <w:r>
        <w:t>11.3 Analysis methods</w:t>
      </w:r>
    </w:p>
    <w:p>
      <w:pPr>
        <w:pStyle w:val="ListBullet"/>
      </w:pPr>
      <w:r>
        <w:t>One-way thresholds for communication and debugging.</w:t>
      </w:r>
    </w:p>
    <w:p>
      <w:pPr>
        <w:pStyle w:val="ListBullet"/>
      </w:pPr>
      <w:r>
        <w:t>Global variance-based sensitivity (Sobol where computationally feasible) or partial rank correlation for monotone relationships.</w:t>
      </w:r>
    </w:p>
    <w:p>
      <w:pPr>
        <w:pStyle w:val="ListBullet"/>
      </w:pPr>
      <w:r>
        <w:t>Structural alternatives: demand distribution, failure process, allocation rule, recovery definition, and site-dependence representation.</w:t>
      </w:r>
    </w:p>
    <w:p>
      <w:pPr>
        <w:pStyle w:val="ListBullet"/>
      </w:pPr>
      <w:r>
        <w:t>Decision-reversal map: show where the preferred architecture changes, not only output variance.</w:t>
      </w:r>
    </w:p>
    <w:p>
      <w:pPr>
        <w:pStyle w:val="ListBullet"/>
      </w:pPr>
      <w:r>
        <w:t>Expected value of perfect/partial information for high-leverage unknowns to prioritize interviews, quotes, data access, or pilots.</w:t>
      </w:r>
    </w:p>
    <w:p>
      <w:pPr>
        <w:pStyle w:val="Heading2"/>
        <w:keepNext/>
        <w:keepLines/>
      </w:pPr>
      <w:r>
        <w:t>11.4 Decision-reversal reporting</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DDF2E5"/>
            <w:tcMar>
              <w:top w:w="130" w:type="dxa"/>
              <w:start w:w="170" w:type="dxa"/>
              <w:bottom w:w="130" w:type="dxa"/>
              <w:end w:w="170" w:type="dxa"/>
            </w:tcMar>
          </w:tcPr>
          <w:p>
            <w:pPr>
              <w:spacing w:after="60"/>
            </w:pPr>
            <w:r>
              <w:rPr>
                <w:b/>
                <w:color w:val="16324F"/>
              </w:rPr>
              <w:t>The strongest figure</w:t>
            </w:r>
          </w:p>
          <w:p>
            <w:pPr>
              <w:spacing w:after="0"/>
            </w:pPr>
            <w:r>
              <w:t>A two- or three-dimensional feasibility map showing which strategy minimizes cost at the service target across capacity utilization, release time, and common-cause dependence—with infeasible regions masked by regulatory/quality gates. This communicates more than a single optimistic base-case bar chart.</w:t>
            </w:r>
          </w:p>
        </w:tc>
      </w:tr>
    </w:tbl>
    <w:p>
      <w:pPr>
        <w:pStyle w:val="Heading1"/>
        <w:keepNext/>
        <w:keepLines/>
      </w:pPr>
      <w:r>
        <w:t>12. Validation, interviews, and independent review</w:t>
      </w:r>
    </w:p>
    <w:p>
      <w:pPr>
        <w:pStyle w:val="Heading2"/>
        <w:keepNext/>
        <w:keepLines/>
      </w:pPr>
      <w:r>
        <w:t>12.1 Five-layer validation</w:t>
      </w:r>
    </w:p>
    <w:tbl>
      <w:tblPr>
        <w:tblStyle w:val="TableGrid"/>
        <w:tblW w:type="dxa" w:w="9720"/>
        <w:jc w:val="center"/>
        <w:tblLayout w:type="fixed"/>
        <w:tblLook w:firstColumn="1" w:firstRow="1" w:lastColumn="0" w:lastRow="0" w:noHBand="0" w:noVBand="1" w:val="04A0"/>
        <w:tblInd w:type="dxa" w:w="120"/>
      </w:tblPr>
      <w:tblGrid>
        <w:gridCol w:w="1800"/>
        <w:gridCol w:w="7920"/>
      </w:tblGrid>
      <w:tr>
        <w:trPr>
          <w:cantSplit w:val="true"/>
          <w:tblHeader w:val="true"/>
        </w:trPr>
        <w:tc>
          <w:tcPr>
            <w:tcW w:type="dxa" w:w="1800"/>
            <w:shd w:fill="E8EEF5"/>
            <w:tcMar>
              <w:top w:w="80" w:type="dxa"/>
              <w:start w:w="120" w:type="dxa"/>
              <w:bottom w:w="80" w:type="dxa"/>
              <w:end w:w="120" w:type="dxa"/>
            </w:tcMar>
            <w:vAlign w:val="center"/>
          </w:tcPr>
          <w:p>
            <w:pPr>
              <w:spacing w:after="0"/>
            </w:pPr>
            <w:r>
              <w:rPr>
                <w:b/>
                <w:color w:val="16324F"/>
                <w:sz w:val="16"/>
              </w:rPr>
              <w:t>Layer</w:t>
            </w:r>
          </w:p>
        </w:tc>
        <w:tc>
          <w:tcPr>
            <w:tcW w:type="dxa" w:w="7920"/>
            <w:shd w:fill="E8EEF5"/>
            <w:tcMar>
              <w:top w:w="80" w:type="dxa"/>
              <w:start w:w="120" w:type="dxa"/>
              <w:bottom w:w="80" w:type="dxa"/>
              <w:end w:w="120" w:type="dxa"/>
            </w:tcMar>
            <w:vAlign w:val="center"/>
          </w:tcPr>
          <w:p>
            <w:pPr>
              <w:spacing w:after="0"/>
            </w:pPr>
            <w:r>
              <w:rPr>
                <w:b/>
                <w:color w:val="16324F"/>
                <w:sz w:val="16"/>
              </w:rPr>
              <w:t>Required work</w:t>
            </w:r>
          </w:p>
        </w:tc>
      </w:tr>
      <w:tr>
        <w:trPr>
          <w:cantSplit w:val="true"/>
        </w:trPr>
        <w:tc>
          <w:tcPr>
            <w:tcW w:type="dxa" w:w="1800"/>
            <w:tcMar>
              <w:top w:w="80" w:type="dxa"/>
              <w:start w:w="120" w:type="dxa"/>
              <w:bottom w:w="80" w:type="dxa"/>
              <w:end w:w="120" w:type="dxa"/>
            </w:tcMar>
            <w:vAlign w:val="top"/>
          </w:tcPr>
          <w:p>
            <w:pPr>
              <w:spacing w:after="0"/>
            </w:pPr>
            <w:r>
              <w:rPr>
                <w:sz w:val="16"/>
              </w:rPr>
              <w:t>Conceptual</w:t>
            </w:r>
          </w:p>
        </w:tc>
        <w:tc>
          <w:tcPr>
            <w:tcW w:type="dxa" w:w="7920"/>
            <w:tcMar>
              <w:top w:w="80" w:type="dxa"/>
              <w:start w:w="120" w:type="dxa"/>
              <w:bottom w:w="80" w:type="dxa"/>
              <w:end w:w="120" w:type="dxa"/>
            </w:tcMar>
            <w:vAlign w:val="top"/>
          </w:tcPr>
          <w:p>
            <w:pPr>
              <w:spacing w:after="0"/>
            </w:pPr>
            <w:r>
              <w:rPr>
                <w:sz w:val="16"/>
              </w:rPr>
              <w:t>Manufacturing, pharmacy, regulatory, and OR experts review boundaries, causal logic, comparators, and failure modes</w:t>
            </w:r>
          </w:p>
        </w:tc>
      </w:tr>
      <w:tr>
        <w:trPr>
          <w:cantSplit w:val="true"/>
        </w:trPr>
        <w:tc>
          <w:tcPr>
            <w:tcW w:type="dxa" w:w="1800"/>
            <w:tcMar>
              <w:top w:w="80" w:type="dxa"/>
              <w:start w:w="120" w:type="dxa"/>
              <w:bottom w:w="80" w:type="dxa"/>
              <w:end w:w="120" w:type="dxa"/>
            </w:tcMar>
            <w:vAlign w:val="top"/>
          </w:tcPr>
          <w:p>
            <w:pPr>
              <w:spacing w:after="0"/>
            </w:pPr>
            <w:r>
              <w:rPr>
                <w:sz w:val="16"/>
              </w:rPr>
              <w:t>Input</w:t>
            </w:r>
          </w:p>
        </w:tc>
        <w:tc>
          <w:tcPr>
            <w:tcW w:type="dxa" w:w="7920"/>
            <w:tcMar>
              <w:top w:w="80" w:type="dxa"/>
              <w:start w:w="120" w:type="dxa"/>
              <w:bottom w:w="80" w:type="dxa"/>
              <w:end w:w="120" w:type="dxa"/>
            </w:tcMar>
            <w:vAlign w:val="top"/>
          </w:tcPr>
          <w:p>
            <w:pPr>
              <w:spacing w:after="0"/>
            </w:pPr>
            <w:r>
              <w:rPr>
                <w:sz w:val="16"/>
              </w:rPr>
              <w:t>Source reconciliation, direct quotes/records where authorized, structured elicitation, range/confidence review</w:t>
            </w:r>
          </w:p>
        </w:tc>
      </w:tr>
      <w:tr>
        <w:trPr>
          <w:cantSplit w:val="true"/>
        </w:trPr>
        <w:tc>
          <w:tcPr>
            <w:tcW w:type="dxa" w:w="1800"/>
            <w:tcMar>
              <w:top w:w="80" w:type="dxa"/>
              <w:start w:w="120" w:type="dxa"/>
              <w:bottom w:w="80" w:type="dxa"/>
              <w:end w:w="120" w:type="dxa"/>
            </w:tcMar>
            <w:vAlign w:val="top"/>
          </w:tcPr>
          <w:p>
            <w:pPr>
              <w:spacing w:after="0"/>
            </w:pPr>
            <w:r>
              <w:rPr>
                <w:sz w:val="16"/>
              </w:rPr>
              <w:t>Computational</w:t>
            </w:r>
          </w:p>
        </w:tc>
        <w:tc>
          <w:tcPr>
            <w:tcW w:type="dxa" w:w="7920"/>
            <w:tcMar>
              <w:top w:w="80" w:type="dxa"/>
              <w:start w:w="120" w:type="dxa"/>
              <w:bottom w:w="80" w:type="dxa"/>
              <w:end w:w="120" w:type="dxa"/>
            </w:tcMar>
            <w:vAlign w:val="top"/>
          </w:tcPr>
          <w:p>
            <w:pPr>
              <w:spacing w:after="0"/>
            </w:pPr>
            <w:r>
              <w:rPr>
                <w:sz w:val="16"/>
              </w:rPr>
              <w:t>Unit tests, mass balance, extreme cases, seed reproducibility, independent code walkthrough</w:t>
            </w:r>
          </w:p>
        </w:tc>
      </w:tr>
      <w:tr>
        <w:trPr>
          <w:cantSplit w:val="true"/>
        </w:trPr>
        <w:tc>
          <w:tcPr>
            <w:tcW w:type="dxa" w:w="1800"/>
            <w:tcMar>
              <w:top w:w="80" w:type="dxa"/>
              <w:start w:w="120" w:type="dxa"/>
              <w:bottom w:w="80" w:type="dxa"/>
              <w:end w:w="120" w:type="dxa"/>
            </w:tcMar>
            <w:vAlign w:val="top"/>
          </w:tcPr>
          <w:p>
            <w:pPr>
              <w:spacing w:after="0"/>
            </w:pPr>
            <w:r>
              <w:rPr>
                <w:sz w:val="16"/>
              </w:rPr>
              <w:t>Empirical/backcast</w:t>
            </w:r>
          </w:p>
        </w:tc>
        <w:tc>
          <w:tcPr>
            <w:tcW w:type="dxa" w:w="7920"/>
            <w:tcMar>
              <w:top w:w="80" w:type="dxa"/>
              <w:start w:w="120" w:type="dxa"/>
              <w:bottom w:w="80" w:type="dxa"/>
              <w:end w:w="120" w:type="dxa"/>
            </w:tcMar>
            <w:vAlign w:val="top"/>
          </w:tcPr>
          <w:p>
            <w:pPr>
              <w:spacing w:after="0"/>
            </w:pPr>
            <w:r>
              <w:rPr>
                <w:sz w:val="16"/>
              </w:rPr>
              <w:t>Recreate selected historical shortage episodes without fitting the desired strategy ranking</w:t>
            </w:r>
          </w:p>
        </w:tc>
      </w:tr>
      <w:tr>
        <w:trPr>
          <w:cantSplit w:val="true"/>
        </w:trPr>
        <w:tc>
          <w:tcPr>
            <w:tcW w:type="dxa" w:w="1800"/>
            <w:tcMar>
              <w:top w:w="80" w:type="dxa"/>
              <w:start w:w="120" w:type="dxa"/>
              <w:bottom w:w="80" w:type="dxa"/>
              <w:end w:w="120" w:type="dxa"/>
            </w:tcMar>
            <w:vAlign w:val="top"/>
          </w:tcPr>
          <w:p>
            <w:pPr>
              <w:spacing w:after="0"/>
            </w:pPr>
            <w:r>
              <w:rPr>
                <w:sz w:val="16"/>
              </w:rPr>
              <w:t>Decision</w:t>
            </w:r>
          </w:p>
        </w:tc>
        <w:tc>
          <w:tcPr>
            <w:tcW w:type="dxa" w:w="7920"/>
            <w:tcMar>
              <w:top w:w="80" w:type="dxa"/>
              <w:start w:w="120" w:type="dxa"/>
              <w:bottom w:w="80" w:type="dxa"/>
              <w:end w:w="120" w:type="dxa"/>
            </w:tcMar>
            <w:vAlign w:val="top"/>
          </w:tcPr>
          <w:p>
            <w:pPr>
              <w:spacing w:after="0"/>
            </w:pPr>
            <w:r>
              <w:rPr>
                <w:sz w:val="16"/>
              </w:rPr>
              <w:t>Blind or pre-specified review of whether conclusions follow from gates, uncertainty, and dominance</w:t>
            </w:r>
          </w:p>
        </w:tc>
      </w:tr>
    </w:tbl>
    <w:p>
      <w:pPr>
        <w:pStyle w:val="Heading2"/>
        <w:keepNext/>
        <w:keepLines/>
      </w:pPr>
      <w:r>
        <w:t>12.2 Historical backcasting</w:t>
      </w:r>
    </w:p>
    <w:p>
      <w:r>
        <w:t>Select multiple shortage episodes beyond the two focal products, including at least one site failure, one upstream/common-cause disruption, one demand shock/substitution cascade, and one resolved shortage. Freeze the information available at episode start, simulate candidate architectures, and compare broad duration, severity, recovery shape, and binding constraints. Backcasting validates behavior, not counterfactual proof. Document mismatches and revise openly.</w:t>
      </w:r>
    </w:p>
    <w:p>
      <w:pPr>
        <w:pStyle w:val="Heading2"/>
        <w:keepNext/>
        <w:keepLines/>
      </w:pPr>
      <w:r>
        <w:t>12.3 Interview program</w:t>
      </w:r>
    </w:p>
    <w:tbl>
      <w:tblPr>
        <w:tblStyle w:val="TableGrid"/>
        <w:tblW w:type="dxa" w:w="9720"/>
        <w:jc w:val="center"/>
        <w:tblLayout w:type="fixed"/>
        <w:tblLook w:firstColumn="1" w:firstRow="1" w:lastColumn="0" w:lastRow="0" w:noHBand="0" w:noVBand="1" w:val="04A0"/>
        <w:tblInd w:type="dxa" w:w="120"/>
      </w:tblPr>
      <w:tblGrid>
        <w:gridCol w:w="2952"/>
        <w:gridCol w:w="1080"/>
        <w:gridCol w:w="5688"/>
      </w:tblGrid>
      <w:tr>
        <w:trPr>
          <w:cantSplit w:val="true"/>
          <w:tblHeader w:val="true"/>
        </w:trPr>
        <w:tc>
          <w:tcPr>
            <w:tcW w:type="dxa" w:w="2952"/>
            <w:shd w:fill="E8EEF5"/>
            <w:tcMar>
              <w:top w:w="80" w:type="dxa"/>
              <w:start w:w="120" w:type="dxa"/>
              <w:bottom w:w="80" w:type="dxa"/>
              <w:end w:w="120" w:type="dxa"/>
            </w:tcMar>
            <w:vAlign w:val="center"/>
          </w:tcPr>
          <w:p>
            <w:pPr>
              <w:spacing w:after="0"/>
            </w:pPr>
            <w:r>
              <w:rPr>
                <w:b/>
                <w:color w:val="16324F"/>
                <w:sz w:val="16"/>
              </w:rPr>
              <w:t>Role</w:t>
            </w:r>
          </w:p>
        </w:tc>
        <w:tc>
          <w:tcPr>
            <w:tcW w:type="dxa" w:w="1080"/>
            <w:shd w:fill="E8EEF5"/>
            <w:tcMar>
              <w:top w:w="80" w:type="dxa"/>
              <w:start w:w="120" w:type="dxa"/>
              <w:bottom w:w="80" w:type="dxa"/>
              <w:end w:w="120" w:type="dxa"/>
            </w:tcMar>
            <w:vAlign w:val="center"/>
          </w:tcPr>
          <w:p>
            <w:pPr>
              <w:spacing w:after="0"/>
            </w:pPr>
            <w:r>
              <w:rPr>
                <w:b/>
                <w:color w:val="16324F"/>
                <w:sz w:val="16"/>
              </w:rPr>
              <w:t>Target</w:t>
            </w:r>
          </w:p>
        </w:tc>
        <w:tc>
          <w:tcPr>
            <w:tcW w:type="dxa" w:w="5688"/>
            <w:shd w:fill="E8EEF5"/>
            <w:tcMar>
              <w:top w:w="80" w:type="dxa"/>
              <w:start w:w="120" w:type="dxa"/>
              <w:bottom w:w="80" w:type="dxa"/>
              <w:end w:w="120" w:type="dxa"/>
            </w:tcMar>
            <w:vAlign w:val="center"/>
          </w:tcPr>
          <w:p>
            <w:pPr>
              <w:spacing w:after="0"/>
            </w:pPr>
            <w:r>
              <w:rPr>
                <w:b/>
                <w:color w:val="16324F"/>
                <w:sz w:val="16"/>
              </w:rPr>
              <w:t>Purpose</w:t>
            </w:r>
          </w:p>
        </w:tc>
      </w:tr>
      <w:tr>
        <w:trPr>
          <w:cantSplit w:val="true"/>
        </w:trPr>
        <w:tc>
          <w:tcPr>
            <w:tcW w:type="dxa" w:w="2952"/>
            <w:tcMar>
              <w:top w:w="80" w:type="dxa"/>
              <w:start w:w="120" w:type="dxa"/>
              <w:bottom w:w="80" w:type="dxa"/>
              <w:end w:w="120" w:type="dxa"/>
            </w:tcMar>
            <w:vAlign w:val="top"/>
          </w:tcPr>
          <w:p>
            <w:pPr>
              <w:spacing w:after="0"/>
            </w:pPr>
            <w:r>
              <w:rPr>
                <w:sz w:val="16"/>
              </w:rPr>
              <w:t>Hospital pharmacy / supply chain</w:t>
            </w:r>
          </w:p>
        </w:tc>
        <w:tc>
          <w:tcPr>
            <w:tcW w:type="dxa" w:w="1080"/>
            <w:tcMar>
              <w:top w:w="80" w:type="dxa"/>
              <w:start w:w="120" w:type="dxa"/>
              <w:bottom w:w="80" w:type="dxa"/>
              <w:end w:w="120" w:type="dxa"/>
            </w:tcMar>
            <w:vAlign w:val="top"/>
          </w:tcPr>
          <w:p>
            <w:pPr>
              <w:spacing w:after="0"/>
            </w:pPr>
            <w:r>
              <w:rPr>
                <w:sz w:val="16"/>
              </w:rPr>
              <w:t>6–8</w:t>
            </w:r>
          </w:p>
        </w:tc>
        <w:tc>
          <w:tcPr>
            <w:tcW w:type="dxa" w:w="5688"/>
            <w:tcMar>
              <w:top w:w="80" w:type="dxa"/>
              <w:start w:w="120" w:type="dxa"/>
              <w:bottom w:w="80" w:type="dxa"/>
              <w:end w:w="120" w:type="dxa"/>
            </w:tcMar>
            <w:vAlign w:val="top"/>
          </w:tcPr>
          <w:p>
            <w:pPr>
              <w:spacing w:after="0"/>
            </w:pPr>
            <w:r>
              <w:rPr>
                <w:sz w:val="16"/>
              </w:rPr>
              <w:t>Shortage workflow, allocation, substitutions, inventory, contracting, data</w:t>
            </w:r>
          </w:p>
        </w:tc>
      </w:tr>
      <w:tr>
        <w:trPr>
          <w:cantSplit w:val="true"/>
        </w:trPr>
        <w:tc>
          <w:tcPr>
            <w:tcW w:type="dxa" w:w="2952"/>
            <w:tcMar>
              <w:top w:w="80" w:type="dxa"/>
              <w:start w:w="120" w:type="dxa"/>
              <w:bottom w:w="80" w:type="dxa"/>
              <w:end w:w="120" w:type="dxa"/>
            </w:tcMar>
            <w:vAlign w:val="top"/>
          </w:tcPr>
          <w:p>
            <w:pPr>
              <w:spacing w:after="0"/>
            </w:pPr>
            <w:r>
              <w:rPr>
                <w:sz w:val="16"/>
              </w:rPr>
              <w:t>Sterile manufacturing / process engineering</w:t>
            </w:r>
          </w:p>
        </w:tc>
        <w:tc>
          <w:tcPr>
            <w:tcW w:type="dxa" w:w="1080"/>
            <w:tcMar>
              <w:top w:w="80" w:type="dxa"/>
              <w:start w:w="120" w:type="dxa"/>
              <w:bottom w:w="80" w:type="dxa"/>
              <w:end w:w="120" w:type="dxa"/>
            </w:tcMar>
            <w:vAlign w:val="top"/>
          </w:tcPr>
          <w:p>
            <w:pPr>
              <w:spacing w:after="0"/>
            </w:pPr>
            <w:r>
              <w:rPr>
                <w:sz w:val="16"/>
              </w:rPr>
              <w:t>5–6</w:t>
            </w:r>
          </w:p>
        </w:tc>
        <w:tc>
          <w:tcPr>
            <w:tcW w:type="dxa" w:w="5688"/>
            <w:tcMar>
              <w:top w:w="80" w:type="dxa"/>
              <w:start w:w="120" w:type="dxa"/>
              <w:bottom w:w="80" w:type="dxa"/>
              <w:end w:w="120" w:type="dxa"/>
            </w:tcMar>
            <w:vAlign w:val="top"/>
          </w:tcPr>
          <w:p>
            <w:pPr>
              <w:spacing w:after="0"/>
            </w:pPr>
            <w:r>
              <w:rPr>
                <w:sz w:val="16"/>
              </w:rPr>
              <w:t>Batch/campaign constraints, OEE, changeover, scale, startup/recovery</w:t>
            </w:r>
          </w:p>
        </w:tc>
      </w:tr>
      <w:tr>
        <w:trPr>
          <w:cantSplit w:val="true"/>
        </w:trPr>
        <w:tc>
          <w:tcPr>
            <w:tcW w:type="dxa" w:w="2952"/>
            <w:tcMar>
              <w:top w:w="80" w:type="dxa"/>
              <w:start w:w="120" w:type="dxa"/>
              <w:bottom w:w="80" w:type="dxa"/>
              <w:end w:w="120" w:type="dxa"/>
            </w:tcMar>
            <w:vAlign w:val="top"/>
          </w:tcPr>
          <w:p>
            <w:pPr>
              <w:spacing w:after="0"/>
            </w:pPr>
            <w:r>
              <w:rPr>
                <w:sz w:val="16"/>
              </w:rPr>
              <w:t>Quality / CMC / microbiology</w:t>
            </w:r>
          </w:p>
        </w:tc>
        <w:tc>
          <w:tcPr>
            <w:tcW w:type="dxa" w:w="1080"/>
            <w:tcMar>
              <w:top w:w="80" w:type="dxa"/>
              <w:start w:w="120" w:type="dxa"/>
              <w:bottom w:w="80" w:type="dxa"/>
              <w:end w:w="120" w:type="dxa"/>
            </w:tcMar>
            <w:vAlign w:val="top"/>
          </w:tcPr>
          <w:p>
            <w:pPr>
              <w:spacing w:after="0"/>
            </w:pPr>
            <w:r>
              <w:rPr>
                <w:sz w:val="16"/>
              </w:rPr>
              <w:t>4–5</w:t>
            </w:r>
          </w:p>
        </w:tc>
        <w:tc>
          <w:tcPr>
            <w:tcW w:type="dxa" w:w="5688"/>
            <w:tcMar>
              <w:top w:w="80" w:type="dxa"/>
              <w:start w:w="120" w:type="dxa"/>
              <w:bottom w:w="80" w:type="dxa"/>
              <w:end w:w="120" w:type="dxa"/>
            </w:tcMar>
            <w:vAlign w:val="top"/>
          </w:tcPr>
          <w:p>
            <w:pPr>
              <w:spacing w:after="0"/>
            </w:pPr>
            <w:r>
              <w:rPr>
                <w:sz w:val="16"/>
              </w:rPr>
              <w:t>Testing, release, deviations, validation, sterility assurance, costs</w:t>
            </w:r>
          </w:p>
        </w:tc>
      </w:tr>
      <w:tr>
        <w:trPr>
          <w:cantSplit w:val="true"/>
        </w:trPr>
        <w:tc>
          <w:tcPr>
            <w:tcW w:type="dxa" w:w="2952"/>
            <w:tcMar>
              <w:top w:w="80" w:type="dxa"/>
              <w:start w:w="120" w:type="dxa"/>
              <w:bottom w:w="80" w:type="dxa"/>
              <w:end w:w="120" w:type="dxa"/>
            </w:tcMar>
            <w:vAlign w:val="top"/>
          </w:tcPr>
          <w:p>
            <w:pPr>
              <w:spacing w:after="0"/>
            </w:pPr>
            <w:r>
              <w:rPr>
                <w:sz w:val="16"/>
              </w:rPr>
              <w:t>Generic-drug / 503B regulatory</w:t>
            </w:r>
          </w:p>
        </w:tc>
        <w:tc>
          <w:tcPr>
            <w:tcW w:type="dxa" w:w="1080"/>
            <w:tcMar>
              <w:top w:w="80" w:type="dxa"/>
              <w:start w:w="120" w:type="dxa"/>
              <w:bottom w:w="80" w:type="dxa"/>
              <w:end w:w="120" w:type="dxa"/>
            </w:tcMar>
            <w:vAlign w:val="top"/>
          </w:tcPr>
          <w:p>
            <w:pPr>
              <w:spacing w:after="0"/>
            </w:pPr>
            <w:r>
              <w:rPr>
                <w:sz w:val="16"/>
              </w:rPr>
              <w:t>3–4</w:t>
            </w:r>
          </w:p>
        </w:tc>
        <w:tc>
          <w:tcPr>
            <w:tcW w:type="dxa" w:w="5688"/>
            <w:tcMar>
              <w:top w:w="80" w:type="dxa"/>
              <w:start w:w="120" w:type="dxa"/>
              <w:bottom w:w="80" w:type="dxa"/>
              <w:end w:w="120" w:type="dxa"/>
            </w:tcMar>
            <w:vAlign w:val="top"/>
          </w:tcPr>
          <w:p>
            <w:pPr>
              <w:spacing w:after="0"/>
            </w:pPr>
            <w:r>
              <w:rPr>
                <w:sz w:val="16"/>
              </w:rPr>
              <w:t>Pathway gates, site changes, shortage transitions, cross-site claims</w:t>
            </w:r>
          </w:p>
        </w:tc>
      </w:tr>
      <w:tr>
        <w:trPr>
          <w:cantSplit w:val="true"/>
        </w:trPr>
        <w:tc>
          <w:tcPr>
            <w:tcW w:type="dxa" w:w="2952"/>
            <w:tcMar>
              <w:top w:w="80" w:type="dxa"/>
              <w:start w:w="120" w:type="dxa"/>
              <w:bottom w:w="80" w:type="dxa"/>
              <w:end w:w="120" w:type="dxa"/>
            </w:tcMar>
            <w:vAlign w:val="top"/>
          </w:tcPr>
          <w:p>
            <w:pPr>
              <w:spacing w:after="0"/>
            </w:pPr>
            <w:r>
              <w:rPr>
                <w:sz w:val="16"/>
              </w:rPr>
              <w:t>GPO / wholesaler / distributor</w:t>
            </w:r>
          </w:p>
        </w:tc>
        <w:tc>
          <w:tcPr>
            <w:tcW w:type="dxa" w:w="1080"/>
            <w:tcMar>
              <w:top w:w="80" w:type="dxa"/>
              <w:start w:w="120" w:type="dxa"/>
              <w:bottom w:w="80" w:type="dxa"/>
              <w:end w:w="120" w:type="dxa"/>
            </w:tcMar>
            <w:vAlign w:val="top"/>
          </w:tcPr>
          <w:p>
            <w:pPr>
              <w:spacing w:after="0"/>
            </w:pPr>
            <w:r>
              <w:rPr>
                <w:sz w:val="16"/>
              </w:rPr>
              <w:t>2–3</w:t>
            </w:r>
          </w:p>
        </w:tc>
        <w:tc>
          <w:tcPr>
            <w:tcW w:type="dxa" w:w="5688"/>
            <w:tcMar>
              <w:top w:w="80" w:type="dxa"/>
              <w:start w:w="120" w:type="dxa"/>
              <w:bottom w:w="80" w:type="dxa"/>
              <w:end w:w="120" w:type="dxa"/>
            </w:tcMar>
            <w:vAlign w:val="top"/>
          </w:tcPr>
          <w:p>
            <w:pPr>
              <w:spacing w:after="0"/>
            </w:pPr>
            <w:r>
              <w:rPr>
                <w:sz w:val="16"/>
              </w:rPr>
              <w:t>Demand visibility, contracting, allocation, transport, resilience premiums</w:t>
            </w:r>
          </w:p>
        </w:tc>
      </w:tr>
      <w:tr>
        <w:trPr>
          <w:cantSplit w:val="true"/>
        </w:trPr>
        <w:tc>
          <w:tcPr>
            <w:tcW w:type="dxa" w:w="2952"/>
            <w:tcMar>
              <w:top w:w="80" w:type="dxa"/>
              <w:start w:w="120" w:type="dxa"/>
              <w:bottom w:w="80" w:type="dxa"/>
              <w:end w:w="120" w:type="dxa"/>
            </w:tcMar>
            <w:vAlign w:val="top"/>
          </w:tcPr>
          <w:p>
            <w:pPr>
              <w:spacing w:after="0"/>
            </w:pPr>
            <w:r>
              <w:rPr>
                <w:sz w:val="16"/>
              </w:rPr>
              <w:t>Drug-supply economics / operations research</w:t>
            </w:r>
          </w:p>
        </w:tc>
        <w:tc>
          <w:tcPr>
            <w:tcW w:type="dxa" w:w="1080"/>
            <w:tcMar>
              <w:top w:w="80" w:type="dxa"/>
              <w:start w:w="120" w:type="dxa"/>
              <w:bottom w:w="80" w:type="dxa"/>
              <w:end w:w="120" w:type="dxa"/>
            </w:tcMar>
            <w:vAlign w:val="top"/>
          </w:tcPr>
          <w:p>
            <w:pPr>
              <w:spacing w:after="0"/>
            </w:pPr>
            <w:r>
              <w:rPr>
                <w:sz w:val="16"/>
              </w:rPr>
              <w:t>2–3</w:t>
            </w:r>
          </w:p>
        </w:tc>
        <w:tc>
          <w:tcPr>
            <w:tcW w:type="dxa" w:w="5688"/>
            <w:tcMar>
              <w:top w:w="80" w:type="dxa"/>
              <w:start w:w="120" w:type="dxa"/>
              <w:bottom w:w="80" w:type="dxa"/>
              <w:end w:w="120" w:type="dxa"/>
            </w:tcMar>
            <w:vAlign w:val="top"/>
          </w:tcPr>
          <w:p>
            <w:pPr>
              <w:spacing w:after="0"/>
            </w:pPr>
            <w:r>
              <w:rPr>
                <w:sz w:val="16"/>
              </w:rPr>
              <w:t>Comparator optimization, dependence, calibration, welfare boundary</w:t>
            </w:r>
          </w:p>
        </w:tc>
      </w:tr>
    </w:tbl>
    <w:p>
      <w:r>
        <w:t>Target 25–30 completed conversations if access permits. Count a conversation only when the interviewee has directly relevant experience and the evidence is logged. Use a standard core guide plus role-specific modules. Obtain consent for attribution; otherwise record role and organization type anonymously. Do not describe interviewees as partners, validators, or advisors without authorization.</w:t>
      </w:r>
    </w:p>
    <w:p>
      <w:pPr>
        <w:pStyle w:val="Heading2"/>
        <w:keepNext/>
        <w:keepLines/>
      </w:pPr>
      <w:r>
        <w:t>12.4 Independent review standard</w:t>
      </w:r>
    </w:p>
    <w:p>
      <w:pPr>
        <w:pStyle w:val="ListBullet"/>
      </w:pPr>
      <w:r>
        <w:t>Reviewer 1: sterile-injectable manufacturing/quality professional who can reject process and cost assumptions.</w:t>
      </w:r>
    </w:p>
    <w:p>
      <w:pPr>
        <w:pStyle w:val="ListBullet"/>
      </w:pPr>
      <w:r>
        <w:t>Reviewer 2: generic-drug/CMC or 503B regulatory professional who can reject the pathway map.</w:t>
      </w:r>
    </w:p>
    <w:p>
      <w:pPr>
        <w:pStyle w:val="ListBullet"/>
      </w:pPr>
      <w:r>
        <w:t>Reviewer 3: operations-research/simulation expert who can reject the model structure, optimization, and uncertainty methods.</w:t>
      </w:r>
    </w:p>
    <w:p>
      <w:pPr>
        <w:pStyle w:val="ListBullet"/>
      </w:pPr>
      <w:r>
        <w:t>Reviewer 4 (preferred): hospital pharmacy/GPO/wholesaler leader who can reject demand, inventory, and contract assumptions.</w:t>
      </w:r>
    </w:p>
    <w:p>
      <w:pPr>
        <w:pStyle w:val="ListBullet"/>
      </w:pPr>
      <w:r>
        <w:t>For each review, publish the issue, decision, exact model change, and rationale. A logo or flattering quote is not validation.</w:t>
      </w:r>
    </w:p>
    <w:p>
      <w:pPr>
        <w:pStyle w:val="Heading1"/>
        <w:keepNext/>
        <w:keepLines/>
      </w:pPr>
      <w:r>
        <w:t>13. Exact execution sequence and publication package</w:t>
      </w:r>
    </w:p>
    <w:p>
      <w:pPr>
        <w:pStyle w:val="Heading2"/>
        <w:keepNext/>
        <w:keepLines/>
      </w:pPr>
      <w:r>
        <w:t>13.1 Work sequence</w:t>
      </w:r>
    </w:p>
    <w:p>
      <w:pPr>
        <w:pStyle w:val="ListNumber"/>
      </w:pPr>
      <w:r>
        <w:t>Version and timestamp this protocol; pre-specify service thresholds, decision classes, and kill criteria.</w:t>
      </w:r>
    </w:p>
    <w:p>
      <w:pPr>
        <w:pStyle w:val="ListNumber"/>
      </w:pPr>
      <w:r>
        <w:t>Freeze FDA/ASHP/Drugs@FDA/Orange Book/DailyMed snapshots and create five machine-readable product dossiers.</w:t>
      </w:r>
    </w:p>
    <w:p>
      <w:pPr>
        <w:pStyle w:val="ListNumber"/>
      </w:pPr>
      <w:r>
        <w:t>Apply hard gates and weighted scoring; have two domain experts challenge the case selection.</w:t>
      </w:r>
    </w:p>
    <w:p>
      <w:pPr>
        <w:pStyle w:val="ListNumber"/>
      </w:pPr>
      <w:r>
        <w:t>Commission preliminary approved-generic/CMO and 503B regulatory maps; mark every uncertainty as a gate.</w:t>
      </w:r>
    </w:p>
    <w:p>
      <w:pPr>
        <w:pStyle w:val="ListNumber"/>
      </w:pPr>
      <w:r>
        <w:t>Build a supplier/component/site dependency graph for both product cases.</w:t>
      </w:r>
    </w:p>
    <w:p>
      <w:pPr>
        <w:pStyle w:val="ListNumber"/>
      </w:pPr>
      <w:r>
        <w:t>Collect direct demand, operations, cost, release, stability, and contract evidence; replace yellow workbook cells.</w:t>
      </w:r>
    </w:p>
    <w:p>
      <w:pPr>
        <w:pStyle w:val="ListNumber"/>
      </w:pPr>
      <w:r>
        <w:t>Run the deterministic model and resolve every mass-balance, capacity, annualization, and source check.</w:t>
      </w:r>
    </w:p>
    <w:p>
      <w:pPr>
        <w:pStyle w:val="ListNumber"/>
      </w:pPr>
      <w:r>
        <w:t>Implement the tested Python simulation with common random numbers and event logs.</w:t>
      </w:r>
    </w:p>
    <w:p>
      <w:pPr>
        <w:pStyle w:val="ListNumber"/>
      </w:pPr>
      <w:r>
        <w:t>Optimize every strategy to matched service constraints; then run global and structural sensitivity analyses.</w:t>
      </w:r>
    </w:p>
    <w:p>
      <w:pPr>
        <w:pStyle w:val="ListNumber"/>
      </w:pPr>
      <w:r>
        <w:t>Backcast multiple historical episodes; reconcile mismatches and freeze the analysis version.</w:t>
      </w:r>
    </w:p>
    <w:p>
      <w:pPr>
        <w:pStyle w:val="ListNumber"/>
      </w:pPr>
      <w:r>
        <w:t>Obtain at least three independent expert reviews; publish the revision log.</w:t>
      </w:r>
    </w:p>
    <w:p>
      <w:pPr>
        <w:pStyle w:val="ListNumber"/>
      </w:pPr>
      <w:r>
        <w:t>Release the paper, executive summary, workbook, code, assumptions, data dictionary, model card, tests, review record, and limitations together.</w:t>
      </w:r>
    </w:p>
    <w:p>
      <w:pPr>
        <w:pStyle w:val="Heading2"/>
        <w:keepNext/>
        <w:keepLines/>
      </w:pPr>
      <w:r>
        <w:t>13.2 Repository structure</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F4F6F8"/>
            <w:tcMar>
              <w:top w:w="130" w:type="dxa"/>
              <w:start w:w="170" w:type="dxa"/>
              <w:bottom w:w="130" w:type="dxa"/>
              <w:end w:w="170" w:type="dxa"/>
            </w:tcMar>
          </w:tcPr>
          <w:p>
            <w:pPr>
              <w:spacing w:after="60"/>
            </w:pPr>
            <w:r>
              <w:rPr>
                <w:b/>
                <w:color w:val="16324F"/>
              </w:rPr>
              <w:t>Recommended public repository</w:t>
            </w:r>
          </w:p>
          <w:p>
            <w:pPr>
              <w:spacing w:after="0"/>
            </w:pPr>
            <w:r>
              <w:t>README.md</w:t>
              <w:br/>
              <w:t>protocol/protocol_v1.pdf</w:t>
              <w:br/>
              <w:t>data/raw_snapshots/  data/processed/  data_dictionary.csv</w:t>
              <w:br/>
              <w:t>model/deterministic.xlsx</w:t>
              <w:br/>
              <w:t>src/demand.py  disruptions.py  production.py  quality.py  allocation.py  economics.py  optimize.py</w:t>
              <w:br/>
              <w:t>tests/test_mass_balance.py  test_extremes.py  test_reproducibility.py</w:t>
              <w:br/>
              <w:t>config/product_A.yaml  product_B.yaml  strategies.yaml</w:t>
              <w:br/>
              <w:t>results/frozen_run_manifest.json  summary.csv  figures/</w:t>
              <w:br/>
              <w:t>reports/executive_summary.pdf  paper.pdf  assumptions.xlsx  reviewer_revision_log.csv</w:t>
              <w:br/>
              <w:t>LICENSE  CITATION.cff  CHANGELOG.md</w:t>
            </w:r>
          </w:p>
        </w:tc>
      </w:tr>
    </w:tbl>
    <w:p>
      <w:pPr>
        <w:pStyle w:val="Heading2"/>
        <w:keepNext/>
        <w:keepLines/>
      </w:pPr>
      <w:r>
        <w:t>13.3 Publication-grade outputs</w:t>
      </w:r>
    </w:p>
    <w:p>
      <w:pPr>
        <w:pStyle w:val="ListBullet"/>
      </w:pPr>
      <w:r>
        <w:t>A 15–25 page paper with methods sufficient to reproduce the result, plus appendices.</w:t>
      </w:r>
    </w:p>
    <w:p>
      <w:pPr>
        <w:pStyle w:val="ListBullet"/>
      </w:pPr>
      <w:r>
        <w:t>A two-page executive decision memo that states the decision region, dominant bottlenecks, and conditions that reverse the result.</w:t>
      </w:r>
    </w:p>
    <w:p>
      <w:pPr>
        <w:pStyle w:val="ListBullet"/>
      </w:pPr>
      <w:r>
        <w:t>A public workbook with no unsourced material input and a visible readiness/check sheet.</w:t>
      </w:r>
    </w:p>
    <w:p>
      <w:pPr>
        <w:pStyle w:val="ListBullet"/>
      </w:pPr>
      <w:r>
        <w:t>Versioned Python code, environment lock, seeds, run manifest, tests, and tidy simulation output.</w:t>
      </w:r>
    </w:p>
    <w:p>
      <w:pPr>
        <w:pStyle w:val="ListBullet"/>
      </w:pPr>
      <w:r>
        <w:t>Product dossiers, regulatory decision maps, assumption/source register, interview synthesis, and revision log.</w:t>
      </w:r>
    </w:p>
    <w:p>
      <w:pPr>
        <w:pStyle w:val="ListBullet"/>
      </w:pPr>
      <w:r>
        <w:t>At least one non-obvious finding and one explicit negative or null result; no obligation to conclude distributed wins.</w:t>
      </w:r>
    </w:p>
    <w:p>
      <w:pPr>
        <w:pStyle w:val="Heading2"/>
        <w:keepNext/>
        <w:keepLines/>
      </w:pPr>
      <w:r>
        <w:t>13.4 Recognition and distribution</w:t>
      </w:r>
    </w:p>
    <w:p>
      <w:r>
        <w:t>Distribute for criticism before publicity. Send the protocol or targeted result—not a generic pitch—to professionals who can invalidate it: hospital pharmacy-supply leaders, sterile-manufacturing/quality executives, generic-drug regulatory experts, wholesalers/GPOs, and operations researchers. After revisions, submit the research to an appropriate peer-reviewed operations, health-systems, pharmaceutical-quality, or supply-chain venue and archive code/data with a DOI where licensing permits. A strong public artifact plus documented expert criticism is more credible than mass cold-email endorsements.</w:t>
      </w:r>
    </w:p>
    <w:p>
      <w:pPr>
        <w:pStyle w:val="Heading2"/>
        <w:keepNext/>
        <w:keepLines/>
      </w:pPr>
      <w:r>
        <w:t>13.5 College-application use</w:t>
      </w:r>
    </w:p>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E8EEF5"/>
            <w:tcMar>
              <w:top w:w="130" w:type="dxa"/>
              <w:start w:w="170" w:type="dxa"/>
              <w:bottom w:w="130" w:type="dxa"/>
              <w:end w:w="170" w:type="dxa"/>
            </w:tcMar>
          </w:tcPr>
          <w:p>
            <w:pPr>
              <w:spacing w:after="60"/>
            </w:pPr>
            <w:r>
              <w:rPr>
                <w:b/>
                <w:color w:val="16324F"/>
              </w:rPr>
              <w:t>Application positioning</w:t>
            </w:r>
          </w:p>
          <w:p>
            <w:pPr>
              <w:spacing w:after="0"/>
            </w:pPr>
            <w:r>
              <w:t>The value is not that the report was created “for M&amp;T.” It is evidence that you interrogated your own venture with engineering, regulatory, and commercial discipline. List the work as one Telo activity or project, quantify only completed evidence, and use the most surprising real conclusion. In an essay, explain how evidence changed a design decision; do not summarize the model or force Penn names into it.</w:t>
            </w:r>
          </w:p>
        </w:tc>
      </w:tr>
    </w:tbl>
    <w:p>
      <w:pPr>
        <w:pStyle w:val="Heading2"/>
        <w:keepNext/>
        <w:keepLines/>
      </w:pPr>
      <w:r>
        <w:t>13.6 Claim discipline</w:t>
      </w:r>
    </w:p>
    <w:tbl>
      <w:tblPr>
        <w:tblStyle w:val="TableGrid"/>
        <w:tblW w:type="dxa" w:w="9720"/>
        <w:jc w:val="center"/>
        <w:tblLayout w:type="fixed"/>
        <w:tblLook w:firstColumn="1" w:firstRow="1" w:lastColumn="0" w:lastRow="0" w:noHBand="0" w:noVBand="1" w:val="04A0"/>
        <w:tblInd w:type="dxa" w:w="120"/>
      </w:tblPr>
      <w:tblGrid>
        <w:gridCol w:w="3384"/>
        <w:gridCol w:w="6336"/>
      </w:tblGrid>
      <w:tr>
        <w:trPr>
          <w:cantSplit w:val="true"/>
          <w:tblHeader w:val="true"/>
        </w:trPr>
        <w:tc>
          <w:tcPr>
            <w:tcW w:type="dxa" w:w="3384"/>
            <w:shd w:fill="FBE1E3"/>
            <w:tcMar>
              <w:top w:w="80" w:type="dxa"/>
              <w:start w:w="120" w:type="dxa"/>
              <w:bottom w:w="80" w:type="dxa"/>
              <w:end w:w="120" w:type="dxa"/>
            </w:tcMar>
            <w:vAlign w:val="center"/>
          </w:tcPr>
          <w:p>
            <w:pPr>
              <w:spacing w:after="0"/>
            </w:pPr>
            <w:r>
              <w:rPr>
                <w:b/>
                <w:color w:val="16324F"/>
                <w:sz w:val="16"/>
              </w:rPr>
              <w:t>Do not say</w:t>
            </w:r>
          </w:p>
        </w:tc>
        <w:tc>
          <w:tcPr>
            <w:tcW w:type="dxa" w:w="6336"/>
            <w:shd w:fill="FBE1E3"/>
            <w:tcMar>
              <w:top w:w="80" w:type="dxa"/>
              <w:start w:w="120" w:type="dxa"/>
              <w:bottom w:w="80" w:type="dxa"/>
              <w:end w:w="120" w:type="dxa"/>
            </w:tcMar>
            <w:vAlign w:val="center"/>
          </w:tcPr>
          <w:p>
            <w:pPr>
              <w:spacing w:after="0"/>
            </w:pPr>
            <w:r>
              <w:rPr>
                <w:b/>
                <w:color w:val="16324F"/>
                <w:sz w:val="16"/>
              </w:rPr>
              <w:t>Use only after evidence exists</w:t>
            </w:r>
          </w:p>
        </w:tc>
      </w:tr>
      <w:tr>
        <w:trPr>
          <w:cantSplit w:val="true"/>
        </w:trPr>
        <w:tc>
          <w:tcPr>
            <w:tcW w:type="dxa" w:w="3384"/>
            <w:tcMar>
              <w:top w:w="80" w:type="dxa"/>
              <w:start w:w="120" w:type="dxa"/>
              <w:bottom w:w="80" w:type="dxa"/>
              <w:end w:w="120" w:type="dxa"/>
            </w:tcMar>
            <w:vAlign w:val="top"/>
          </w:tcPr>
          <w:p>
            <w:pPr>
              <w:spacing w:after="0"/>
            </w:pPr>
            <w:r>
              <w:rPr>
                <w:sz w:val="16"/>
              </w:rPr>
              <w:t>“FDA-ready” or “regulator validated”</w:t>
            </w:r>
          </w:p>
        </w:tc>
        <w:tc>
          <w:tcPr>
            <w:tcW w:type="dxa" w:w="6336"/>
            <w:tcMar>
              <w:top w:w="80" w:type="dxa"/>
              <w:start w:w="120" w:type="dxa"/>
              <w:bottom w:w="80" w:type="dxa"/>
              <w:end w:w="120" w:type="dxa"/>
            </w:tcMar>
            <w:vAlign w:val="top"/>
          </w:tcPr>
          <w:p>
            <w:pPr>
              <w:spacing w:after="0"/>
            </w:pPr>
            <w:r>
              <w:rPr>
                <w:sz w:val="16"/>
              </w:rPr>
              <w:t>“Preliminary regulatory map reviewed by [qualified role]; product/site engagement still required”</w:t>
            </w:r>
          </w:p>
        </w:tc>
      </w:tr>
      <w:tr>
        <w:trPr>
          <w:cantSplit w:val="true"/>
        </w:trPr>
        <w:tc>
          <w:tcPr>
            <w:tcW w:type="dxa" w:w="3384"/>
            <w:tcMar>
              <w:top w:w="80" w:type="dxa"/>
              <w:start w:w="120" w:type="dxa"/>
              <w:bottom w:w="80" w:type="dxa"/>
              <w:end w:w="120" w:type="dxa"/>
            </w:tcMar>
            <w:vAlign w:val="top"/>
          </w:tcPr>
          <w:p>
            <w:pPr>
              <w:spacing w:after="0"/>
            </w:pPr>
            <w:r>
              <w:rPr>
                <w:sz w:val="16"/>
              </w:rPr>
              <w:t>“Our AI automates release”</w:t>
            </w:r>
          </w:p>
        </w:tc>
        <w:tc>
          <w:tcPr>
            <w:tcW w:type="dxa" w:w="6336"/>
            <w:tcMar>
              <w:top w:w="80" w:type="dxa"/>
              <w:start w:w="120" w:type="dxa"/>
              <w:bottom w:w="80" w:type="dxa"/>
              <w:end w:w="120" w:type="dxa"/>
            </w:tcMar>
            <w:vAlign w:val="top"/>
          </w:tcPr>
          <w:p>
            <w:pPr>
              <w:spacing w:after="0"/>
            </w:pPr>
            <w:r>
              <w:rPr>
                <w:sz w:val="16"/>
              </w:rPr>
              <w:t>“In a public-benchmark methods study, our shift detector abstained under instrument drift; prospective product/site validation is the next step”</w:t>
            </w:r>
          </w:p>
        </w:tc>
      </w:tr>
      <w:tr>
        <w:trPr>
          <w:cantSplit w:val="true"/>
        </w:trPr>
        <w:tc>
          <w:tcPr>
            <w:tcW w:type="dxa" w:w="3384"/>
            <w:tcMar>
              <w:top w:w="80" w:type="dxa"/>
              <w:start w:w="120" w:type="dxa"/>
              <w:bottom w:w="80" w:type="dxa"/>
              <w:end w:w="120" w:type="dxa"/>
            </w:tcMar>
            <w:vAlign w:val="top"/>
          </w:tcPr>
          <w:p>
            <w:pPr>
              <w:spacing w:after="0"/>
            </w:pPr>
            <w:r>
              <w:rPr>
                <w:sz w:val="16"/>
              </w:rPr>
              <w:t>“Distributed manufacturing solves shortages”</w:t>
            </w:r>
          </w:p>
        </w:tc>
        <w:tc>
          <w:tcPr>
            <w:tcW w:type="dxa" w:w="6336"/>
            <w:tcMar>
              <w:top w:w="80" w:type="dxa"/>
              <w:start w:w="120" w:type="dxa"/>
              <w:bottom w:w="80" w:type="dxa"/>
              <w:end w:w="120" w:type="dxa"/>
            </w:tcMar>
            <w:vAlign w:val="top"/>
          </w:tcPr>
          <w:p>
            <w:pPr>
              <w:spacing w:after="0"/>
            </w:pPr>
            <w:r>
              <w:rPr>
                <w:sz w:val="16"/>
              </w:rPr>
              <w:t>“The model found a bounded feasibility region—or found distributed capacity dominated—under stated assumptions”</w:t>
            </w:r>
          </w:p>
        </w:tc>
      </w:tr>
      <w:tr>
        <w:trPr>
          <w:cantSplit w:val="true"/>
        </w:trPr>
        <w:tc>
          <w:tcPr>
            <w:tcW w:type="dxa" w:w="3384"/>
            <w:tcMar>
              <w:top w:w="80" w:type="dxa"/>
              <w:start w:w="120" w:type="dxa"/>
              <w:bottom w:w="80" w:type="dxa"/>
              <w:end w:w="120" w:type="dxa"/>
            </w:tcMar>
            <w:vAlign w:val="top"/>
          </w:tcPr>
          <w:p>
            <w:pPr>
              <w:spacing w:after="0"/>
            </w:pPr>
            <w:r>
              <w:rPr>
                <w:sz w:val="16"/>
              </w:rPr>
              <w:t>“Partnered with” after an interview</w:t>
            </w:r>
          </w:p>
        </w:tc>
        <w:tc>
          <w:tcPr>
            <w:tcW w:type="dxa" w:w="6336"/>
            <w:tcMar>
              <w:top w:w="80" w:type="dxa"/>
              <w:start w:w="120" w:type="dxa"/>
              <w:bottom w:w="80" w:type="dxa"/>
              <w:end w:w="120" w:type="dxa"/>
            </w:tcMar>
            <w:vAlign w:val="top"/>
          </w:tcPr>
          <w:p>
            <w:pPr>
              <w:spacing w:after="0"/>
            </w:pPr>
            <w:r>
              <w:rPr>
                <w:sz w:val="16"/>
              </w:rPr>
              <w:t>“Interviewed [role/organization type] and revised X assumption”</w:t>
            </w:r>
          </w:p>
        </w:tc>
      </w:tr>
      <w:tr>
        <w:trPr>
          <w:cantSplit w:val="true"/>
        </w:trPr>
        <w:tc>
          <w:tcPr>
            <w:tcW w:type="dxa" w:w="3384"/>
            <w:tcMar>
              <w:top w:w="80" w:type="dxa"/>
              <w:start w:w="120" w:type="dxa"/>
              <w:bottom w:w="80" w:type="dxa"/>
              <w:end w:w="120" w:type="dxa"/>
            </w:tcMar>
            <w:vAlign w:val="top"/>
          </w:tcPr>
          <w:p>
            <w:pPr>
              <w:spacing w:after="0"/>
            </w:pPr>
            <w:r>
              <w:rPr>
                <w:sz w:val="16"/>
              </w:rPr>
              <w:t>“Manufacturing cost” from CMS</w:t>
            </w:r>
          </w:p>
        </w:tc>
        <w:tc>
          <w:tcPr>
            <w:tcW w:type="dxa" w:w="6336"/>
            <w:tcMar>
              <w:top w:w="80" w:type="dxa"/>
              <w:start w:w="120" w:type="dxa"/>
              <w:bottom w:w="80" w:type="dxa"/>
              <w:end w:w="120" w:type="dxa"/>
            </w:tcMar>
            <w:vAlign w:val="top"/>
          </w:tcPr>
          <w:p>
            <w:pPr>
              <w:spacing w:after="0"/>
            </w:pPr>
            <w:r>
              <w:rPr>
                <w:sz w:val="16"/>
              </w:rPr>
              <w:t>“CMS utilization/reimbursement proxy; cost estimated separately”</w:t>
            </w:r>
          </w:p>
        </w:tc>
      </w:tr>
    </w:tbl>
    <w:p>
      <w:r>
        <w:br w:type="page"/>
      </w:r>
    </w:p>
    <w:p>
      <w:pPr>
        <w:pStyle w:val="Heading1"/>
        <w:keepNext/>
        <w:keepLines/>
      </w:pPr>
      <w:r>
        <w:t>Appendix A. Core variable dictionary</w:t>
      </w:r>
    </w:p>
    <w:tbl>
      <w:tblPr>
        <w:tblStyle w:val="TableGrid"/>
        <w:tblW w:type="dxa" w:w="9720"/>
        <w:jc w:val="center"/>
        <w:tblLayout w:type="fixed"/>
        <w:tblLook w:firstColumn="1" w:firstRow="1" w:lastColumn="0" w:lastRow="0" w:noHBand="0" w:noVBand="1" w:val="04A0"/>
        <w:tblInd w:type="dxa" w:w="120"/>
      </w:tblPr>
      <w:tblGrid>
        <w:gridCol w:w="1800"/>
        <w:gridCol w:w="6120"/>
        <w:gridCol w:w="1800"/>
      </w:tblGrid>
      <w:tr>
        <w:trPr>
          <w:cantSplit w:val="true"/>
          <w:tblHeader w:val="true"/>
        </w:trPr>
        <w:tc>
          <w:tcPr>
            <w:tcW w:type="dxa" w:w="1800"/>
            <w:shd w:fill="E8EEF5"/>
            <w:tcMar>
              <w:top w:w="80" w:type="dxa"/>
              <w:start w:w="120" w:type="dxa"/>
              <w:bottom w:w="80" w:type="dxa"/>
              <w:end w:w="120" w:type="dxa"/>
            </w:tcMar>
            <w:vAlign w:val="center"/>
          </w:tcPr>
          <w:p>
            <w:pPr>
              <w:spacing w:after="0"/>
            </w:pPr>
            <w:r>
              <w:rPr>
                <w:b/>
                <w:color w:val="16324F"/>
                <w:sz w:val="15"/>
              </w:rPr>
              <w:t>Symbol</w:t>
            </w:r>
          </w:p>
        </w:tc>
        <w:tc>
          <w:tcPr>
            <w:tcW w:type="dxa" w:w="6120"/>
            <w:shd w:fill="E8EEF5"/>
            <w:tcMar>
              <w:top w:w="80" w:type="dxa"/>
              <w:start w:w="120" w:type="dxa"/>
              <w:bottom w:w="80" w:type="dxa"/>
              <w:end w:w="120" w:type="dxa"/>
            </w:tcMar>
            <w:vAlign w:val="center"/>
          </w:tcPr>
          <w:p>
            <w:pPr>
              <w:spacing w:after="0"/>
            </w:pPr>
            <w:r>
              <w:rPr>
                <w:b/>
                <w:color w:val="16324F"/>
                <w:sz w:val="15"/>
              </w:rPr>
              <w:t>Definition</w:t>
            </w:r>
          </w:p>
        </w:tc>
        <w:tc>
          <w:tcPr>
            <w:tcW w:type="dxa" w:w="1800"/>
            <w:shd w:fill="E8EEF5"/>
            <w:tcMar>
              <w:top w:w="80" w:type="dxa"/>
              <w:start w:w="120" w:type="dxa"/>
              <w:bottom w:w="80" w:type="dxa"/>
              <w:end w:w="120" w:type="dxa"/>
            </w:tcMar>
            <w:vAlign w:val="center"/>
          </w:tcPr>
          <w:p>
            <w:pPr>
              <w:spacing w:after="0"/>
            </w:pPr>
            <w:r>
              <w:rPr>
                <w:b/>
                <w:color w:val="16324F"/>
                <w:sz w:val="15"/>
              </w:rPr>
              <w:t>Unit/state</w:t>
            </w:r>
          </w:p>
        </w:tc>
      </w:tr>
      <w:tr>
        <w:trPr>
          <w:cantSplit w:val="true"/>
        </w:trPr>
        <w:tc>
          <w:tcPr>
            <w:tcW w:type="dxa" w:w="1800"/>
            <w:tcMar>
              <w:top w:w="80" w:type="dxa"/>
              <w:start w:w="120" w:type="dxa"/>
              <w:bottom w:w="80" w:type="dxa"/>
              <w:end w:w="120" w:type="dxa"/>
            </w:tcMar>
            <w:vAlign w:val="top"/>
          </w:tcPr>
          <w:p>
            <w:pPr>
              <w:spacing w:after="0"/>
            </w:pPr>
            <w:r>
              <w:rPr>
                <w:sz w:val="15"/>
              </w:rPr>
              <w:t>p, r, s, k, t</w:t>
            </w:r>
          </w:p>
        </w:tc>
        <w:tc>
          <w:tcPr>
            <w:tcW w:type="dxa" w:w="6120"/>
            <w:tcMar>
              <w:top w:w="80" w:type="dxa"/>
              <w:start w:w="120" w:type="dxa"/>
              <w:bottom w:w="80" w:type="dxa"/>
              <w:end w:w="120" w:type="dxa"/>
            </w:tcMar>
            <w:vAlign w:val="top"/>
          </w:tcPr>
          <w:p>
            <w:pPr>
              <w:spacing w:after="0"/>
            </w:pPr>
            <w:r>
              <w:rPr>
                <w:sz w:val="15"/>
              </w:rPr>
              <w:t>Product, region, site, supplier/component, time</w:t>
            </w:r>
          </w:p>
        </w:tc>
        <w:tc>
          <w:tcPr>
            <w:tcW w:type="dxa" w:w="1800"/>
            <w:tcMar>
              <w:top w:w="80" w:type="dxa"/>
              <w:start w:w="120" w:type="dxa"/>
              <w:bottom w:w="80" w:type="dxa"/>
              <w:end w:w="120" w:type="dxa"/>
            </w:tcMar>
            <w:vAlign w:val="top"/>
          </w:tcPr>
          <w:p>
            <w:pPr>
              <w:spacing w:after="0"/>
            </w:pPr>
            <w:r>
              <w:rPr>
                <w:sz w:val="15"/>
              </w:rPr>
              <w:t>indices</w:t>
            </w:r>
          </w:p>
        </w:tc>
      </w:tr>
      <w:tr>
        <w:trPr>
          <w:cantSplit w:val="true"/>
        </w:trPr>
        <w:tc>
          <w:tcPr>
            <w:tcW w:type="dxa" w:w="1800"/>
            <w:tcMar>
              <w:top w:w="80" w:type="dxa"/>
              <w:start w:w="120" w:type="dxa"/>
              <w:bottom w:w="80" w:type="dxa"/>
              <w:end w:w="120" w:type="dxa"/>
            </w:tcMar>
            <w:vAlign w:val="top"/>
          </w:tcPr>
          <w:p>
            <w:pPr>
              <w:spacing w:after="0"/>
            </w:pPr>
            <w:r>
              <w:rPr>
                <w:sz w:val="15"/>
              </w:rPr>
              <w:t>D[p,r,t]</w:t>
            </w:r>
          </w:p>
        </w:tc>
        <w:tc>
          <w:tcPr>
            <w:tcW w:type="dxa" w:w="6120"/>
            <w:tcMar>
              <w:top w:w="80" w:type="dxa"/>
              <w:start w:w="120" w:type="dxa"/>
              <w:bottom w:w="80" w:type="dxa"/>
              <w:end w:w="120" w:type="dxa"/>
            </w:tcMar>
            <w:vAlign w:val="top"/>
          </w:tcPr>
          <w:p>
            <w:pPr>
              <w:spacing w:after="0"/>
            </w:pPr>
            <w:r>
              <w:rPr>
                <w:sz w:val="15"/>
              </w:rPr>
              <w:t>Demand for presentation p in region r at time t</w:t>
            </w:r>
          </w:p>
        </w:tc>
        <w:tc>
          <w:tcPr>
            <w:tcW w:type="dxa" w:w="1800"/>
            <w:tcMar>
              <w:top w:w="80" w:type="dxa"/>
              <w:start w:w="120" w:type="dxa"/>
              <w:bottom w:w="80" w:type="dxa"/>
              <w:end w:w="120" w:type="dxa"/>
            </w:tcMar>
            <w:vAlign w:val="top"/>
          </w:tcPr>
          <w:p>
            <w:pPr>
              <w:spacing w:after="0"/>
            </w:pPr>
            <w:r>
              <w:rPr>
                <w:sz w:val="15"/>
              </w:rPr>
              <w:t>units/day</w:t>
            </w:r>
          </w:p>
        </w:tc>
      </w:tr>
      <w:tr>
        <w:trPr>
          <w:cantSplit w:val="true"/>
        </w:trPr>
        <w:tc>
          <w:tcPr>
            <w:tcW w:type="dxa" w:w="1800"/>
            <w:tcMar>
              <w:top w:w="80" w:type="dxa"/>
              <w:start w:w="120" w:type="dxa"/>
              <w:bottom w:w="80" w:type="dxa"/>
              <w:end w:w="120" w:type="dxa"/>
            </w:tcMar>
            <w:vAlign w:val="top"/>
          </w:tcPr>
          <w:p>
            <w:pPr>
              <w:spacing w:after="0"/>
            </w:pPr>
            <w:r>
              <w:rPr>
                <w:sz w:val="15"/>
              </w:rPr>
              <w:t>I[p,r,a,t]</w:t>
            </w:r>
          </w:p>
        </w:tc>
        <w:tc>
          <w:tcPr>
            <w:tcW w:type="dxa" w:w="6120"/>
            <w:tcMar>
              <w:top w:w="80" w:type="dxa"/>
              <w:start w:w="120" w:type="dxa"/>
              <w:bottom w:w="80" w:type="dxa"/>
              <w:end w:w="120" w:type="dxa"/>
            </w:tcMar>
            <w:vAlign w:val="top"/>
          </w:tcPr>
          <w:p>
            <w:pPr>
              <w:spacing w:after="0"/>
            </w:pPr>
            <w:r>
              <w:rPr>
                <w:sz w:val="15"/>
              </w:rPr>
              <w:t>Released inventory of age cohort a</w:t>
            </w:r>
          </w:p>
        </w:tc>
        <w:tc>
          <w:tcPr>
            <w:tcW w:type="dxa" w:w="1800"/>
            <w:tcMar>
              <w:top w:w="80" w:type="dxa"/>
              <w:start w:w="120" w:type="dxa"/>
              <w:bottom w:w="80" w:type="dxa"/>
              <w:end w:w="120" w:type="dxa"/>
            </w:tcMar>
            <w:vAlign w:val="top"/>
          </w:tcPr>
          <w:p>
            <w:pPr>
              <w:spacing w:after="0"/>
            </w:pPr>
            <w:r>
              <w:rPr>
                <w:sz w:val="15"/>
              </w:rPr>
              <w:t>units</w:t>
            </w:r>
          </w:p>
        </w:tc>
      </w:tr>
      <w:tr>
        <w:trPr>
          <w:cantSplit w:val="true"/>
        </w:trPr>
        <w:tc>
          <w:tcPr>
            <w:tcW w:type="dxa" w:w="1800"/>
            <w:tcMar>
              <w:top w:w="80" w:type="dxa"/>
              <w:start w:w="120" w:type="dxa"/>
              <w:bottom w:w="80" w:type="dxa"/>
              <w:end w:w="120" w:type="dxa"/>
            </w:tcMar>
            <w:vAlign w:val="top"/>
          </w:tcPr>
          <w:p>
            <w:pPr>
              <w:spacing w:after="0"/>
            </w:pPr>
            <w:r>
              <w:rPr>
                <w:sz w:val="15"/>
              </w:rPr>
              <w:t>RM[p,k,t]</w:t>
            </w:r>
          </w:p>
        </w:tc>
        <w:tc>
          <w:tcPr>
            <w:tcW w:type="dxa" w:w="6120"/>
            <w:tcMar>
              <w:top w:w="80" w:type="dxa"/>
              <w:start w:w="120" w:type="dxa"/>
              <w:bottom w:w="80" w:type="dxa"/>
              <w:end w:w="120" w:type="dxa"/>
            </w:tcMar>
            <w:vAlign w:val="top"/>
          </w:tcPr>
          <w:p>
            <w:pPr>
              <w:spacing w:after="0"/>
            </w:pPr>
            <w:r>
              <w:rPr>
                <w:sz w:val="15"/>
              </w:rPr>
              <w:t>Qualified raw-material/component inventory</w:t>
            </w:r>
          </w:p>
        </w:tc>
        <w:tc>
          <w:tcPr>
            <w:tcW w:type="dxa" w:w="1800"/>
            <w:tcMar>
              <w:top w:w="80" w:type="dxa"/>
              <w:start w:w="120" w:type="dxa"/>
              <w:bottom w:w="80" w:type="dxa"/>
              <w:end w:w="120" w:type="dxa"/>
            </w:tcMar>
            <w:vAlign w:val="top"/>
          </w:tcPr>
          <w:p>
            <w:pPr>
              <w:spacing w:after="0"/>
            </w:pPr>
            <w:r>
              <w:rPr>
                <w:sz w:val="15"/>
              </w:rPr>
              <w:t>units or kg</w:t>
            </w:r>
          </w:p>
        </w:tc>
      </w:tr>
      <w:tr>
        <w:trPr>
          <w:cantSplit w:val="true"/>
        </w:trPr>
        <w:tc>
          <w:tcPr>
            <w:tcW w:type="dxa" w:w="1800"/>
            <w:tcMar>
              <w:top w:w="80" w:type="dxa"/>
              <w:start w:w="120" w:type="dxa"/>
              <w:bottom w:w="80" w:type="dxa"/>
              <w:end w:w="120" w:type="dxa"/>
            </w:tcMar>
            <w:vAlign w:val="top"/>
          </w:tcPr>
          <w:p>
            <w:pPr>
              <w:spacing w:after="0"/>
            </w:pPr>
            <w:r>
              <w:rPr>
                <w:sz w:val="15"/>
              </w:rPr>
              <w:t>Q[p,s,t]</w:t>
            </w:r>
          </w:p>
        </w:tc>
        <w:tc>
          <w:tcPr>
            <w:tcW w:type="dxa" w:w="6120"/>
            <w:tcMar>
              <w:top w:w="80" w:type="dxa"/>
              <w:start w:w="120" w:type="dxa"/>
              <w:bottom w:w="80" w:type="dxa"/>
              <w:end w:w="120" w:type="dxa"/>
            </w:tcMar>
            <w:vAlign w:val="top"/>
          </w:tcPr>
          <w:p>
            <w:pPr>
              <w:spacing w:after="0"/>
            </w:pPr>
            <w:r>
              <w:rPr>
                <w:sz w:val="15"/>
              </w:rPr>
              <w:t>Nominal production capacity</w:t>
            </w:r>
          </w:p>
        </w:tc>
        <w:tc>
          <w:tcPr>
            <w:tcW w:type="dxa" w:w="1800"/>
            <w:tcMar>
              <w:top w:w="80" w:type="dxa"/>
              <w:start w:w="120" w:type="dxa"/>
              <w:bottom w:w="80" w:type="dxa"/>
              <w:end w:w="120" w:type="dxa"/>
            </w:tcMar>
            <w:vAlign w:val="top"/>
          </w:tcPr>
          <w:p>
            <w:pPr>
              <w:spacing w:after="0"/>
            </w:pPr>
            <w:r>
              <w:rPr>
                <w:sz w:val="15"/>
              </w:rPr>
              <w:t>units/day</w:t>
            </w:r>
          </w:p>
        </w:tc>
      </w:tr>
      <w:tr>
        <w:trPr>
          <w:cantSplit w:val="true"/>
        </w:trPr>
        <w:tc>
          <w:tcPr>
            <w:tcW w:type="dxa" w:w="1800"/>
            <w:tcMar>
              <w:top w:w="80" w:type="dxa"/>
              <w:start w:w="120" w:type="dxa"/>
              <w:bottom w:w="80" w:type="dxa"/>
              <w:end w:w="120" w:type="dxa"/>
            </w:tcMar>
            <w:vAlign w:val="top"/>
          </w:tcPr>
          <w:p>
            <w:pPr>
              <w:spacing w:after="0"/>
            </w:pPr>
            <w:r>
              <w:rPr>
                <w:sz w:val="15"/>
              </w:rPr>
              <w:t>U[s,t]</w:t>
            </w:r>
          </w:p>
        </w:tc>
        <w:tc>
          <w:tcPr>
            <w:tcW w:type="dxa" w:w="6120"/>
            <w:tcMar>
              <w:top w:w="80" w:type="dxa"/>
              <w:start w:w="120" w:type="dxa"/>
              <w:bottom w:w="80" w:type="dxa"/>
              <w:end w:w="120" w:type="dxa"/>
            </w:tcMar>
            <w:vAlign w:val="top"/>
          </w:tcPr>
          <w:p>
            <w:pPr>
              <w:spacing w:after="0"/>
            </w:pPr>
            <w:r>
              <w:rPr>
                <w:sz w:val="15"/>
              </w:rPr>
              <w:t>Site uptime/capacity fraction after events</w:t>
            </w:r>
          </w:p>
        </w:tc>
        <w:tc>
          <w:tcPr>
            <w:tcW w:type="dxa" w:w="1800"/>
            <w:tcMar>
              <w:top w:w="80" w:type="dxa"/>
              <w:start w:w="120" w:type="dxa"/>
              <w:bottom w:w="80" w:type="dxa"/>
              <w:end w:w="120" w:type="dxa"/>
            </w:tcMar>
            <w:vAlign w:val="top"/>
          </w:tcPr>
          <w:p>
            <w:pPr>
              <w:spacing w:after="0"/>
            </w:pPr>
            <w:r>
              <w:rPr>
                <w:sz w:val="15"/>
              </w:rPr>
              <w:t>fraction</w:t>
            </w:r>
          </w:p>
        </w:tc>
      </w:tr>
      <w:tr>
        <w:trPr>
          <w:cantSplit w:val="true"/>
        </w:trPr>
        <w:tc>
          <w:tcPr>
            <w:tcW w:type="dxa" w:w="1800"/>
            <w:tcMar>
              <w:top w:w="80" w:type="dxa"/>
              <w:start w:w="120" w:type="dxa"/>
              <w:bottom w:w="80" w:type="dxa"/>
              <w:end w:w="120" w:type="dxa"/>
            </w:tcMar>
            <w:vAlign w:val="top"/>
          </w:tcPr>
          <w:p>
            <w:pPr>
              <w:spacing w:after="0"/>
            </w:pPr>
            <w:r>
              <w:rPr>
                <w:sz w:val="15"/>
              </w:rPr>
              <w:t>Y[p,s,b]</w:t>
            </w:r>
          </w:p>
        </w:tc>
        <w:tc>
          <w:tcPr>
            <w:tcW w:type="dxa" w:w="6120"/>
            <w:tcMar>
              <w:top w:w="80" w:type="dxa"/>
              <w:start w:w="120" w:type="dxa"/>
              <w:bottom w:w="80" w:type="dxa"/>
              <w:end w:w="120" w:type="dxa"/>
            </w:tcMar>
            <w:vAlign w:val="top"/>
          </w:tcPr>
          <w:p>
            <w:pPr>
              <w:spacing w:after="0"/>
            </w:pPr>
            <w:r>
              <w:rPr>
                <w:sz w:val="15"/>
              </w:rPr>
              <w:t>Saleable batch yield</w:t>
            </w:r>
          </w:p>
        </w:tc>
        <w:tc>
          <w:tcPr>
            <w:tcW w:type="dxa" w:w="1800"/>
            <w:tcMar>
              <w:top w:w="80" w:type="dxa"/>
              <w:start w:w="120" w:type="dxa"/>
              <w:bottom w:w="80" w:type="dxa"/>
              <w:end w:w="120" w:type="dxa"/>
            </w:tcMar>
            <w:vAlign w:val="top"/>
          </w:tcPr>
          <w:p>
            <w:pPr>
              <w:spacing w:after="0"/>
            </w:pPr>
            <w:r>
              <w:rPr>
                <w:sz w:val="15"/>
              </w:rPr>
              <w:t>fraction</w:t>
            </w:r>
          </w:p>
        </w:tc>
      </w:tr>
      <w:tr>
        <w:trPr>
          <w:cantSplit w:val="true"/>
        </w:trPr>
        <w:tc>
          <w:tcPr>
            <w:tcW w:type="dxa" w:w="1800"/>
            <w:tcMar>
              <w:top w:w="80" w:type="dxa"/>
              <w:start w:w="120" w:type="dxa"/>
              <w:bottom w:w="80" w:type="dxa"/>
              <w:end w:w="120" w:type="dxa"/>
            </w:tcMar>
            <w:vAlign w:val="top"/>
          </w:tcPr>
          <w:p>
            <w:pPr>
              <w:spacing w:after="0"/>
            </w:pPr>
            <w:r>
              <w:rPr>
                <w:sz w:val="15"/>
              </w:rPr>
              <w:t>B[p,s,b]</w:t>
            </w:r>
          </w:p>
        </w:tc>
        <w:tc>
          <w:tcPr>
            <w:tcW w:type="dxa" w:w="6120"/>
            <w:tcMar>
              <w:top w:w="80" w:type="dxa"/>
              <w:start w:w="120" w:type="dxa"/>
              <w:bottom w:w="80" w:type="dxa"/>
              <w:end w:w="120" w:type="dxa"/>
            </w:tcMar>
            <w:vAlign w:val="top"/>
          </w:tcPr>
          <w:p>
            <w:pPr>
              <w:spacing w:after="0"/>
            </w:pPr>
            <w:r>
              <w:rPr>
                <w:sz w:val="15"/>
              </w:rPr>
              <w:t>Batch size</w:t>
            </w:r>
          </w:p>
        </w:tc>
        <w:tc>
          <w:tcPr>
            <w:tcW w:type="dxa" w:w="1800"/>
            <w:tcMar>
              <w:top w:w="80" w:type="dxa"/>
              <w:start w:w="120" w:type="dxa"/>
              <w:bottom w:w="80" w:type="dxa"/>
              <w:end w:w="120" w:type="dxa"/>
            </w:tcMar>
            <w:vAlign w:val="top"/>
          </w:tcPr>
          <w:p>
            <w:pPr>
              <w:spacing w:after="0"/>
            </w:pPr>
            <w:r>
              <w:rPr>
                <w:sz w:val="15"/>
              </w:rPr>
              <w:t>units</w:t>
            </w:r>
          </w:p>
        </w:tc>
      </w:tr>
      <w:tr>
        <w:trPr>
          <w:cantSplit w:val="true"/>
        </w:trPr>
        <w:tc>
          <w:tcPr>
            <w:tcW w:type="dxa" w:w="1800"/>
            <w:tcMar>
              <w:top w:w="80" w:type="dxa"/>
              <w:start w:w="120" w:type="dxa"/>
              <w:bottom w:w="80" w:type="dxa"/>
              <w:end w:w="120" w:type="dxa"/>
            </w:tcMar>
            <w:vAlign w:val="top"/>
          </w:tcPr>
          <w:p>
            <w:pPr>
              <w:spacing w:after="0"/>
            </w:pPr>
            <w:r>
              <w:rPr>
                <w:sz w:val="15"/>
              </w:rPr>
              <w:t>Lmat[p,k]</w:t>
            </w:r>
          </w:p>
        </w:tc>
        <w:tc>
          <w:tcPr>
            <w:tcW w:type="dxa" w:w="6120"/>
            <w:tcMar>
              <w:top w:w="80" w:type="dxa"/>
              <w:start w:w="120" w:type="dxa"/>
              <w:bottom w:w="80" w:type="dxa"/>
              <w:end w:w="120" w:type="dxa"/>
            </w:tcMar>
            <w:vAlign w:val="top"/>
          </w:tcPr>
          <w:p>
            <w:pPr>
              <w:spacing w:after="0"/>
            </w:pPr>
            <w:r>
              <w:rPr>
                <w:sz w:val="15"/>
              </w:rPr>
              <w:t>Material procurement lead time</w:t>
            </w:r>
          </w:p>
        </w:tc>
        <w:tc>
          <w:tcPr>
            <w:tcW w:type="dxa" w:w="1800"/>
            <w:tcMar>
              <w:top w:w="80" w:type="dxa"/>
              <w:start w:w="120" w:type="dxa"/>
              <w:bottom w:w="80" w:type="dxa"/>
              <w:end w:w="120" w:type="dxa"/>
            </w:tcMar>
            <w:vAlign w:val="top"/>
          </w:tcPr>
          <w:p>
            <w:pPr>
              <w:spacing w:after="0"/>
            </w:pPr>
            <w:r>
              <w:rPr>
                <w:sz w:val="15"/>
              </w:rPr>
              <w:t>days</w:t>
            </w:r>
          </w:p>
        </w:tc>
      </w:tr>
      <w:tr>
        <w:trPr>
          <w:cantSplit w:val="true"/>
        </w:trPr>
        <w:tc>
          <w:tcPr>
            <w:tcW w:type="dxa" w:w="1800"/>
            <w:tcMar>
              <w:top w:w="80" w:type="dxa"/>
              <w:start w:w="120" w:type="dxa"/>
              <w:bottom w:w="80" w:type="dxa"/>
              <w:end w:w="120" w:type="dxa"/>
            </w:tcMar>
            <w:vAlign w:val="top"/>
          </w:tcPr>
          <w:p>
            <w:pPr>
              <w:spacing w:after="0"/>
            </w:pPr>
            <w:r>
              <w:rPr>
                <w:sz w:val="15"/>
              </w:rPr>
              <w:t>Lprod[p,s]</w:t>
            </w:r>
          </w:p>
        </w:tc>
        <w:tc>
          <w:tcPr>
            <w:tcW w:type="dxa" w:w="6120"/>
            <w:tcMar>
              <w:top w:w="80" w:type="dxa"/>
              <w:start w:w="120" w:type="dxa"/>
              <w:bottom w:w="80" w:type="dxa"/>
              <w:end w:w="120" w:type="dxa"/>
            </w:tcMar>
            <w:vAlign w:val="top"/>
          </w:tcPr>
          <w:p>
            <w:pPr>
              <w:spacing w:after="0"/>
            </w:pPr>
            <w:r>
              <w:rPr>
                <w:sz w:val="15"/>
              </w:rPr>
              <w:t>Setup plus production/inspection time</w:t>
            </w:r>
          </w:p>
        </w:tc>
        <w:tc>
          <w:tcPr>
            <w:tcW w:type="dxa" w:w="1800"/>
            <w:tcMar>
              <w:top w:w="80" w:type="dxa"/>
              <w:start w:w="120" w:type="dxa"/>
              <w:bottom w:w="80" w:type="dxa"/>
              <w:end w:w="120" w:type="dxa"/>
            </w:tcMar>
            <w:vAlign w:val="top"/>
          </w:tcPr>
          <w:p>
            <w:pPr>
              <w:spacing w:after="0"/>
            </w:pPr>
            <w:r>
              <w:rPr>
                <w:sz w:val="15"/>
              </w:rPr>
              <w:t>days</w:t>
            </w:r>
          </w:p>
        </w:tc>
      </w:tr>
      <w:tr>
        <w:trPr>
          <w:cantSplit w:val="true"/>
        </w:trPr>
        <w:tc>
          <w:tcPr>
            <w:tcW w:type="dxa" w:w="1800"/>
            <w:tcMar>
              <w:top w:w="80" w:type="dxa"/>
              <w:start w:w="120" w:type="dxa"/>
              <w:bottom w:w="80" w:type="dxa"/>
              <w:end w:w="120" w:type="dxa"/>
            </w:tcMar>
            <w:vAlign w:val="top"/>
          </w:tcPr>
          <w:p>
            <w:pPr>
              <w:spacing w:after="0"/>
            </w:pPr>
            <w:r>
              <w:rPr>
                <w:sz w:val="15"/>
              </w:rPr>
              <w:t>Lrel[p,s,b]</w:t>
            </w:r>
          </w:p>
        </w:tc>
        <w:tc>
          <w:tcPr>
            <w:tcW w:type="dxa" w:w="6120"/>
            <w:tcMar>
              <w:top w:w="80" w:type="dxa"/>
              <w:start w:w="120" w:type="dxa"/>
              <w:bottom w:w="80" w:type="dxa"/>
              <w:end w:w="120" w:type="dxa"/>
            </w:tcMar>
            <w:vAlign w:val="top"/>
          </w:tcPr>
          <w:p>
            <w:pPr>
              <w:spacing w:after="0"/>
            </w:pPr>
            <w:r>
              <w:rPr>
                <w:sz w:val="15"/>
              </w:rPr>
              <w:t>Testing, investigation, and disposition time</w:t>
            </w:r>
          </w:p>
        </w:tc>
        <w:tc>
          <w:tcPr>
            <w:tcW w:type="dxa" w:w="1800"/>
            <w:tcMar>
              <w:top w:w="80" w:type="dxa"/>
              <w:start w:w="120" w:type="dxa"/>
              <w:bottom w:w="80" w:type="dxa"/>
              <w:end w:w="120" w:type="dxa"/>
            </w:tcMar>
            <w:vAlign w:val="top"/>
          </w:tcPr>
          <w:p>
            <w:pPr>
              <w:spacing w:after="0"/>
            </w:pPr>
            <w:r>
              <w:rPr>
                <w:sz w:val="15"/>
              </w:rPr>
              <w:t>days</w:t>
            </w:r>
          </w:p>
        </w:tc>
      </w:tr>
      <w:tr>
        <w:trPr>
          <w:cantSplit w:val="true"/>
        </w:trPr>
        <w:tc>
          <w:tcPr>
            <w:tcW w:type="dxa" w:w="1800"/>
            <w:tcMar>
              <w:top w:w="80" w:type="dxa"/>
              <w:start w:w="120" w:type="dxa"/>
              <w:bottom w:w="80" w:type="dxa"/>
              <w:end w:w="120" w:type="dxa"/>
            </w:tcMar>
            <w:vAlign w:val="top"/>
          </w:tcPr>
          <w:p>
            <w:pPr>
              <w:spacing w:after="0"/>
            </w:pPr>
            <w:r>
              <w:rPr>
                <w:sz w:val="15"/>
              </w:rPr>
              <w:t>Lship[s,r]</w:t>
            </w:r>
          </w:p>
        </w:tc>
        <w:tc>
          <w:tcPr>
            <w:tcW w:type="dxa" w:w="6120"/>
            <w:tcMar>
              <w:top w:w="80" w:type="dxa"/>
              <w:start w:w="120" w:type="dxa"/>
              <w:bottom w:w="80" w:type="dxa"/>
              <w:end w:w="120" w:type="dxa"/>
            </w:tcMar>
            <w:vAlign w:val="top"/>
          </w:tcPr>
          <w:p>
            <w:pPr>
              <w:spacing w:after="0"/>
            </w:pPr>
            <w:r>
              <w:rPr>
                <w:sz w:val="15"/>
              </w:rPr>
              <w:t>Shipment time from site/location to region</w:t>
            </w:r>
          </w:p>
        </w:tc>
        <w:tc>
          <w:tcPr>
            <w:tcW w:type="dxa" w:w="1800"/>
            <w:tcMar>
              <w:top w:w="80" w:type="dxa"/>
              <w:start w:w="120" w:type="dxa"/>
              <w:bottom w:w="80" w:type="dxa"/>
              <w:end w:w="120" w:type="dxa"/>
            </w:tcMar>
            <w:vAlign w:val="top"/>
          </w:tcPr>
          <w:p>
            <w:pPr>
              <w:spacing w:after="0"/>
            </w:pPr>
            <w:r>
              <w:rPr>
                <w:sz w:val="15"/>
              </w:rPr>
              <w:t>days</w:t>
            </w:r>
          </w:p>
        </w:tc>
      </w:tr>
      <w:tr>
        <w:trPr>
          <w:cantSplit w:val="true"/>
        </w:trPr>
        <w:tc>
          <w:tcPr>
            <w:tcW w:type="dxa" w:w="1800"/>
            <w:tcMar>
              <w:top w:w="80" w:type="dxa"/>
              <w:start w:w="120" w:type="dxa"/>
              <w:bottom w:w="80" w:type="dxa"/>
              <w:end w:w="120" w:type="dxa"/>
            </w:tcMar>
            <w:vAlign w:val="top"/>
          </w:tcPr>
          <w:p>
            <w:pPr>
              <w:spacing w:after="0"/>
            </w:pPr>
            <w:r>
              <w:rPr>
                <w:sz w:val="15"/>
              </w:rPr>
              <w:t>Fail[s,t]</w:t>
            </w:r>
          </w:p>
        </w:tc>
        <w:tc>
          <w:tcPr>
            <w:tcW w:type="dxa" w:w="6120"/>
            <w:tcMar>
              <w:top w:w="80" w:type="dxa"/>
              <w:start w:w="120" w:type="dxa"/>
              <w:bottom w:w="80" w:type="dxa"/>
              <w:end w:w="120" w:type="dxa"/>
            </w:tcMar>
            <w:vAlign w:val="top"/>
          </w:tcPr>
          <w:p>
            <w:pPr>
              <w:spacing w:after="0"/>
            </w:pPr>
            <w:r>
              <w:rPr>
                <w:sz w:val="15"/>
              </w:rPr>
              <w:t>Site-specific failure state</w:t>
            </w:r>
          </w:p>
        </w:tc>
        <w:tc>
          <w:tcPr>
            <w:tcW w:type="dxa" w:w="1800"/>
            <w:tcMar>
              <w:top w:w="80" w:type="dxa"/>
              <w:start w:w="120" w:type="dxa"/>
              <w:bottom w:w="80" w:type="dxa"/>
              <w:end w:w="120" w:type="dxa"/>
            </w:tcMar>
            <w:vAlign w:val="top"/>
          </w:tcPr>
          <w:p>
            <w:pPr>
              <w:spacing w:after="0"/>
            </w:pPr>
            <w:r>
              <w:rPr>
                <w:sz w:val="15"/>
              </w:rPr>
              <w:t>binary/fraction</w:t>
            </w:r>
          </w:p>
        </w:tc>
      </w:tr>
      <w:tr>
        <w:trPr>
          <w:cantSplit w:val="true"/>
        </w:trPr>
        <w:tc>
          <w:tcPr>
            <w:tcW w:type="dxa" w:w="1800"/>
            <w:tcMar>
              <w:top w:w="80" w:type="dxa"/>
              <w:start w:w="120" w:type="dxa"/>
              <w:bottom w:w="80" w:type="dxa"/>
              <w:end w:w="120" w:type="dxa"/>
            </w:tcMar>
            <w:vAlign w:val="top"/>
          </w:tcPr>
          <w:p>
            <w:pPr>
              <w:spacing w:after="0"/>
            </w:pPr>
            <w:r>
              <w:rPr>
                <w:sz w:val="15"/>
              </w:rPr>
              <w:t>Common[g,t]</w:t>
            </w:r>
          </w:p>
        </w:tc>
        <w:tc>
          <w:tcPr>
            <w:tcW w:type="dxa" w:w="6120"/>
            <w:tcMar>
              <w:top w:w="80" w:type="dxa"/>
              <w:start w:w="120" w:type="dxa"/>
              <w:bottom w:w="80" w:type="dxa"/>
              <w:end w:w="120" w:type="dxa"/>
            </w:tcMar>
            <w:vAlign w:val="top"/>
          </w:tcPr>
          <w:p>
            <w:pPr>
              <w:spacing w:after="0"/>
            </w:pPr>
            <w:r>
              <w:rPr>
                <w:sz w:val="15"/>
              </w:rPr>
              <w:t>Common-cause group event state</w:t>
            </w:r>
          </w:p>
        </w:tc>
        <w:tc>
          <w:tcPr>
            <w:tcW w:type="dxa" w:w="1800"/>
            <w:tcMar>
              <w:top w:w="80" w:type="dxa"/>
              <w:start w:w="120" w:type="dxa"/>
              <w:bottom w:w="80" w:type="dxa"/>
              <w:end w:w="120" w:type="dxa"/>
            </w:tcMar>
            <w:vAlign w:val="top"/>
          </w:tcPr>
          <w:p>
            <w:pPr>
              <w:spacing w:after="0"/>
            </w:pPr>
            <w:r>
              <w:rPr>
                <w:sz w:val="15"/>
              </w:rPr>
              <w:t>binary/fraction</w:t>
            </w:r>
          </w:p>
        </w:tc>
      </w:tr>
      <w:tr>
        <w:trPr>
          <w:cantSplit w:val="true"/>
        </w:trPr>
        <w:tc>
          <w:tcPr>
            <w:tcW w:type="dxa" w:w="1800"/>
            <w:tcMar>
              <w:top w:w="80" w:type="dxa"/>
              <w:start w:w="120" w:type="dxa"/>
              <w:bottom w:w="80" w:type="dxa"/>
              <w:end w:w="120" w:type="dxa"/>
            </w:tcMar>
            <w:vAlign w:val="top"/>
          </w:tcPr>
          <w:p>
            <w:pPr>
              <w:spacing w:after="0"/>
            </w:pPr>
            <w:r>
              <w:rPr>
                <w:sz w:val="15"/>
              </w:rPr>
              <w:t>Reject[p,s,b]</w:t>
            </w:r>
          </w:p>
        </w:tc>
        <w:tc>
          <w:tcPr>
            <w:tcW w:type="dxa" w:w="6120"/>
            <w:tcMar>
              <w:top w:w="80" w:type="dxa"/>
              <w:start w:w="120" w:type="dxa"/>
              <w:bottom w:w="80" w:type="dxa"/>
              <w:end w:w="120" w:type="dxa"/>
            </w:tcMar>
            <w:vAlign w:val="top"/>
          </w:tcPr>
          <w:p>
            <w:pPr>
              <w:spacing w:after="0"/>
            </w:pPr>
            <w:r>
              <w:rPr>
                <w:sz w:val="15"/>
              </w:rPr>
              <w:t>Batch rejection state</w:t>
            </w:r>
          </w:p>
        </w:tc>
        <w:tc>
          <w:tcPr>
            <w:tcW w:type="dxa" w:w="1800"/>
            <w:tcMar>
              <w:top w:w="80" w:type="dxa"/>
              <w:start w:w="120" w:type="dxa"/>
              <w:bottom w:w="80" w:type="dxa"/>
              <w:end w:w="120" w:type="dxa"/>
            </w:tcMar>
            <w:vAlign w:val="top"/>
          </w:tcPr>
          <w:p>
            <w:pPr>
              <w:spacing w:after="0"/>
            </w:pPr>
            <w:r>
              <w:rPr>
                <w:sz w:val="15"/>
              </w:rPr>
              <w:t>binary</w:t>
            </w:r>
          </w:p>
        </w:tc>
      </w:tr>
      <w:tr>
        <w:trPr>
          <w:cantSplit w:val="true"/>
        </w:trPr>
        <w:tc>
          <w:tcPr>
            <w:tcW w:type="dxa" w:w="1800"/>
            <w:tcMar>
              <w:top w:w="80" w:type="dxa"/>
              <w:start w:w="120" w:type="dxa"/>
              <w:bottom w:w="80" w:type="dxa"/>
              <w:end w:w="120" w:type="dxa"/>
            </w:tcMar>
            <w:vAlign w:val="top"/>
          </w:tcPr>
          <w:p>
            <w:pPr>
              <w:spacing w:after="0"/>
            </w:pPr>
            <w:r>
              <w:rPr>
                <w:sz w:val="15"/>
              </w:rPr>
              <w:t>Arel[p,s,b]</w:t>
            </w:r>
          </w:p>
        </w:tc>
        <w:tc>
          <w:tcPr>
            <w:tcW w:type="dxa" w:w="6120"/>
            <w:tcMar>
              <w:top w:w="80" w:type="dxa"/>
              <w:start w:w="120" w:type="dxa"/>
              <w:bottom w:w="80" w:type="dxa"/>
              <w:end w:w="120" w:type="dxa"/>
            </w:tcMar>
            <w:vAlign w:val="top"/>
          </w:tcPr>
          <w:p>
            <w:pPr>
              <w:spacing w:after="0"/>
            </w:pPr>
            <w:r>
              <w:rPr>
                <w:sz w:val="15"/>
              </w:rPr>
              <w:t>Release-assurance abstention state</w:t>
            </w:r>
          </w:p>
        </w:tc>
        <w:tc>
          <w:tcPr>
            <w:tcW w:type="dxa" w:w="1800"/>
            <w:tcMar>
              <w:top w:w="80" w:type="dxa"/>
              <w:start w:w="120" w:type="dxa"/>
              <w:bottom w:w="80" w:type="dxa"/>
              <w:end w:w="120" w:type="dxa"/>
            </w:tcMar>
            <w:vAlign w:val="top"/>
          </w:tcPr>
          <w:p>
            <w:pPr>
              <w:spacing w:after="0"/>
            </w:pPr>
            <w:r>
              <w:rPr>
                <w:sz w:val="15"/>
              </w:rPr>
              <w:t>binary</w:t>
            </w:r>
          </w:p>
        </w:tc>
      </w:tr>
      <w:tr>
        <w:trPr>
          <w:cantSplit w:val="true"/>
        </w:trPr>
        <w:tc>
          <w:tcPr>
            <w:tcW w:type="dxa" w:w="1800"/>
            <w:tcMar>
              <w:top w:w="80" w:type="dxa"/>
              <w:start w:w="120" w:type="dxa"/>
              <w:bottom w:w="80" w:type="dxa"/>
              <w:end w:w="120" w:type="dxa"/>
            </w:tcMar>
            <w:vAlign w:val="top"/>
          </w:tcPr>
          <w:p>
            <w:pPr>
              <w:spacing w:after="0"/>
            </w:pPr>
            <w:r>
              <w:rPr>
                <w:sz w:val="15"/>
              </w:rPr>
              <w:t>Gate[j]</w:t>
            </w:r>
          </w:p>
        </w:tc>
        <w:tc>
          <w:tcPr>
            <w:tcW w:type="dxa" w:w="6120"/>
            <w:tcMar>
              <w:top w:w="80" w:type="dxa"/>
              <w:start w:w="120" w:type="dxa"/>
              <w:bottom w:w="80" w:type="dxa"/>
              <w:end w:w="120" w:type="dxa"/>
            </w:tcMar>
            <w:vAlign w:val="top"/>
          </w:tcPr>
          <w:p>
            <w:pPr>
              <w:spacing w:after="0"/>
            </w:pPr>
            <w:r>
              <w:rPr>
                <w:sz w:val="15"/>
              </w:rPr>
              <w:t>Regulatory/quality gate j</w:t>
            </w:r>
          </w:p>
        </w:tc>
        <w:tc>
          <w:tcPr>
            <w:tcW w:type="dxa" w:w="1800"/>
            <w:tcMar>
              <w:top w:w="80" w:type="dxa"/>
              <w:start w:w="120" w:type="dxa"/>
              <w:bottom w:w="80" w:type="dxa"/>
              <w:end w:w="120" w:type="dxa"/>
            </w:tcMar>
            <w:vAlign w:val="top"/>
          </w:tcPr>
          <w:p>
            <w:pPr>
              <w:spacing w:after="0"/>
            </w:pPr>
            <w:r>
              <w:rPr>
                <w:sz w:val="15"/>
              </w:rPr>
              <w:t>PASS/FAIL/UNCERTAIN</w:t>
            </w:r>
          </w:p>
        </w:tc>
      </w:tr>
      <w:tr>
        <w:trPr>
          <w:cantSplit w:val="true"/>
        </w:trPr>
        <w:tc>
          <w:tcPr>
            <w:tcW w:type="dxa" w:w="1800"/>
            <w:tcMar>
              <w:top w:w="80" w:type="dxa"/>
              <w:start w:w="120" w:type="dxa"/>
              <w:bottom w:w="80" w:type="dxa"/>
              <w:end w:w="120" w:type="dxa"/>
            </w:tcMar>
            <w:vAlign w:val="top"/>
          </w:tcPr>
          <w:p>
            <w:pPr>
              <w:spacing w:after="0"/>
            </w:pPr>
            <w:r>
              <w:rPr>
                <w:sz w:val="15"/>
              </w:rPr>
              <w:t>Ccap, Cfix</w:t>
            </w:r>
          </w:p>
        </w:tc>
        <w:tc>
          <w:tcPr>
            <w:tcW w:type="dxa" w:w="6120"/>
            <w:tcMar>
              <w:top w:w="80" w:type="dxa"/>
              <w:start w:w="120" w:type="dxa"/>
              <w:bottom w:w="80" w:type="dxa"/>
              <w:end w:w="120" w:type="dxa"/>
            </w:tcMar>
            <w:vAlign w:val="top"/>
          </w:tcPr>
          <w:p>
            <w:pPr>
              <w:spacing w:after="0"/>
            </w:pPr>
            <w:r>
              <w:rPr>
                <w:sz w:val="15"/>
              </w:rPr>
              <w:t>Annualized capital and fixed operations/quality cost</w:t>
            </w:r>
          </w:p>
        </w:tc>
        <w:tc>
          <w:tcPr>
            <w:tcW w:type="dxa" w:w="1800"/>
            <w:tcMar>
              <w:top w:w="80" w:type="dxa"/>
              <w:start w:w="120" w:type="dxa"/>
              <w:bottom w:w="80" w:type="dxa"/>
              <w:end w:w="120" w:type="dxa"/>
            </w:tcMar>
            <w:vAlign w:val="top"/>
          </w:tcPr>
          <w:p>
            <w:pPr>
              <w:spacing w:after="0"/>
            </w:pPr>
            <w:r>
              <w:rPr>
                <w:sz w:val="15"/>
              </w:rPr>
              <w:t>$/year</w:t>
            </w:r>
          </w:p>
        </w:tc>
      </w:tr>
      <w:tr>
        <w:trPr>
          <w:cantSplit w:val="true"/>
        </w:trPr>
        <w:tc>
          <w:tcPr>
            <w:tcW w:type="dxa" w:w="1800"/>
            <w:tcMar>
              <w:top w:w="80" w:type="dxa"/>
              <w:start w:w="120" w:type="dxa"/>
              <w:bottom w:w="80" w:type="dxa"/>
              <w:end w:w="120" w:type="dxa"/>
            </w:tcMar>
            <w:vAlign w:val="top"/>
          </w:tcPr>
          <w:p>
            <w:pPr>
              <w:spacing w:after="0"/>
            </w:pPr>
            <w:r>
              <w:rPr>
                <w:sz w:val="15"/>
              </w:rPr>
              <w:t>Cvar, Ctest</w:t>
            </w:r>
          </w:p>
        </w:tc>
        <w:tc>
          <w:tcPr>
            <w:tcW w:type="dxa" w:w="6120"/>
            <w:tcMar>
              <w:top w:w="80" w:type="dxa"/>
              <w:start w:w="120" w:type="dxa"/>
              <w:bottom w:w="80" w:type="dxa"/>
              <w:end w:w="120" w:type="dxa"/>
            </w:tcMar>
            <w:vAlign w:val="top"/>
          </w:tcPr>
          <w:p>
            <w:pPr>
              <w:spacing w:after="0"/>
            </w:pPr>
            <w:r>
              <w:rPr>
                <w:sz w:val="15"/>
              </w:rPr>
              <w:t>Variable production and testing cost</w:t>
            </w:r>
          </w:p>
        </w:tc>
        <w:tc>
          <w:tcPr>
            <w:tcW w:type="dxa" w:w="1800"/>
            <w:tcMar>
              <w:top w:w="80" w:type="dxa"/>
              <w:start w:w="120" w:type="dxa"/>
              <w:bottom w:w="80" w:type="dxa"/>
              <w:end w:w="120" w:type="dxa"/>
            </w:tcMar>
            <w:vAlign w:val="top"/>
          </w:tcPr>
          <w:p>
            <w:pPr>
              <w:spacing w:after="0"/>
            </w:pPr>
            <w:r>
              <w:rPr>
                <w:sz w:val="15"/>
              </w:rPr>
              <w:t>$/unit; $/batch</w:t>
            </w:r>
          </w:p>
        </w:tc>
      </w:tr>
      <w:tr>
        <w:trPr>
          <w:cantSplit w:val="true"/>
        </w:trPr>
        <w:tc>
          <w:tcPr>
            <w:tcW w:type="dxa" w:w="1800"/>
            <w:tcMar>
              <w:top w:w="80" w:type="dxa"/>
              <w:start w:w="120" w:type="dxa"/>
              <w:bottom w:w="80" w:type="dxa"/>
              <w:end w:w="120" w:type="dxa"/>
            </w:tcMar>
            <w:vAlign w:val="top"/>
          </w:tcPr>
          <w:p>
            <w:pPr>
              <w:spacing w:after="0"/>
            </w:pPr>
            <w:r>
              <w:rPr>
                <w:sz w:val="15"/>
              </w:rPr>
              <w:t>Cinv, Cdist</w:t>
            </w:r>
          </w:p>
        </w:tc>
        <w:tc>
          <w:tcPr>
            <w:tcW w:type="dxa" w:w="6120"/>
            <w:tcMar>
              <w:top w:w="80" w:type="dxa"/>
              <w:start w:w="120" w:type="dxa"/>
              <w:bottom w:w="80" w:type="dxa"/>
              <w:end w:w="120" w:type="dxa"/>
            </w:tcMar>
            <w:vAlign w:val="top"/>
          </w:tcPr>
          <w:p>
            <w:pPr>
              <w:spacing w:after="0"/>
            </w:pPr>
            <w:r>
              <w:rPr>
                <w:sz w:val="15"/>
              </w:rPr>
              <w:t>Inventory and distribution cost</w:t>
            </w:r>
          </w:p>
        </w:tc>
        <w:tc>
          <w:tcPr>
            <w:tcW w:type="dxa" w:w="1800"/>
            <w:tcMar>
              <w:top w:w="80" w:type="dxa"/>
              <w:start w:w="120" w:type="dxa"/>
              <w:bottom w:w="80" w:type="dxa"/>
              <w:end w:w="120" w:type="dxa"/>
            </w:tcMar>
            <w:vAlign w:val="top"/>
          </w:tcPr>
          <w:p>
            <w:pPr>
              <w:spacing w:after="0"/>
            </w:pPr>
            <w:r>
              <w:rPr>
                <w:sz w:val="15"/>
              </w:rPr>
              <w:t>$/year; $/unit</w:t>
            </w:r>
          </w:p>
        </w:tc>
      </w:tr>
      <w:tr>
        <w:trPr>
          <w:cantSplit w:val="true"/>
        </w:trPr>
        <w:tc>
          <w:tcPr>
            <w:tcW w:type="dxa" w:w="1800"/>
            <w:tcMar>
              <w:top w:w="80" w:type="dxa"/>
              <w:start w:w="120" w:type="dxa"/>
              <w:bottom w:w="80" w:type="dxa"/>
              <w:end w:w="120" w:type="dxa"/>
            </w:tcMar>
            <w:vAlign w:val="top"/>
          </w:tcPr>
          <w:p>
            <w:pPr>
              <w:spacing w:after="0"/>
            </w:pPr>
            <w:r>
              <w:rPr>
                <w:sz w:val="15"/>
              </w:rPr>
              <w:t>Cres</w:t>
            </w:r>
          </w:p>
        </w:tc>
        <w:tc>
          <w:tcPr>
            <w:tcW w:type="dxa" w:w="6120"/>
            <w:tcMar>
              <w:top w:w="80" w:type="dxa"/>
              <w:start w:w="120" w:type="dxa"/>
              <w:bottom w:w="80" w:type="dxa"/>
              <w:end w:w="120" w:type="dxa"/>
            </w:tcMar>
            <w:vAlign w:val="top"/>
          </w:tcPr>
          <w:p>
            <w:pPr>
              <w:spacing w:after="0"/>
            </w:pPr>
            <w:r>
              <w:rPr>
                <w:sz w:val="15"/>
              </w:rPr>
              <w:t>Capacity-reservation/take-or-pay cost</w:t>
            </w:r>
          </w:p>
        </w:tc>
        <w:tc>
          <w:tcPr>
            <w:tcW w:type="dxa" w:w="1800"/>
            <w:tcMar>
              <w:top w:w="80" w:type="dxa"/>
              <w:start w:w="120" w:type="dxa"/>
              <w:bottom w:w="80" w:type="dxa"/>
              <w:end w:w="120" w:type="dxa"/>
            </w:tcMar>
            <w:vAlign w:val="top"/>
          </w:tcPr>
          <w:p>
            <w:pPr>
              <w:spacing w:after="0"/>
            </w:pPr>
            <w:r>
              <w:rPr>
                <w:sz w:val="15"/>
              </w:rPr>
              <w:t>$/year</w:t>
            </w:r>
          </w:p>
        </w:tc>
      </w:tr>
      <w:tr>
        <w:trPr>
          <w:cantSplit w:val="true"/>
        </w:trPr>
        <w:tc>
          <w:tcPr>
            <w:tcW w:type="dxa" w:w="1800"/>
            <w:tcMar>
              <w:top w:w="80" w:type="dxa"/>
              <w:start w:w="120" w:type="dxa"/>
              <w:bottom w:w="80" w:type="dxa"/>
              <w:end w:w="120" w:type="dxa"/>
            </w:tcMar>
            <w:vAlign w:val="top"/>
          </w:tcPr>
          <w:p>
            <w:pPr>
              <w:spacing w:after="0"/>
            </w:pPr>
            <w:r>
              <w:rPr>
                <w:sz w:val="15"/>
              </w:rPr>
              <w:t>FR</w:t>
            </w:r>
          </w:p>
        </w:tc>
        <w:tc>
          <w:tcPr>
            <w:tcW w:type="dxa" w:w="6120"/>
            <w:tcMar>
              <w:top w:w="80" w:type="dxa"/>
              <w:start w:w="120" w:type="dxa"/>
              <w:bottom w:w="80" w:type="dxa"/>
              <w:end w:w="120" w:type="dxa"/>
            </w:tcMar>
            <w:vAlign w:val="top"/>
          </w:tcPr>
          <w:p>
            <w:pPr>
              <w:spacing w:after="0"/>
            </w:pPr>
            <w:r>
              <w:rPr>
                <w:sz w:val="15"/>
              </w:rPr>
              <w:t>Demand fill rate</w:t>
            </w:r>
          </w:p>
        </w:tc>
        <w:tc>
          <w:tcPr>
            <w:tcW w:type="dxa" w:w="1800"/>
            <w:tcMar>
              <w:top w:w="80" w:type="dxa"/>
              <w:start w:w="120" w:type="dxa"/>
              <w:bottom w:w="80" w:type="dxa"/>
              <w:end w:w="120" w:type="dxa"/>
            </w:tcMar>
            <w:vAlign w:val="top"/>
          </w:tcPr>
          <w:p>
            <w:pPr>
              <w:spacing w:after="0"/>
            </w:pPr>
            <w:r>
              <w:rPr>
                <w:sz w:val="15"/>
              </w:rPr>
              <w:t>fraction</w:t>
            </w:r>
          </w:p>
        </w:tc>
      </w:tr>
      <w:tr>
        <w:trPr>
          <w:cantSplit w:val="true"/>
        </w:trPr>
        <w:tc>
          <w:tcPr>
            <w:tcW w:type="dxa" w:w="1800"/>
            <w:tcMar>
              <w:top w:w="80" w:type="dxa"/>
              <w:start w:w="120" w:type="dxa"/>
              <w:bottom w:w="80" w:type="dxa"/>
              <w:end w:w="120" w:type="dxa"/>
            </w:tcMar>
            <w:vAlign w:val="top"/>
          </w:tcPr>
          <w:p>
            <w:pPr>
              <w:spacing w:after="0"/>
            </w:pPr>
            <w:r>
              <w:rPr>
                <w:sz w:val="15"/>
              </w:rPr>
              <w:t>SD</w:t>
            </w:r>
          </w:p>
        </w:tc>
        <w:tc>
          <w:tcPr>
            <w:tcW w:type="dxa" w:w="6120"/>
            <w:tcMar>
              <w:top w:w="80" w:type="dxa"/>
              <w:start w:w="120" w:type="dxa"/>
              <w:bottom w:w="80" w:type="dxa"/>
              <w:end w:w="120" w:type="dxa"/>
            </w:tcMar>
            <w:vAlign w:val="top"/>
          </w:tcPr>
          <w:p>
            <w:pPr>
              <w:spacing w:after="0"/>
            </w:pPr>
            <w:r>
              <w:rPr>
                <w:sz w:val="15"/>
              </w:rPr>
              <w:t>Shortage days under frozen daily threshold</w:t>
            </w:r>
          </w:p>
        </w:tc>
        <w:tc>
          <w:tcPr>
            <w:tcW w:type="dxa" w:w="1800"/>
            <w:tcMar>
              <w:top w:w="80" w:type="dxa"/>
              <w:start w:w="120" w:type="dxa"/>
              <w:bottom w:w="80" w:type="dxa"/>
              <w:end w:w="120" w:type="dxa"/>
            </w:tcMar>
            <w:vAlign w:val="top"/>
          </w:tcPr>
          <w:p>
            <w:pPr>
              <w:spacing w:after="0"/>
            </w:pPr>
            <w:r>
              <w:rPr>
                <w:sz w:val="15"/>
              </w:rPr>
              <w:t>days/year</w:t>
            </w:r>
          </w:p>
        </w:tc>
      </w:tr>
      <w:tr>
        <w:trPr>
          <w:cantSplit w:val="true"/>
        </w:trPr>
        <w:tc>
          <w:tcPr>
            <w:tcW w:type="dxa" w:w="1800"/>
            <w:tcMar>
              <w:top w:w="80" w:type="dxa"/>
              <w:start w:w="120" w:type="dxa"/>
              <w:bottom w:w="80" w:type="dxa"/>
              <w:end w:w="120" w:type="dxa"/>
            </w:tcMar>
            <w:vAlign w:val="top"/>
          </w:tcPr>
          <w:p>
            <w:pPr>
              <w:spacing w:after="0"/>
            </w:pPr>
            <w:r>
              <w:rPr>
                <w:sz w:val="15"/>
              </w:rPr>
              <w:t>RT</w:t>
            </w:r>
          </w:p>
        </w:tc>
        <w:tc>
          <w:tcPr>
            <w:tcW w:type="dxa" w:w="6120"/>
            <w:tcMar>
              <w:top w:w="80" w:type="dxa"/>
              <w:start w:w="120" w:type="dxa"/>
              <w:bottom w:w="80" w:type="dxa"/>
              <w:end w:w="120" w:type="dxa"/>
            </w:tcMar>
            <w:vAlign w:val="top"/>
          </w:tcPr>
          <w:p>
            <w:pPr>
              <w:spacing w:after="0"/>
            </w:pPr>
            <w:r>
              <w:rPr>
                <w:sz w:val="15"/>
              </w:rPr>
              <w:t>Time to sustained recovery</w:t>
            </w:r>
          </w:p>
        </w:tc>
        <w:tc>
          <w:tcPr>
            <w:tcW w:type="dxa" w:w="1800"/>
            <w:tcMar>
              <w:top w:w="80" w:type="dxa"/>
              <w:start w:w="120" w:type="dxa"/>
              <w:bottom w:w="80" w:type="dxa"/>
              <w:end w:w="120" w:type="dxa"/>
            </w:tcMar>
            <w:vAlign w:val="top"/>
          </w:tcPr>
          <w:p>
            <w:pPr>
              <w:spacing w:after="0"/>
            </w:pPr>
            <w:r>
              <w:rPr>
                <w:sz w:val="15"/>
              </w:rPr>
              <w:t>days/event</w:t>
            </w:r>
          </w:p>
        </w:tc>
      </w:tr>
    </w:tbl>
    <w:p>
      <w:pPr>
        <w:pStyle w:val="Heading1"/>
        <w:keepNext/>
        <w:keepLines/>
      </w:pPr>
      <w:r>
        <w:t>Appendix B. Equation and reporting library</w:t>
      </w:r>
    </w:p>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Fill rate = Σ fulfilled demand ÷ Σ demand</w:t>
            </w:r>
          </w:p>
          <w:p>
            <w:pPr>
              <w:spacing w:after="0"/>
              <w:jc w:val="center"/>
            </w:pPr>
            <w:r>
              <w:rPr>
                <w:i/>
                <w:color w:val="5D6873"/>
                <w:sz w:val="17"/>
              </w:rPr>
              <w:t>B1. Report overall, by region, and lower-tail across runs.</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Shortage-day indicator[t] = 1{fulfilled[t] ÷ demand[t] &lt; τ_day}</w:t>
            </w:r>
          </w:p>
          <w:p>
            <w:pPr>
              <w:spacing w:after="0"/>
              <w:jc w:val="center"/>
            </w:pPr>
            <w:r>
              <w:rPr>
                <w:i/>
                <w:color w:val="5D6873"/>
                <w:sz w:val="17"/>
              </w:rPr>
              <w:t>B2. Freeze τ_day before analysis.</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Expected shortage days = mean_runs Σ_t indicator[t]</w:t>
            </w:r>
          </w:p>
          <w:p>
            <w:pPr>
              <w:spacing w:after="0"/>
              <w:jc w:val="center"/>
            </w:pPr>
            <w:r>
              <w:rPr>
                <w:i/>
                <w:color w:val="5D6873"/>
                <w:sz w:val="17"/>
              </w:rPr>
              <w:t>B3. Also report p95 and probability of zero shortage days.</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Probability meeting demand = mean_runs 1{all pre-specified service constraints pass}</w:t>
            </w:r>
          </w:p>
          <w:p>
            <w:pPr>
              <w:spacing w:after="0"/>
              <w:jc w:val="center"/>
            </w:pPr>
            <w:r>
              <w:rPr>
                <w:i/>
                <w:color w:val="5D6873"/>
                <w:sz w:val="17"/>
              </w:rPr>
              <w:t>B4. Use a Monte Carlo confidence interval.</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Regional disparity = max_r(metric[r]) − min_r(metric[r])</w:t>
            </w:r>
          </w:p>
          <w:p>
            <w:pPr>
              <w:spacing w:after="0"/>
              <w:jc w:val="center"/>
            </w:pPr>
            <w:r>
              <w:rPr>
                <w:i/>
                <w:color w:val="5D6873"/>
                <w:sz w:val="17"/>
              </w:rPr>
              <w:t>B5. Choose fill shortfall or recovery time and state direction.</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Expiry rate = expired units ÷ units released into inventory</w:t>
            </w:r>
          </w:p>
          <w:p>
            <w:pPr>
              <w:spacing w:after="0"/>
              <w:jc w:val="center"/>
            </w:pPr>
            <w:r>
              <w:rPr>
                <w:i/>
                <w:color w:val="5D6873"/>
                <w:sz w:val="17"/>
              </w:rPr>
              <w:t>B6. Report by strategy and location.</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Risk among releases = wrong releases ÷ released predictions</w:t>
            </w:r>
          </w:p>
          <w:p>
            <w:pPr>
              <w:spacing w:after="0"/>
              <w:jc w:val="center"/>
            </w:pPr>
            <w:r>
              <w:rPr>
                <w:i/>
                <w:color w:val="5D6873"/>
                <w:sz w:val="17"/>
              </w:rPr>
              <w:t>B7. Always pair with released fraction.</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Unconditional wrong-release exposure = wrong releases ÷ all evaluated cases</w:t>
            </w:r>
          </w:p>
          <w:p>
            <w:pPr>
              <w:spacing w:after="0"/>
              <w:jc w:val="center"/>
            </w:pPr>
            <w:r>
              <w:rPr>
                <w:i/>
                <w:color w:val="5D6873"/>
                <w:sz w:val="17"/>
              </w:rPr>
              <w:t>B8. Low exposure can be caused by near-total abstention.</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Monte Carlo standard error = sample SD ÷ √N</w:t>
            </w:r>
          </w:p>
          <w:p>
            <w:pPr>
              <w:spacing w:after="0"/>
              <w:jc w:val="center"/>
            </w:pPr>
            <w:r>
              <w:rPr>
                <w:i/>
                <w:color w:val="5D6873"/>
                <w:sz w:val="17"/>
              </w:rPr>
              <w:t>B9. Increase N until decision-relevant contrasts stabilize.</w:t>
            </w:r>
          </w:p>
        </w:tc>
      </w:tr>
    </w:tbl>
    <w:tbl>
      <w:tblPr>
        <w:tblW w:type="dxa" w:w="8784"/>
        <w:jc w:val="center"/>
        <w:tblLayout w:type="fixed"/>
        <w:tblLook w:firstColumn="1" w:firstRow="1" w:lastColumn="0" w:lastRow="0" w:noHBand="0" w:noVBand="1" w:val="04A0"/>
        <w:tblInd w:type="dxa" w:w="160"/>
      </w:tblPr>
      <w:tblGrid>
        <w:gridCol w:w="8784"/>
      </w:tblGrid>
      <w:tr>
        <w:trPr>
          <w:cantSplit w:val="true"/>
        </w:trPr>
        <w:tc>
          <w:tcPr>
            <w:tcW w:type="dxa" w:w="8784"/>
            <w:shd w:fill="F4F6F8"/>
            <w:tcMar>
              <w:top w:w="100" w:type="dxa"/>
              <w:start w:w="160" w:type="dxa"/>
              <w:bottom w:w="100" w:type="dxa"/>
              <w:end w:w="160" w:type="dxa"/>
            </w:tcMar>
          </w:tcPr>
          <w:p>
            <w:pPr>
              <w:spacing w:after="40"/>
              <w:jc w:val="center"/>
            </w:pPr>
            <w:r>
              <w:rPr>
                <w:rFonts w:ascii="Consolas" w:hAnsi="Consolas"/>
                <w:b/>
                <w:sz w:val="19"/>
              </w:rPr>
              <w:t>Paired effect = mean_run [Outcome(strategy) − Outcome(reference)]</w:t>
            </w:r>
          </w:p>
          <w:p>
            <w:pPr>
              <w:spacing w:after="0"/>
              <w:jc w:val="center"/>
            </w:pPr>
            <w:r>
              <w:rPr>
                <w:i/>
                <w:color w:val="5D6873"/>
                <w:sz w:val="17"/>
              </w:rPr>
              <w:t>B10. Common random numbers reduce comparison noise.</w:t>
            </w:r>
          </w:p>
        </w:tc>
      </w:tr>
    </w:tbl>
    <w:p>
      <w:pPr>
        <w:pStyle w:val="Heading1"/>
        <w:keepNext/>
        <w:keepLines/>
      </w:pPr>
      <w:r>
        <w:t>Appendix C. Computational QA and falsification tests</w:t>
      </w:r>
    </w:p>
    <w:tbl>
      <w:tblPr>
        <w:tblStyle w:val="TableGrid"/>
        <w:tblW w:type="dxa" w:w="9720"/>
        <w:jc w:val="center"/>
        <w:tblLayout w:type="fixed"/>
        <w:tblLook w:firstColumn="1" w:firstRow="1" w:lastColumn="0" w:lastRow="0" w:noHBand="0" w:noVBand="1" w:val="04A0"/>
        <w:tblInd w:type="dxa" w:w="120"/>
      </w:tblPr>
      <w:tblGrid>
        <w:gridCol w:w="2232"/>
        <w:gridCol w:w="7488"/>
      </w:tblGrid>
      <w:tr>
        <w:trPr>
          <w:cantSplit w:val="true"/>
          <w:tblHeader w:val="true"/>
        </w:trPr>
        <w:tc>
          <w:tcPr>
            <w:tcW w:type="dxa" w:w="2232"/>
            <w:shd w:fill="E8EEF5"/>
            <w:tcMar>
              <w:top w:w="80" w:type="dxa"/>
              <w:start w:w="120" w:type="dxa"/>
              <w:bottom w:w="80" w:type="dxa"/>
              <w:end w:w="120" w:type="dxa"/>
            </w:tcMar>
            <w:vAlign w:val="center"/>
          </w:tcPr>
          <w:p>
            <w:pPr>
              <w:spacing w:after="0"/>
            </w:pPr>
            <w:r>
              <w:rPr>
                <w:b/>
                <w:color w:val="16324F"/>
                <w:sz w:val="16"/>
              </w:rPr>
              <w:t>Test</w:t>
            </w:r>
          </w:p>
        </w:tc>
        <w:tc>
          <w:tcPr>
            <w:tcW w:type="dxa" w:w="7488"/>
            <w:shd w:fill="E8EEF5"/>
            <w:tcMar>
              <w:top w:w="80" w:type="dxa"/>
              <w:start w:w="120" w:type="dxa"/>
              <w:bottom w:w="80" w:type="dxa"/>
              <w:end w:w="120" w:type="dxa"/>
            </w:tcMar>
            <w:vAlign w:val="center"/>
          </w:tcPr>
          <w:p>
            <w:pPr>
              <w:spacing w:after="0"/>
            </w:pPr>
            <w:r>
              <w:rPr>
                <w:b/>
                <w:color w:val="16324F"/>
                <w:sz w:val="16"/>
              </w:rPr>
              <w:t>Expected behavior</w:t>
            </w:r>
          </w:p>
        </w:tc>
      </w:tr>
      <w:tr>
        <w:trPr>
          <w:cantSplit w:val="true"/>
        </w:trPr>
        <w:tc>
          <w:tcPr>
            <w:tcW w:type="dxa" w:w="2232"/>
            <w:tcMar>
              <w:top w:w="80" w:type="dxa"/>
              <w:start w:w="120" w:type="dxa"/>
              <w:bottom w:w="80" w:type="dxa"/>
              <w:end w:w="120" w:type="dxa"/>
            </w:tcMar>
            <w:vAlign w:val="top"/>
          </w:tcPr>
          <w:p>
            <w:pPr>
              <w:spacing w:after="0"/>
            </w:pPr>
            <w:r>
              <w:rPr>
                <w:sz w:val="16"/>
              </w:rPr>
              <w:t>Mass balance</w:t>
            </w:r>
          </w:p>
        </w:tc>
        <w:tc>
          <w:tcPr>
            <w:tcW w:type="dxa" w:w="7488"/>
            <w:tcMar>
              <w:top w:w="80" w:type="dxa"/>
              <w:start w:w="120" w:type="dxa"/>
              <w:bottom w:w="80" w:type="dxa"/>
              <w:end w:w="120" w:type="dxa"/>
            </w:tcMar>
            <w:vAlign w:val="top"/>
          </w:tcPr>
          <w:p>
            <w:pPr>
              <w:spacing w:after="0"/>
            </w:pPr>
            <w:r>
              <w:rPr>
                <w:sz w:val="16"/>
              </w:rPr>
              <w:t>Beginning inventory + receipts = shipments + expiry + holds/rejections + ending inventory within tolerance</w:t>
            </w:r>
          </w:p>
        </w:tc>
      </w:tr>
      <w:tr>
        <w:trPr>
          <w:cantSplit w:val="true"/>
        </w:trPr>
        <w:tc>
          <w:tcPr>
            <w:tcW w:type="dxa" w:w="2232"/>
            <w:tcMar>
              <w:top w:w="80" w:type="dxa"/>
              <w:start w:w="120" w:type="dxa"/>
              <w:bottom w:w="80" w:type="dxa"/>
              <w:end w:w="120" w:type="dxa"/>
            </w:tcMar>
            <w:vAlign w:val="top"/>
          </w:tcPr>
          <w:p>
            <w:pPr>
              <w:spacing w:after="0"/>
            </w:pPr>
            <w:r>
              <w:rPr>
                <w:sz w:val="16"/>
              </w:rPr>
              <w:t>Nonnegativity</w:t>
            </w:r>
          </w:p>
        </w:tc>
        <w:tc>
          <w:tcPr>
            <w:tcW w:type="dxa" w:w="7488"/>
            <w:tcMar>
              <w:top w:w="80" w:type="dxa"/>
              <w:start w:w="120" w:type="dxa"/>
              <w:bottom w:w="80" w:type="dxa"/>
              <w:end w:w="120" w:type="dxa"/>
            </w:tcMar>
            <w:vAlign w:val="top"/>
          </w:tcPr>
          <w:p>
            <w:pPr>
              <w:spacing w:after="0"/>
            </w:pPr>
            <w:r>
              <w:rPr>
                <w:sz w:val="16"/>
              </w:rPr>
              <w:t>No negative inventory, demand, time, probability, capacity, or cost</w:t>
            </w:r>
          </w:p>
        </w:tc>
      </w:tr>
      <w:tr>
        <w:trPr>
          <w:cantSplit w:val="true"/>
        </w:trPr>
        <w:tc>
          <w:tcPr>
            <w:tcW w:type="dxa" w:w="2232"/>
            <w:tcMar>
              <w:top w:w="80" w:type="dxa"/>
              <w:start w:w="120" w:type="dxa"/>
              <w:bottom w:w="80" w:type="dxa"/>
              <w:end w:w="120" w:type="dxa"/>
            </w:tcMar>
            <w:vAlign w:val="top"/>
          </w:tcPr>
          <w:p>
            <w:pPr>
              <w:spacing w:after="0"/>
            </w:pPr>
            <w:r>
              <w:rPr>
                <w:sz w:val="16"/>
              </w:rPr>
              <w:t>Zero demand</w:t>
            </w:r>
          </w:p>
        </w:tc>
        <w:tc>
          <w:tcPr>
            <w:tcW w:type="dxa" w:w="7488"/>
            <w:tcMar>
              <w:top w:w="80" w:type="dxa"/>
              <w:start w:w="120" w:type="dxa"/>
              <w:bottom w:w="80" w:type="dxa"/>
              <w:end w:w="120" w:type="dxa"/>
            </w:tcMar>
            <w:vAlign w:val="top"/>
          </w:tcPr>
          <w:p>
            <w:pPr>
              <w:spacing w:after="0"/>
            </w:pPr>
            <w:r>
              <w:rPr>
                <w:sz w:val="16"/>
              </w:rPr>
              <w:t>No shortage and no variable production; fixed costs remain per strategy</w:t>
            </w:r>
          </w:p>
        </w:tc>
      </w:tr>
      <w:tr>
        <w:trPr>
          <w:cantSplit w:val="true"/>
        </w:trPr>
        <w:tc>
          <w:tcPr>
            <w:tcW w:type="dxa" w:w="2232"/>
            <w:tcMar>
              <w:top w:w="80" w:type="dxa"/>
              <w:start w:w="120" w:type="dxa"/>
              <w:bottom w:w="80" w:type="dxa"/>
              <w:end w:w="120" w:type="dxa"/>
            </w:tcMar>
            <w:vAlign w:val="top"/>
          </w:tcPr>
          <w:p>
            <w:pPr>
              <w:spacing w:after="0"/>
            </w:pPr>
            <w:r>
              <w:rPr>
                <w:sz w:val="16"/>
              </w:rPr>
              <w:t>Infinite supply</w:t>
            </w:r>
          </w:p>
        </w:tc>
        <w:tc>
          <w:tcPr>
            <w:tcW w:type="dxa" w:w="7488"/>
            <w:tcMar>
              <w:top w:w="80" w:type="dxa"/>
              <w:start w:w="120" w:type="dxa"/>
              <w:bottom w:w="80" w:type="dxa"/>
              <w:end w:w="120" w:type="dxa"/>
            </w:tcMar>
            <w:vAlign w:val="top"/>
          </w:tcPr>
          <w:p>
            <w:pPr>
              <w:spacing w:after="0"/>
            </w:pPr>
            <w:r>
              <w:rPr>
                <w:sz w:val="16"/>
              </w:rPr>
              <w:t>Fill rate approaches 1; shortage days approach 0</w:t>
            </w:r>
          </w:p>
        </w:tc>
      </w:tr>
      <w:tr>
        <w:trPr>
          <w:cantSplit w:val="true"/>
        </w:trPr>
        <w:tc>
          <w:tcPr>
            <w:tcW w:type="dxa" w:w="2232"/>
            <w:tcMar>
              <w:top w:w="80" w:type="dxa"/>
              <w:start w:w="120" w:type="dxa"/>
              <w:bottom w:w="80" w:type="dxa"/>
              <w:end w:w="120" w:type="dxa"/>
            </w:tcMar>
            <w:vAlign w:val="top"/>
          </w:tcPr>
          <w:p>
            <w:pPr>
              <w:spacing w:after="0"/>
            </w:pPr>
            <w:r>
              <w:rPr>
                <w:sz w:val="16"/>
              </w:rPr>
              <w:t>Zero capacity</w:t>
            </w:r>
          </w:p>
        </w:tc>
        <w:tc>
          <w:tcPr>
            <w:tcW w:type="dxa" w:w="7488"/>
            <w:tcMar>
              <w:top w:w="80" w:type="dxa"/>
              <w:start w:w="120" w:type="dxa"/>
              <w:bottom w:w="80" w:type="dxa"/>
              <w:end w:w="120" w:type="dxa"/>
            </w:tcMar>
            <w:vAlign w:val="top"/>
          </w:tcPr>
          <w:p>
            <w:pPr>
              <w:spacing w:after="0"/>
            </w:pPr>
            <w:r>
              <w:rPr>
                <w:sz w:val="16"/>
              </w:rPr>
              <w:t>No new production; results depend only on initial stock/substitution</w:t>
            </w:r>
          </w:p>
        </w:tc>
      </w:tr>
      <w:tr>
        <w:trPr>
          <w:cantSplit w:val="true"/>
        </w:trPr>
        <w:tc>
          <w:tcPr>
            <w:tcW w:type="dxa" w:w="2232"/>
            <w:tcMar>
              <w:top w:w="80" w:type="dxa"/>
              <w:start w:w="120" w:type="dxa"/>
              <w:bottom w:w="80" w:type="dxa"/>
              <w:end w:w="120" w:type="dxa"/>
            </w:tcMar>
            <w:vAlign w:val="top"/>
          </w:tcPr>
          <w:p>
            <w:pPr>
              <w:spacing w:after="0"/>
            </w:pPr>
            <w:r>
              <w:rPr>
                <w:sz w:val="16"/>
              </w:rPr>
              <w:t>No failures</w:t>
            </w:r>
          </w:p>
        </w:tc>
        <w:tc>
          <w:tcPr>
            <w:tcW w:type="dxa" w:w="7488"/>
            <w:tcMar>
              <w:top w:w="80" w:type="dxa"/>
              <w:start w:w="120" w:type="dxa"/>
              <w:bottom w:w="80" w:type="dxa"/>
              <w:end w:w="120" w:type="dxa"/>
            </w:tcMar>
            <w:vAlign w:val="top"/>
          </w:tcPr>
          <w:p>
            <w:pPr>
              <w:spacing w:after="0"/>
            </w:pPr>
            <w:r>
              <w:rPr>
                <w:sz w:val="16"/>
              </w:rPr>
              <w:t>Stochastic model reproduces deterministic throughput within sampling tolerance</w:t>
            </w:r>
          </w:p>
        </w:tc>
      </w:tr>
      <w:tr>
        <w:trPr>
          <w:cantSplit w:val="true"/>
        </w:trPr>
        <w:tc>
          <w:tcPr>
            <w:tcW w:type="dxa" w:w="2232"/>
            <w:tcMar>
              <w:top w:w="80" w:type="dxa"/>
              <w:start w:w="120" w:type="dxa"/>
              <w:bottom w:w="80" w:type="dxa"/>
              <w:end w:w="120" w:type="dxa"/>
            </w:tcMar>
            <w:vAlign w:val="top"/>
          </w:tcPr>
          <w:p>
            <w:pPr>
              <w:spacing w:after="0"/>
            </w:pPr>
            <w:r>
              <w:rPr>
                <w:sz w:val="16"/>
              </w:rPr>
              <w:t>Perfectly correlated sites</w:t>
            </w:r>
          </w:p>
        </w:tc>
        <w:tc>
          <w:tcPr>
            <w:tcW w:type="dxa" w:w="7488"/>
            <w:tcMar>
              <w:top w:w="80" w:type="dxa"/>
              <w:start w:w="120" w:type="dxa"/>
              <w:bottom w:w="80" w:type="dxa"/>
              <w:end w:w="120" w:type="dxa"/>
            </w:tcMar>
            <w:vAlign w:val="top"/>
          </w:tcPr>
          <w:p>
            <w:pPr>
              <w:spacing w:after="0"/>
            </w:pPr>
            <w:r>
              <w:rPr>
                <w:sz w:val="16"/>
              </w:rPr>
              <w:t>Nominal extra sites provide no independent site-failure resilience</w:t>
            </w:r>
          </w:p>
        </w:tc>
      </w:tr>
      <w:tr>
        <w:trPr>
          <w:cantSplit w:val="true"/>
        </w:trPr>
        <w:tc>
          <w:tcPr>
            <w:tcW w:type="dxa" w:w="2232"/>
            <w:tcMar>
              <w:top w:w="80" w:type="dxa"/>
              <w:start w:w="120" w:type="dxa"/>
              <w:bottom w:w="80" w:type="dxa"/>
              <w:end w:w="120" w:type="dxa"/>
            </w:tcMar>
            <w:vAlign w:val="top"/>
          </w:tcPr>
          <w:p>
            <w:pPr>
              <w:spacing w:after="0"/>
            </w:pPr>
            <w:r>
              <w:rPr>
                <w:sz w:val="16"/>
              </w:rPr>
              <w:t>Independent sites</w:t>
            </w:r>
          </w:p>
        </w:tc>
        <w:tc>
          <w:tcPr>
            <w:tcW w:type="dxa" w:w="7488"/>
            <w:tcMar>
              <w:top w:w="80" w:type="dxa"/>
              <w:start w:w="120" w:type="dxa"/>
              <w:bottom w:w="80" w:type="dxa"/>
              <w:end w:w="120" w:type="dxa"/>
            </w:tcMar>
            <w:vAlign w:val="top"/>
          </w:tcPr>
          <w:p>
            <w:pPr>
              <w:spacing w:after="0"/>
            </w:pPr>
            <w:r>
              <w:rPr>
                <w:sz w:val="16"/>
              </w:rPr>
              <w:t>Reliability improves in the expected direction as redundancy increases</w:t>
            </w:r>
          </w:p>
        </w:tc>
      </w:tr>
      <w:tr>
        <w:trPr>
          <w:cantSplit w:val="true"/>
        </w:trPr>
        <w:tc>
          <w:tcPr>
            <w:tcW w:type="dxa" w:w="2232"/>
            <w:tcMar>
              <w:top w:w="80" w:type="dxa"/>
              <w:start w:w="120" w:type="dxa"/>
              <w:bottom w:w="80" w:type="dxa"/>
              <w:end w:w="120" w:type="dxa"/>
            </w:tcMar>
            <w:vAlign w:val="top"/>
          </w:tcPr>
          <w:p>
            <w:pPr>
              <w:spacing w:after="0"/>
            </w:pPr>
            <w:r>
              <w:rPr>
                <w:sz w:val="16"/>
              </w:rPr>
              <w:t>Zero shelf life</w:t>
            </w:r>
          </w:p>
        </w:tc>
        <w:tc>
          <w:tcPr>
            <w:tcW w:type="dxa" w:w="7488"/>
            <w:tcMar>
              <w:top w:w="80" w:type="dxa"/>
              <w:start w:w="120" w:type="dxa"/>
              <w:bottom w:w="80" w:type="dxa"/>
              <w:end w:w="120" w:type="dxa"/>
            </w:tcMar>
            <w:vAlign w:val="top"/>
          </w:tcPr>
          <w:p>
            <w:pPr>
              <w:spacing w:after="0"/>
            </w:pPr>
            <w:r>
              <w:rPr>
                <w:sz w:val="16"/>
              </w:rPr>
              <w:t>Stockpiling becomes infeasible/high waste</w:t>
            </w:r>
          </w:p>
        </w:tc>
      </w:tr>
      <w:tr>
        <w:trPr>
          <w:cantSplit w:val="true"/>
        </w:trPr>
        <w:tc>
          <w:tcPr>
            <w:tcW w:type="dxa" w:w="2232"/>
            <w:tcMar>
              <w:top w:w="80" w:type="dxa"/>
              <w:start w:w="120" w:type="dxa"/>
              <w:bottom w:w="80" w:type="dxa"/>
              <w:end w:w="120" w:type="dxa"/>
            </w:tcMar>
            <w:vAlign w:val="top"/>
          </w:tcPr>
          <w:p>
            <w:pPr>
              <w:spacing w:after="0"/>
            </w:pPr>
            <w:r>
              <w:rPr>
                <w:sz w:val="16"/>
              </w:rPr>
              <w:t>Infinite shelf life</w:t>
            </w:r>
          </w:p>
        </w:tc>
        <w:tc>
          <w:tcPr>
            <w:tcW w:type="dxa" w:w="7488"/>
            <w:tcMar>
              <w:top w:w="80" w:type="dxa"/>
              <w:start w:w="120" w:type="dxa"/>
              <w:bottom w:w="80" w:type="dxa"/>
              <w:end w:w="120" w:type="dxa"/>
            </w:tcMar>
            <w:vAlign w:val="top"/>
          </w:tcPr>
          <w:p>
            <w:pPr>
              <w:spacing w:after="0"/>
            </w:pPr>
            <w:r>
              <w:rPr>
                <w:sz w:val="16"/>
              </w:rPr>
              <w:t>Expiry disappears; carrying cost remains</w:t>
            </w:r>
          </w:p>
        </w:tc>
      </w:tr>
      <w:tr>
        <w:trPr>
          <w:cantSplit w:val="true"/>
        </w:trPr>
        <w:tc>
          <w:tcPr>
            <w:tcW w:type="dxa" w:w="2232"/>
            <w:tcMar>
              <w:top w:w="80" w:type="dxa"/>
              <w:start w:w="120" w:type="dxa"/>
              <w:bottom w:w="80" w:type="dxa"/>
              <w:end w:w="120" w:type="dxa"/>
            </w:tcMar>
            <w:vAlign w:val="top"/>
          </w:tcPr>
          <w:p>
            <w:pPr>
              <w:spacing w:after="0"/>
            </w:pPr>
            <w:r>
              <w:rPr>
                <w:sz w:val="16"/>
              </w:rPr>
              <w:t>Release assurance off</w:t>
            </w:r>
          </w:p>
        </w:tc>
        <w:tc>
          <w:tcPr>
            <w:tcW w:type="dxa" w:w="7488"/>
            <w:tcMar>
              <w:top w:w="80" w:type="dxa"/>
              <w:start w:w="120" w:type="dxa"/>
              <w:bottom w:w="80" w:type="dxa"/>
              <w:end w:w="120" w:type="dxa"/>
            </w:tcMar>
            <w:vAlign w:val="top"/>
          </w:tcPr>
          <w:p>
            <w:pPr>
              <w:spacing w:after="0"/>
            </w:pPr>
            <w:r>
              <w:rPr>
                <w:sz w:val="16"/>
              </w:rPr>
              <w:t>R1–R3 reduce exactly to conventional scenario when benefit parameters are zero</w:t>
            </w:r>
          </w:p>
        </w:tc>
      </w:tr>
      <w:tr>
        <w:trPr>
          <w:cantSplit w:val="true"/>
        </w:trPr>
        <w:tc>
          <w:tcPr>
            <w:tcW w:type="dxa" w:w="2232"/>
            <w:tcMar>
              <w:top w:w="80" w:type="dxa"/>
              <w:start w:w="120" w:type="dxa"/>
              <w:bottom w:w="80" w:type="dxa"/>
              <w:end w:w="120" w:type="dxa"/>
            </w:tcMar>
            <w:vAlign w:val="top"/>
          </w:tcPr>
          <w:p>
            <w:pPr>
              <w:spacing w:after="0"/>
            </w:pPr>
            <w:r>
              <w:rPr>
                <w:sz w:val="16"/>
              </w:rPr>
              <w:t>Total abstention</w:t>
            </w:r>
          </w:p>
        </w:tc>
        <w:tc>
          <w:tcPr>
            <w:tcW w:type="dxa" w:w="7488"/>
            <w:tcMar>
              <w:top w:w="80" w:type="dxa"/>
              <w:start w:w="120" w:type="dxa"/>
              <w:bottom w:w="80" w:type="dxa"/>
              <w:end w:w="120" w:type="dxa"/>
            </w:tcMar>
            <w:vAlign w:val="top"/>
          </w:tcPr>
          <w:p>
            <w:pPr>
              <w:spacing w:after="0"/>
            </w:pPr>
            <w:r>
              <w:rPr>
                <w:sz w:val="16"/>
              </w:rPr>
              <w:t>No wrong automated release but no release-time benefit; false-hold/fallback burden appears</w:t>
            </w:r>
          </w:p>
        </w:tc>
      </w:tr>
      <w:tr>
        <w:trPr>
          <w:cantSplit w:val="true"/>
        </w:trPr>
        <w:tc>
          <w:tcPr>
            <w:tcW w:type="dxa" w:w="2232"/>
            <w:tcMar>
              <w:top w:w="80" w:type="dxa"/>
              <w:start w:w="120" w:type="dxa"/>
              <w:bottom w:w="80" w:type="dxa"/>
              <w:end w:w="120" w:type="dxa"/>
            </w:tcMar>
            <w:vAlign w:val="top"/>
          </w:tcPr>
          <w:p>
            <w:pPr>
              <w:spacing w:after="0"/>
            </w:pPr>
            <w:r>
              <w:rPr>
                <w:sz w:val="16"/>
              </w:rPr>
              <w:t>Seed reproducibility</w:t>
            </w:r>
          </w:p>
        </w:tc>
        <w:tc>
          <w:tcPr>
            <w:tcW w:type="dxa" w:w="7488"/>
            <w:tcMar>
              <w:top w:w="80" w:type="dxa"/>
              <w:start w:w="120" w:type="dxa"/>
              <w:bottom w:w="80" w:type="dxa"/>
              <w:end w:w="120" w:type="dxa"/>
            </w:tcMar>
            <w:vAlign w:val="top"/>
          </w:tcPr>
          <w:p>
            <w:pPr>
              <w:spacing w:after="0"/>
            </w:pPr>
            <w:r>
              <w:rPr>
                <w:sz w:val="16"/>
              </w:rPr>
              <w:t>Identical config + seed produces identical outputs and event log hashes</w:t>
            </w:r>
          </w:p>
        </w:tc>
      </w:tr>
      <w:tr>
        <w:trPr>
          <w:cantSplit w:val="true"/>
        </w:trPr>
        <w:tc>
          <w:tcPr>
            <w:tcW w:type="dxa" w:w="2232"/>
            <w:tcMar>
              <w:top w:w="80" w:type="dxa"/>
              <w:start w:w="120" w:type="dxa"/>
              <w:bottom w:w="80" w:type="dxa"/>
              <w:end w:w="120" w:type="dxa"/>
            </w:tcMar>
            <w:vAlign w:val="top"/>
          </w:tcPr>
          <w:p>
            <w:pPr>
              <w:spacing w:after="0"/>
            </w:pPr>
            <w:r>
              <w:rPr>
                <w:sz w:val="16"/>
              </w:rPr>
              <w:t>Common random numbers</w:t>
            </w:r>
          </w:p>
        </w:tc>
        <w:tc>
          <w:tcPr>
            <w:tcW w:type="dxa" w:w="7488"/>
            <w:tcMar>
              <w:top w:w="80" w:type="dxa"/>
              <w:start w:w="120" w:type="dxa"/>
              <w:bottom w:w="80" w:type="dxa"/>
              <w:end w:w="120" w:type="dxa"/>
            </w:tcMar>
            <w:vAlign w:val="top"/>
          </w:tcPr>
          <w:p>
            <w:pPr>
              <w:spacing w:after="0"/>
            </w:pPr>
            <w:r>
              <w:rPr>
                <w:sz w:val="16"/>
              </w:rPr>
              <w:t>Paired strategies receive identical exogenous events by run</w:t>
            </w:r>
          </w:p>
        </w:tc>
      </w:tr>
      <w:tr>
        <w:trPr>
          <w:cantSplit w:val="true"/>
        </w:trPr>
        <w:tc>
          <w:tcPr>
            <w:tcW w:type="dxa" w:w="2232"/>
            <w:tcMar>
              <w:top w:w="80" w:type="dxa"/>
              <w:start w:w="120" w:type="dxa"/>
              <w:bottom w:w="80" w:type="dxa"/>
              <w:end w:w="120" w:type="dxa"/>
            </w:tcMar>
            <w:vAlign w:val="top"/>
          </w:tcPr>
          <w:p>
            <w:pPr>
              <w:spacing w:after="0"/>
            </w:pPr>
            <w:r>
              <w:rPr>
                <w:sz w:val="16"/>
              </w:rPr>
              <w:t>Optimization sanity</w:t>
            </w:r>
          </w:p>
        </w:tc>
        <w:tc>
          <w:tcPr>
            <w:tcW w:type="dxa" w:w="7488"/>
            <w:tcMar>
              <w:top w:w="80" w:type="dxa"/>
              <w:start w:w="120" w:type="dxa"/>
              <w:bottom w:w="80" w:type="dxa"/>
              <w:end w:w="120" w:type="dxa"/>
            </w:tcMar>
            <w:vAlign w:val="top"/>
          </w:tcPr>
          <w:p>
            <w:pPr>
              <w:spacing w:after="0"/>
            </w:pPr>
            <w:r>
              <w:rPr>
                <w:sz w:val="16"/>
              </w:rPr>
              <w:t>Relaxing a constraint cannot worsen the optimal objective unless numerical tolerance explains it</w:t>
            </w:r>
          </w:p>
        </w:tc>
      </w:tr>
    </w:tbl>
    <w:p>
      <w:pPr>
        <w:pStyle w:val="Heading1"/>
        <w:keepNext/>
        <w:keepLines/>
      </w:pPr>
      <w:r>
        <w:t>Appendix D. Interview guide</w:t>
      </w:r>
    </w:p>
    <w:p>
      <w:pPr>
        <w:pStyle w:val="Heading2"/>
        <w:keepNext/>
        <w:keepLines/>
      </w:pPr>
      <w:r>
        <w:t>Core questions for every qualified interview</w:t>
      </w:r>
    </w:p>
    <w:p>
      <w:pPr>
        <w:pStyle w:val="ListNumber"/>
      </w:pPr>
      <w:r>
        <w:t>During a shortage, what actually prevents supply from responding first, and what is commonly blamed incorrectly?</w:t>
      </w:r>
    </w:p>
    <w:p>
      <w:pPr>
        <w:pStyle w:val="ListNumber"/>
      </w:pPr>
      <w:r>
        <w:t>Which assumption in this model sounds least realistic? What evidence or range would you use instead?</w:t>
      </w:r>
    </w:p>
    <w:p>
      <w:pPr>
        <w:pStyle w:val="ListNumber"/>
      </w:pPr>
      <w:r>
        <w:t>Under what exact product or event would regional production help—and under what conditions would it be irrelevant?</w:t>
      </w:r>
    </w:p>
    <w:p>
      <w:pPr>
        <w:pStyle w:val="ListNumber"/>
      </w:pPr>
      <w:r>
        <w:t>Which dependencies make apparently separate sites or suppliers fail together?</w:t>
      </w:r>
    </w:p>
    <w:p>
      <w:pPr>
        <w:pStyle w:val="ListNumber"/>
      </w:pPr>
      <w:r>
        <w:t>What decision would you make differently if this model's conclusion were true? What evidence would you require?</w:t>
      </w:r>
    </w:p>
    <w:p>
      <w:pPr>
        <w:pStyle w:val="ListNumber"/>
      </w:pPr>
      <w:r>
        <w:t>What cost, delay, or compliance activity do outsiders routinely omit?</w:t>
      </w:r>
    </w:p>
    <w:p>
      <w:pPr>
        <w:pStyle w:val="Heading2"/>
        <w:keepNext/>
        <w:keepLines/>
      </w:pPr>
      <w:r>
        <w:t>Role-specific modules</w:t>
      </w:r>
    </w:p>
    <w:tbl>
      <w:tblPr>
        <w:tblStyle w:val="TableGrid"/>
        <w:tblW w:type="dxa" w:w="9720"/>
        <w:jc w:val="center"/>
        <w:tblLayout w:type="fixed"/>
        <w:tblLook w:firstColumn="1" w:firstRow="1" w:lastColumn="0" w:lastRow="0" w:noHBand="0" w:noVBand="1" w:val="04A0"/>
        <w:tblInd w:type="dxa" w:w="120"/>
      </w:tblPr>
      <w:tblGrid>
        <w:gridCol w:w="2232"/>
        <w:gridCol w:w="7488"/>
      </w:tblGrid>
      <w:tr>
        <w:trPr>
          <w:cantSplit w:val="true"/>
          <w:tblHeader w:val="true"/>
        </w:trPr>
        <w:tc>
          <w:tcPr>
            <w:tcW w:type="dxa" w:w="2232"/>
            <w:shd w:fill="E8EEF5"/>
            <w:tcMar>
              <w:top w:w="80" w:type="dxa"/>
              <w:start w:w="120" w:type="dxa"/>
              <w:bottom w:w="80" w:type="dxa"/>
              <w:end w:w="120" w:type="dxa"/>
            </w:tcMar>
            <w:vAlign w:val="center"/>
          </w:tcPr>
          <w:p>
            <w:pPr>
              <w:spacing w:after="0"/>
            </w:pPr>
            <w:r>
              <w:rPr>
                <w:b/>
                <w:color w:val="16324F"/>
                <w:sz w:val="16"/>
              </w:rPr>
              <w:t>Role</w:t>
            </w:r>
          </w:p>
        </w:tc>
        <w:tc>
          <w:tcPr>
            <w:tcW w:type="dxa" w:w="7488"/>
            <w:shd w:fill="E8EEF5"/>
            <w:tcMar>
              <w:top w:w="80" w:type="dxa"/>
              <w:start w:w="120" w:type="dxa"/>
              <w:bottom w:w="80" w:type="dxa"/>
              <w:end w:w="120" w:type="dxa"/>
            </w:tcMar>
            <w:vAlign w:val="center"/>
          </w:tcPr>
          <w:p>
            <w:pPr>
              <w:spacing w:after="0"/>
            </w:pPr>
            <w:r>
              <w:rPr>
                <w:b/>
                <w:color w:val="16324F"/>
                <w:sz w:val="16"/>
              </w:rPr>
              <w:t>Probe</w:t>
            </w:r>
          </w:p>
        </w:tc>
      </w:tr>
      <w:tr>
        <w:trPr>
          <w:cantSplit w:val="true"/>
        </w:trPr>
        <w:tc>
          <w:tcPr>
            <w:tcW w:type="dxa" w:w="2232"/>
            <w:tcMar>
              <w:top w:w="80" w:type="dxa"/>
              <w:start w:w="120" w:type="dxa"/>
              <w:bottom w:w="80" w:type="dxa"/>
              <w:end w:w="120" w:type="dxa"/>
            </w:tcMar>
            <w:vAlign w:val="top"/>
          </w:tcPr>
          <w:p>
            <w:pPr>
              <w:spacing w:after="0"/>
            </w:pPr>
            <w:r>
              <w:rPr>
                <w:sz w:val="16"/>
              </w:rPr>
              <w:t>Hospital/GPO</w:t>
            </w:r>
          </w:p>
        </w:tc>
        <w:tc>
          <w:tcPr>
            <w:tcW w:type="dxa" w:w="7488"/>
            <w:tcMar>
              <w:top w:w="80" w:type="dxa"/>
              <w:start w:w="120" w:type="dxa"/>
              <w:bottom w:w="80" w:type="dxa"/>
              <w:end w:w="120" w:type="dxa"/>
            </w:tcMar>
            <w:vAlign w:val="top"/>
          </w:tcPr>
          <w:p>
            <w:pPr>
              <w:spacing w:after="0"/>
            </w:pPr>
            <w:r>
              <w:rPr>
                <w:sz w:val="16"/>
              </w:rPr>
              <w:t>Days of supply, allocation, substitution, emergency sourcing, contract commitments, premium willingness, data availability</w:t>
            </w:r>
          </w:p>
        </w:tc>
      </w:tr>
      <w:tr>
        <w:trPr>
          <w:cantSplit w:val="true"/>
        </w:trPr>
        <w:tc>
          <w:tcPr>
            <w:tcW w:type="dxa" w:w="2232"/>
            <w:tcMar>
              <w:top w:w="80" w:type="dxa"/>
              <w:start w:w="120" w:type="dxa"/>
              <w:bottom w:w="80" w:type="dxa"/>
              <w:end w:w="120" w:type="dxa"/>
            </w:tcMar>
            <w:vAlign w:val="top"/>
          </w:tcPr>
          <w:p>
            <w:pPr>
              <w:spacing w:after="0"/>
            </w:pPr>
            <w:r>
              <w:rPr>
                <w:sz w:val="16"/>
              </w:rPr>
              <w:t>Manufacturing</w:t>
            </w:r>
          </w:p>
        </w:tc>
        <w:tc>
          <w:tcPr>
            <w:tcW w:type="dxa" w:w="7488"/>
            <w:tcMar>
              <w:top w:w="80" w:type="dxa"/>
              <w:start w:w="120" w:type="dxa"/>
              <w:bottom w:w="80" w:type="dxa"/>
              <w:end w:w="120" w:type="dxa"/>
            </w:tcMar>
            <w:vAlign w:val="top"/>
          </w:tcPr>
          <w:p>
            <w:pPr>
              <w:spacing w:after="0"/>
            </w:pPr>
            <w:r>
              <w:rPr>
                <w:sz w:val="16"/>
              </w:rPr>
              <w:t>Batch/campaign scale, OEE, changeover, line constraints, startup after deviation, fixed staffing, multi-product pooling</w:t>
            </w:r>
          </w:p>
        </w:tc>
      </w:tr>
      <w:tr>
        <w:trPr>
          <w:cantSplit w:val="true"/>
        </w:trPr>
        <w:tc>
          <w:tcPr>
            <w:tcW w:type="dxa" w:w="2232"/>
            <w:tcMar>
              <w:top w:w="80" w:type="dxa"/>
              <w:start w:w="120" w:type="dxa"/>
              <w:bottom w:w="80" w:type="dxa"/>
              <w:end w:w="120" w:type="dxa"/>
            </w:tcMar>
            <w:vAlign w:val="top"/>
          </w:tcPr>
          <w:p>
            <w:pPr>
              <w:spacing w:after="0"/>
            </w:pPr>
            <w:r>
              <w:rPr>
                <w:sz w:val="16"/>
              </w:rPr>
              <w:t>Quality/CMC</w:t>
            </w:r>
          </w:p>
        </w:tc>
        <w:tc>
          <w:tcPr>
            <w:tcW w:type="dxa" w:w="7488"/>
            <w:tcMar>
              <w:top w:w="80" w:type="dxa"/>
              <w:start w:w="120" w:type="dxa"/>
              <w:bottom w:w="80" w:type="dxa"/>
              <w:end w:w="120" w:type="dxa"/>
            </w:tcMar>
            <w:vAlign w:val="top"/>
          </w:tcPr>
          <w:p>
            <w:pPr>
              <w:spacing w:after="0"/>
            </w:pPr>
            <w:r>
              <w:rPr>
                <w:sz w:val="16"/>
              </w:rPr>
              <w:t>Release-time decomposition, sterility/endotoxin/assay, deviations, method transfer, validation replication, acceptable AI role</w:t>
            </w:r>
          </w:p>
        </w:tc>
      </w:tr>
      <w:tr>
        <w:trPr>
          <w:cantSplit w:val="true"/>
        </w:trPr>
        <w:tc>
          <w:tcPr>
            <w:tcW w:type="dxa" w:w="2232"/>
            <w:tcMar>
              <w:top w:w="80" w:type="dxa"/>
              <w:start w:w="120" w:type="dxa"/>
              <w:bottom w:w="80" w:type="dxa"/>
              <w:end w:w="120" w:type="dxa"/>
            </w:tcMar>
            <w:vAlign w:val="top"/>
          </w:tcPr>
          <w:p>
            <w:pPr>
              <w:spacing w:after="0"/>
            </w:pPr>
            <w:r>
              <w:rPr>
                <w:sz w:val="16"/>
              </w:rPr>
              <w:t>Regulatory</w:t>
            </w:r>
          </w:p>
        </w:tc>
        <w:tc>
          <w:tcPr>
            <w:tcW w:type="dxa" w:w="7488"/>
            <w:tcMar>
              <w:top w:w="80" w:type="dxa"/>
              <w:start w:w="120" w:type="dxa"/>
              <w:bottom w:w="80" w:type="dxa"/>
              <w:end w:w="120" w:type="dxa"/>
            </w:tcMar>
            <w:vAlign w:val="top"/>
          </w:tcPr>
          <w:p>
            <w:pPr>
              <w:spacing w:after="0"/>
            </w:pPr>
            <w:r>
              <w:rPr>
                <w:sz w:val="16"/>
              </w:rPr>
              <w:t>Application/site architecture, submission timing, 503B transitions, DME implications, cross-site comparability, claim wording</w:t>
            </w:r>
          </w:p>
        </w:tc>
      </w:tr>
      <w:tr>
        <w:trPr>
          <w:cantSplit w:val="true"/>
        </w:trPr>
        <w:tc>
          <w:tcPr>
            <w:tcW w:type="dxa" w:w="2232"/>
            <w:tcMar>
              <w:top w:w="80" w:type="dxa"/>
              <w:start w:w="120" w:type="dxa"/>
              <w:bottom w:w="80" w:type="dxa"/>
              <w:end w:w="120" w:type="dxa"/>
            </w:tcMar>
            <w:vAlign w:val="top"/>
          </w:tcPr>
          <w:p>
            <w:pPr>
              <w:spacing w:after="0"/>
            </w:pPr>
            <w:r>
              <w:rPr>
                <w:sz w:val="16"/>
              </w:rPr>
              <w:t>Distributor</w:t>
            </w:r>
          </w:p>
        </w:tc>
        <w:tc>
          <w:tcPr>
            <w:tcW w:type="dxa" w:w="7488"/>
            <w:tcMar>
              <w:top w:w="80" w:type="dxa"/>
              <w:start w:w="120" w:type="dxa"/>
              <w:bottom w:w="80" w:type="dxa"/>
              <w:end w:w="120" w:type="dxa"/>
            </w:tcMar>
            <w:vAlign w:val="top"/>
          </w:tcPr>
          <w:p>
            <w:pPr>
              <w:spacing w:after="0"/>
            </w:pPr>
            <w:r>
              <w:rPr>
                <w:sz w:val="16"/>
              </w:rPr>
              <w:t>Inventory location, transport contribution, allocation rules, demand signal distortion, emergency logistics</w:t>
            </w:r>
          </w:p>
        </w:tc>
      </w:tr>
      <w:tr>
        <w:trPr>
          <w:cantSplit w:val="true"/>
        </w:trPr>
        <w:tc>
          <w:tcPr>
            <w:tcW w:type="dxa" w:w="2232"/>
            <w:tcMar>
              <w:top w:w="80" w:type="dxa"/>
              <w:start w:w="120" w:type="dxa"/>
              <w:bottom w:w="80" w:type="dxa"/>
              <w:end w:w="120" w:type="dxa"/>
            </w:tcMar>
            <w:vAlign w:val="top"/>
          </w:tcPr>
          <w:p>
            <w:pPr>
              <w:spacing w:after="0"/>
            </w:pPr>
            <w:r>
              <w:rPr>
                <w:sz w:val="16"/>
              </w:rPr>
              <w:t>Operations research</w:t>
            </w:r>
          </w:p>
        </w:tc>
        <w:tc>
          <w:tcPr>
            <w:tcW w:type="dxa" w:w="7488"/>
            <w:tcMar>
              <w:top w:w="80" w:type="dxa"/>
              <w:start w:w="120" w:type="dxa"/>
              <w:bottom w:w="80" w:type="dxa"/>
              <w:end w:w="120" w:type="dxa"/>
            </w:tcMar>
            <w:vAlign w:val="top"/>
          </w:tcPr>
          <w:p>
            <w:pPr>
              <w:spacing w:after="0"/>
            </w:pPr>
            <w:r>
              <w:rPr>
                <w:sz w:val="16"/>
              </w:rPr>
              <w:t>Failure dependence, demand process, comparator optimization, calibration, outcome thresholds, dominance/VOI</w:t>
            </w:r>
          </w:p>
        </w:tc>
      </w:tr>
    </w:tbl>
    <w:p>
      <w:pPr>
        <w:pStyle w:val="Heading2"/>
        <w:keepNext/>
        <w:keepLines/>
      </w:pPr>
      <w:r>
        <w:t>Evidence log after every interview</w:t>
      </w:r>
    </w:p>
    <w:p>
      <w:pPr>
        <w:pStyle w:val="ListBullet"/>
      </w:pPr>
      <w:r>
        <w:t>Anonymous interview ID, date, role category, organization type, and relevant experience.</w:t>
      </w:r>
    </w:p>
    <w:p>
      <w:pPr>
        <w:pStyle w:val="ListBullet"/>
      </w:pPr>
      <w:r>
        <w:t>Claim or assumption challenged, evidence/range offered, confidence and rationale.</w:t>
      </w:r>
    </w:p>
    <w:p>
      <w:pPr>
        <w:pStyle w:val="ListBullet"/>
      </w:pPr>
      <w:r>
        <w:t>Exact model/code/source-register change—or reason for no change.</w:t>
      </w:r>
    </w:p>
    <w:p>
      <w:pPr>
        <w:pStyle w:val="ListBullet"/>
      </w:pPr>
      <w:r>
        <w:t>Consent and attribution status; follow-up question and contradiction with other evidence.</w:t>
      </w:r>
    </w:p>
    <w:p>
      <w:pPr>
        <w:pStyle w:val="Heading1"/>
        <w:keepNext/>
        <w:keepLines/>
      </w:pPr>
      <w:r>
        <w:t>Appendix E. Core source register</w:t>
      </w:r>
    </w:p>
    <w:p>
      <w:pPr>
        <w:pStyle w:val="ListBullet"/>
      </w:pPr>
      <w:r>
        <w:rPr>
          <w:b/>
        </w:rPr>
        <w:t xml:space="preserve">S01 — FDA Drug Shortages. </w:t>
      </w:r>
      <w:r>
        <w:t xml:space="preserve">Official current/resolved status and stated reasons; freeze a dated snapshot. </w:t>
      </w:r>
      <w:hyperlink r:id="rId11">
        <w:r>
          <w:rPr>
            <w:color w:val="2E74B5"/>
            <w:u w:val="single"/>
          </w:rPr>
          <w:t>Source</w:t>
        </w:r>
      </w:hyperlink>
    </w:p>
    <w:p>
      <w:pPr>
        <w:pStyle w:val="ListBullet"/>
      </w:pPr>
      <w:r>
        <w:rPr>
          <w:b/>
        </w:rPr>
        <w:t xml:space="preserve">S02 — FDA Drug Shortages Task Force report. </w:t>
      </w:r>
      <w:r>
        <w:t xml:space="preserve">Root causes and historical shortage characteristics. </w:t>
      </w:r>
      <w:hyperlink r:id="rId12">
        <w:r>
          <w:rPr>
            <w:color w:val="2E74B5"/>
            <w:u w:val="single"/>
          </w:rPr>
          <w:t>Source</w:t>
        </w:r>
      </w:hyperlink>
    </w:p>
    <w:p>
      <w:pPr>
        <w:pStyle w:val="ListBullet"/>
      </w:pPr>
      <w:r>
        <w:rPr>
          <w:b/>
        </w:rPr>
        <w:t xml:space="preserve">S03 — ASPE: Preventing shortages and supply-chain vulnerabilities. </w:t>
      </w:r>
      <w:r>
        <w:t xml:space="preserve">Policy and market-design context for generic sterile injectables. </w:t>
      </w:r>
      <w:hyperlink r:id="rId13">
        <w:r>
          <w:rPr>
            <w:color w:val="2E74B5"/>
            <w:u w:val="single"/>
          </w:rPr>
          <w:t>Source</w:t>
        </w:r>
      </w:hyperlink>
    </w:p>
    <w:p>
      <w:pPr>
        <w:pStyle w:val="ListBullet"/>
      </w:pPr>
      <w:r>
        <w:rPr>
          <w:b/>
        </w:rPr>
        <w:t xml:space="preserve">S04 — GAO-25-107110: Drug shortages. </w:t>
      </w:r>
      <w:r>
        <w:t xml:space="preserve">Recent federal evidence on shortage trends, duration, and coordination. </w:t>
      </w:r>
      <w:hyperlink r:id="rId14">
        <w:r>
          <w:rPr>
            <w:color w:val="2E74B5"/>
            <w:u w:val="single"/>
          </w:rPr>
          <w:t>Source</w:t>
        </w:r>
      </w:hyperlink>
    </w:p>
    <w:p>
      <w:pPr>
        <w:pStyle w:val="ListBullet"/>
      </w:pPr>
      <w:r>
        <w:rPr>
          <w:b/>
        </w:rPr>
        <w:t xml:space="preserve">S05 — GAO-25-107153: Nonprofit pharmaceutical organizations. </w:t>
      </w:r>
      <w:r>
        <w:t xml:space="preserve">Comparator evidence on contracts, inventory, dual sourcing, and Civica's experience. </w:t>
      </w:r>
      <w:hyperlink r:id="rId15">
        <w:r>
          <w:rPr>
            <w:color w:val="2E74B5"/>
            <w:u w:val="single"/>
          </w:rPr>
          <w:t>Source</w:t>
        </w:r>
      </w:hyperlink>
    </w:p>
    <w:p>
      <w:pPr>
        <w:pStyle w:val="ListBullet"/>
      </w:pPr>
      <w:r>
        <w:rPr>
          <w:b/>
        </w:rPr>
        <w:t xml:space="preserve">S06 — 21 CFR Part 211. </w:t>
      </w:r>
      <w:r>
        <w:t xml:space="preserve">CGMP legal requirements; obtain qualified interpretation. </w:t>
      </w:r>
      <w:hyperlink r:id="rId16">
        <w:r>
          <w:rPr>
            <w:color w:val="2E74B5"/>
            <w:u w:val="single"/>
          </w:rPr>
          <w:t>Source</w:t>
        </w:r>
      </w:hyperlink>
    </w:p>
    <w:p>
      <w:pPr>
        <w:pStyle w:val="ListBullet"/>
      </w:pPr>
      <w:r>
        <w:rPr>
          <w:b/>
        </w:rPr>
        <w:t xml:space="preserve">S07 — FDA aseptic-processing guidance. </w:t>
      </w:r>
      <w:r>
        <w:t xml:space="preserve">Sterile drug products produced by aseptic processing. </w:t>
      </w:r>
      <w:hyperlink r:id="rId17">
        <w:r>
          <w:rPr>
            <w:color w:val="2E74B5"/>
            <w:u w:val="single"/>
          </w:rPr>
          <w:t>Source</w:t>
        </w:r>
      </w:hyperlink>
    </w:p>
    <w:p>
      <w:pPr>
        <w:pStyle w:val="ListBullet"/>
      </w:pPr>
      <w:r>
        <w:rPr>
          <w:b/>
        </w:rPr>
        <w:t xml:space="preserve">S08 — FDA process-validation guidance. </w:t>
      </w:r>
      <w:r>
        <w:t xml:space="preserve">Process-validation lifecycle and state of control. </w:t>
      </w:r>
      <w:hyperlink r:id="rId18">
        <w:r>
          <w:rPr>
            <w:color w:val="2E74B5"/>
            <w:u w:val="single"/>
          </w:rPr>
          <w:t>Source</w:t>
        </w:r>
      </w:hyperlink>
    </w:p>
    <w:p>
      <w:pPr>
        <w:pStyle w:val="ListBullet"/>
      </w:pPr>
      <w:r>
        <w:rPr>
          <w:b/>
        </w:rPr>
        <w:t xml:space="preserve">S09 — ICH Q8(R2) Pharmaceutical Development. </w:t>
      </w:r>
      <w:r>
        <w:t xml:space="preserve">Pharmaceutical development and real-time release-testing context. </w:t>
      </w:r>
      <w:hyperlink r:id="rId19">
        <w:r>
          <w:rPr>
            <w:color w:val="2E74B5"/>
            <w:u w:val="single"/>
          </w:rPr>
          <w:t>Source</w:t>
        </w:r>
      </w:hyperlink>
    </w:p>
    <w:p>
      <w:pPr>
        <w:pStyle w:val="ListBullet"/>
      </w:pPr>
      <w:r>
        <w:rPr>
          <w:b/>
        </w:rPr>
        <w:t xml:space="preserve">S10 — FDA FRAME initiative. </w:t>
      </w:r>
      <w:r>
        <w:t xml:space="preserve">Advanced/distributed manufacturing regulatory-policy context. </w:t>
      </w:r>
      <w:hyperlink r:id="rId20">
        <w:r>
          <w:rPr>
            <w:color w:val="2E74B5"/>
            <w:u w:val="single"/>
          </w:rPr>
          <w:t>Source</w:t>
        </w:r>
      </w:hyperlink>
    </w:p>
    <w:p>
      <w:pPr>
        <w:pStyle w:val="ListBullet"/>
      </w:pPr>
      <w:r>
        <w:rPr>
          <w:b/>
        </w:rPr>
        <w:t xml:space="preserve">S11 — 2026 proposed DME registration/listing rule. </w:t>
      </w:r>
      <w:r>
        <w:t xml:space="preserve">Proposed rule only; re-check final status. </w:t>
      </w:r>
      <w:hyperlink r:id="rId21">
        <w:r>
          <w:rPr>
            <w:color w:val="2E74B5"/>
            <w:u w:val="single"/>
          </w:rPr>
          <w:t>Source</w:t>
        </w:r>
      </w:hyperlink>
    </w:p>
    <w:p>
      <w:pPr>
        <w:pStyle w:val="ListBullet"/>
      </w:pPr>
      <w:r>
        <w:rPr>
          <w:b/>
        </w:rPr>
        <w:t xml:space="preserve">S12 — FDA AMT Designation Program. </w:t>
      </w:r>
      <w:r>
        <w:t xml:space="preserve">Advanced-manufacturing engagement/designation; not product approval. </w:t>
      </w:r>
      <w:hyperlink r:id="rId22">
        <w:r>
          <w:rPr>
            <w:color w:val="2E74B5"/>
            <w:u w:val="single"/>
          </w:rPr>
          <w:t>Source</w:t>
        </w:r>
      </w:hyperlink>
    </w:p>
    <w:p>
      <w:pPr>
        <w:pStyle w:val="ListBullet"/>
      </w:pPr>
      <w:r>
        <w:rPr>
          <w:b/>
        </w:rPr>
        <w:t xml:space="preserve">S13 — FDA: Compounding when drugs are on the shortage list. </w:t>
      </w:r>
      <w:r>
        <w:t xml:space="preserve">Shortage-list exceptions and transitions. </w:t>
      </w:r>
      <w:hyperlink r:id="rId23">
        <w:r>
          <w:rPr>
            <w:color w:val="2E74B5"/>
            <w:u w:val="single"/>
          </w:rPr>
          <w:t>Source</w:t>
        </w:r>
      </w:hyperlink>
    </w:p>
    <w:p>
      <w:pPr>
        <w:pStyle w:val="ListBullet"/>
      </w:pPr>
      <w:r>
        <w:rPr>
          <w:b/>
        </w:rPr>
        <w:t xml:space="preserve">S14 — FDA: Bulk substances used under section 503B. </w:t>
      </w:r>
      <w:r>
        <w:t xml:space="preserve">Bulk-substance eligibility gate. </w:t>
      </w:r>
      <w:hyperlink r:id="rId24">
        <w:r>
          <w:rPr>
            <w:color w:val="2E74B5"/>
            <w:u w:val="single"/>
          </w:rPr>
          <w:t>Source</w:t>
        </w:r>
      </w:hyperlink>
    </w:p>
    <w:p>
      <w:pPr>
        <w:pStyle w:val="ListBullet"/>
      </w:pPr>
      <w:r>
        <w:rPr>
          <w:b/>
        </w:rPr>
        <w:t xml:space="preserve">S15 — FDA essentially-copy guidance. </w:t>
      </w:r>
      <w:r>
        <w:t xml:space="preserve">Essentially-copy restrictions and shortage exceptions. </w:t>
      </w:r>
      <w:hyperlink r:id="rId25">
        <w:r>
          <w:rPr>
            <w:color w:val="2E74B5"/>
            <w:u w:val="single"/>
          </w:rPr>
          <w:t>Source</w:t>
        </w:r>
      </w:hyperlink>
    </w:p>
    <w:p>
      <w:pPr>
        <w:pStyle w:val="ListBullet"/>
      </w:pPr>
      <w:r>
        <w:rPr>
          <w:b/>
        </w:rPr>
        <w:t xml:space="preserve">S16 — Drugs@FDA data files. </w:t>
      </w:r>
      <w:r>
        <w:t xml:space="preserve">Applications, products, sponsors, and regulatory records. </w:t>
      </w:r>
      <w:hyperlink r:id="rId26">
        <w:r>
          <w:rPr>
            <w:color w:val="2E74B5"/>
            <w:u w:val="single"/>
          </w:rPr>
          <w:t>Source</w:t>
        </w:r>
      </w:hyperlink>
    </w:p>
    <w:p>
      <w:pPr>
        <w:pStyle w:val="ListBullet"/>
      </w:pPr>
      <w:r>
        <w:rPr>
          <w:b/>
        </w:rPr>
        <w:t xml:space="preserve">S17 — Orange Book data files. </w:t>
      </w:r>
      <w:r>
        <w:t xml:space="preserve">Approved products, applicants, and reference-product context. </w:t>
      </w:r>
      <w:hyperlink r:id="rId27">
        <w:r>
          <w:rPr>
            <w:color w:val="2E74B5"/>
            <w:u w:val="single"/>
          </w:rPr>
          <w:t>Source</w:t>
        </w:r>
      </w:hyperlink>
    </w:p>
    <w:p>
      <w:pPr>
        <w:pStyle w:val="ListBullet"/>
      </w:pPr>
      <w:r>
        <w:rPr>
          <w:b/>
        </w:rPr>
        <w:t xml:space="preserve">S18 — DailyMed. </w:t>
      </w:r>
      <w:r>
        <w:t xml:space="preserve">Submitted labels, formulation/presentation, storage, and packaging. </w:t>
      </w:r>
      <w:hyperlink r:id="rId28">
        <w:r>
          <w:rPr>
            <w:color w:val="2E74B5"/>
            <w:u w:val="single"/>
          </w:rPr>
          <w:t>Source</w:t>
        </w:r>
      </w:hyperlink>
    </w:p>
    <w:p>
      <w:pPr>
        <w:pStyle w:val="ListBullet"/>
      </w:pPr>
      <w:r>
        <w:rPr>
          <w:b/>
        </w:rPr>
        <w:t xml:space="preserve">S19 — CMS Part B spending by drug. </w:t>
      </w:r>
      <w:r>
        <w:t xml:space="preserve">Carefully labeled utilization/pricing proxy only. </w:t>
      </w:r>
      <w:hyperlink r:id="rId29">
        <w:r>
          <w:rPr>
            <w:color w:val="2E74B5"/>
            <w:u w:val="single"/>
          </w:rPr>
          <w:t>Source</w:t>
        </w:r>
      </w:hyperlink>
    </w:p>
    <w:p>
      <w:pPr>
        <w:pStyle w:val="ListBullet"/>
      </w:pPr>
      <w:r>
        <w:rPr>
          <w:b/>
        </w:rPr>
        <w:t xml:space="preserve">S20 — CMS ASP pricing files. </w:t>
      </w:r>
      <w:r>
        <w:t xml:space="preserve">Reimbursement/ASP proxy; never manufacturing cost. </w:t>
      </w:r>
      <w:hyperlink r:id="rId30">
        <w:r>
          <w:rPr>
            <w:color w:val="2E74B5"/>
            <w:u w:val="single"/>
          </w:rPr>
          <w:t>Source</w:t>
        </w:r>
      </w:hyperlink>
    </w:p>
    <w:p>
      <w:pPr>
        <w:pStyle w:val="ListBullet"/>
      </w:pPr>
      <w:r>
        <w:rPr>
          <w:b/>
        </w:rPr>
        <w:t xml:space="preserve">S21 — ASHP current drug shortages. </w:t>
      </w:r>
      <w:r>
        <w:t xml:space="preserve">Candidate discovery and presentation-level availability; criteria differ from FDA. </w:t>
      </w:r>
      <w:hyperlink r:id="rId31">
        <w:r>
          <w:rPr>
            <w:color w:val="2E74B5"/>
            <w:u w:val="single"/>
          </w:rPr>
          <w:t>Source</w:t>
        </w:r>
      </w:hyperlink>
    </w:p>
    <w:p>
      <w:pPr>
        <w:pStyle w:val="ListBullet"/>
      </w:pPr>
      <w:r>
        <w:rPr>
          <w:b/>
        </w:rPr>
        <w:t xml:space="preserve">S22 — DailyMed sodium bicarbonate 8.4% label. </w:t>
      </w:r>
      <w:r>
        <w:t xml:space="preserve">Provisional Product A presentation reference. </w:t>
      </w:r>
      <w:hyperlink r:id="rId32">
        <w:r>
          <w:rPr>
            <w:color w:val="2E74B5"/>
            <w:u w:val="single"/>
          </w:rPr>
          <w:t>Source</w:t>
        </w:r>
      </w:hyperlink>
    </w:p>
    <w:p>
      <w:pPr>
        <w:pStyle w:val="ListBullet"/>
      </w:pPr>
      <w:r>
        <w:rPr>
          <w:b/>
        </w:rPr>
        <w:t xml:space="preserve">S23 — DailyMed norepinephrine label. </w:t>
      </w:r>
      <w:r>
        <w:t xml:space="preserve">Provisional Product B presentation reference. </w:t>
      </w:r>
      <w:hyperlink r:id="rId33">
        <w:r>
          <w:rPr>
            <w:color w:val="2E74B5"/>
            <w:u w:val="single"/>
          </w:rPr>
          <w:t>Source</w:t>
        </w:r>
      </w:hyperlink>
    </w:p>
    <w:p>
      <w:pPr>
        <w:pStyle w:val="ListBullet"/>
      </w:pPr>
      <w:r>
        <w:rPr>
          <w:b/>
        </w:rPr>
        <w:t xml:space="preserve">S24 — Lücker et al., Omega. </w:t>
      </w:r>
      <w:r>
        <w:t xml:space="preserve">Pharmaceutical supply-chain resilience and mitigation framing. </w:t>
      </w:r>
      <w:hyperlink r:id="rId34">
        <w:r>
          <w:rPr>
            <w:color w:val="2E74B5"/>
            <w:u w:val="single"/>
          </w:rPr>
          <w:t>Source</w:t>
        </w:r>
      </w:hyperlink>
    </w:p>
    <w:p>
      <w:pPr>
        <w:pStyle w:val="ListBullet"/>
      </w:pPr>
      <w:r>
        <w:rPr>
          <w:b/>
        </w:rPr>
        <w:t xml:space="preserve">S25 — Lee et al., Management Science. </w:t>
      </w:r>
      <w:r>
        <w:t xml:space="preserve">Learning and recovery in drug shortages; validate applicability and data access. </w:t>
      </w:r>
      <w:hyperlink r:id="rId35">
        <w:r>
          <w:rPr>
            <w:color w:val="2E74B5"/>
            <w:u w:val="single"/>
          </w:rPr>
          <w:t>Source</w:t>
        </w:r>
      </w:hyperlink>
    </w:p>
    <w:p>
      <w:pPr>
        <w:pStyle w:val="Heading1"/>
        <w:keepNext/>
        <w:keepLines/>
      </w:pPr>
      <w:r>
        <w:t>Appendix F. Definition of finished</w:t>
      </w:r>
    </w:p>
    <w:tbl>
      <w:tblPr>
        <w:tblStyle w:val="TableGrid"/>
        <w:tblW w:type="dxa" w:w="9720"/>
        <w:jc w:val="center"/>
        <w:tblLayout w:type="fixed"/>
        <w:tblLook w:firstColumn="1" w:firstRow="1" w:lastColumn="0" w:lastRow="0" w:noHBand="0" w:noVBand="1" w:val="04A0"/>
        <w:tblInd w:type="dxa" w:w="120"/>
      </w:tblPr>
      <w:tblGrid>
        <w:gridCol w:w="1872"/>
        <w:gridCol w:w="7848"/>
      </w:tblGrid>
      <w:tr>
        <w:trPr>
          <w:cantSplit w:val="true"/>
          <w:tblHeader w:val="true"/>
        </w:trPr>
        <w:tc>
          <w:tcPr>
            <w:tcW w:type="dxa" w:w="1872"/>
            <w:shd w:fill="E8EEF5"/>
            <w:tcMar>
              <w:top w:w="80" w:type="dxa"/>
              <w:start w:w="120" w:type="dxa"/>
              <w:bottom w:w="80" w:type="dxa"/>
              <w:end w:w="120" w:type="dxa"/>
            </w:tcMar>
            <w:vAlign w:val="center"/>
          </w:tcPr>
          <w:p>
            <w:pPr>
              <w:spacing w:after="0"/>
            </w:pPr>
            <w:r>
              <w:rPr>
                <w:b/>
                <w:color w:val="16324F"/>
                <w:sz w:val="16"/>
              </w:rPr>
              <w:t>Area</w:t>
            </w:r>
          </w:p>
        </w:tc>
        <w:tc>
          <w:tcPr>
            <w:tcW w:type="dxa" w:w="7848"/>
            <w:shd w:fill="E8EEF5"/>
            <w:tcMar>
              <w:top w:w="80" w:type="dxa"/>
              <w:start w:w="120" w:type="dxa"/>
              <w:bottom w:w="80" w:type="dxa"/>
              <w:end w:w="120" w:type="dxa"/>
            </w:tcMar>
            <w:vAlign w:val="center"/>
          </w:tcPr>
          <w:p>
            <w:pPr>
              <w:spacing w:after="0"/>
            </w:pPr>
            <w:r>
              <w:rPr>
                <w:b/>
                <w:color w:val="16324F"/>
                <w:sz w:val="16"/>
              </w:rPr>
              <w:t>Completion test</w:t>
            </w:r>
          </w:p>
        </w:tc>
      </w:tr>
      <w:tr>
        <w:trPr>
          <w:cantSplit w:val="true"/>
        </w:trPr>
        <w:tc>
          <w:tcPr>
            <w:tcW w:type="dxa" w:w="1872"/>
            <w:tcMar>
              <w:top w:w="80" w:type="dxa"/>
              <w:start w:w="120" w:type="dxa"/>
              <w:bottom w:w="80" w:type="dxa"/>
              <w:end w:w="120" w:type="dxa"/>
            </w:tcMar>
            <w:vAlign w:val="top"/>
          </w:tcPr>
          <w:p>
            <w:pPr>
              <w:spacing w:after="0"/>
            </w:pPr>
            <w:r>
              <w:rPr>
                <w:sz w:val="16"/>
              </w:rPr>
              <w:t>Protocol</w:t>
            </w:r>
          </w:p>
        </w:tc>
        <w:tc>
          <w:tcPr>
            <w:tcW w:type="dxa" w:w="7848"/>
            <w:tcMar>
              <w:top w:w="80" w:type="dxa"/>
              <w:start w:w="120" w:type="dxa"/>
              <w:bottom w:w="80" w:type="dxa"/>
              <w:end w:w="120" w:type="dxa"/>
            </w:tcMar>
            <w:vAlign w:val="top"/>
          </w:tcPr>
          <w:p>
            <w:pPr>
              <w:spacing w:after="0"/>
            </w:pPr>
            <w:r>
              <w:rPr>
                <w:sz w:val="16"/>
              </w:rPr>
              <w:t>Versioned before final analysis; hypotheses, thresholds, kill criteria, and decision rules frozen</w:t>
            </w:r>
          </w:p>
        </w:tc>
      </w:tr>
      <w:tr>
        <w:trPr>
          <w:cantSplit w:val="true"/>
        </w:trPr>
        <w:tc>
          <w:tcPr>
            <w:tcW w:type="dxa" w:w="1872"/>
            <w:tcMar>
              <w:top w:w="80" w:type="dxa"/>
              <w:start w:w="120" w:type="dxa"/>
              <w:bottom w:w="80" w:type="dxa"/>
              <w:end w:w="120" w:type="dxa"/>
            </w:tcMar>
            <w:vAlign w:val="top"/>
          </w:tcPr>
          <w:p>
            <w:pPr>
              <w:spacing w:after="0"/>
            </w:pPr>
            <w:r>
              <w:rPr>
                <w:sz w:val="16"/>
              </w:rPr>
              <w:t>Cases</w:t>
            </w:r>
          </w:p>
        </w:tc>
        <w:tc>
          <w:tcPr>
            <w:tcW w:type="dxa" w:w="7848"/>
            <w:tcMar>
              <w:top w:w="80" w:type="dxa"/>
              <w:start w:w="120" w:type="dxa"/>
              <w:bottom w:w="80" w:type="dxa"/>
              <w:end w:w="120" w:type="dxa"/>
            </w:tcMar>
            <w:vAlign w:val="top"/>
          </w:tcPr>
          <w:p>
            <w:pPr>
              <w:spacing w:after="0"/>
            </w:pPr>
            <w:r>
              <w:rPr>
                <w:sz w:val="16"/>
              </w:rPr>
              <w:t>Two exact product presentations selected from a five-product dated screen; gates and dossiers complete</w:t>
            </w:r>
          </w:p>
        </w:tc>
      </w:tr>
      <w:tr>
        <w:trPr>
          <w:cantSplit w:val="true"/>
        </w:trPr>
        <w:tc>
          <w:tcPr>
            <w:tcW w:type="dxa" w:w="1872"/>
            <w:tcMar>
              <w:top w:w="80" w:type="dxa"/>
              <w:start w:w="120" w:type="dxa"/>
              <w:bottom w:w="80" w:type="dxa"/>
              <w:end w:w="120" w:type="dxa"/>
            </w:tcMar>
            <w:vAlign w:val="top"/>
          </w:tcPr>
          <w:p>
            <w:pPr>
              <w:spacing w:after="0"/>
            </w:pPr>
            <w:r>
              <w:rPr>
                <w:sz w:val="16"/>
              </w:rPr>
              <w:t>Comparators</w:t>
            </w:r>
          </w:p>
        </w:tc>
        <w:tc>
          <w:tcPr>
            <w:tcW w:type="dxa" w:w="7848"/>
            <w:tcMar>
              <w:top w:w="80" w:type="dxa"/>
              <w:start w:w="120" w:type="dxa"/>
              <w:bottom w:w="80" w:type="dxa"/>
              <w:end w:w="120" w:type="dxa"/>
            </w:tcMar>
            <w:vAlign w:val="top"/>
          </w:tcPr>
          <w:p>
            <w:pPr>
              <w:spacing w:after="0"/>
            </w:pPr>
            <w:r>
              <w:rPr>
                <w:sz w:val="16"/>
              </w:rPr>
              <w:t>All eight architectures represented; each durable strategy optimized to the same service target</w:t>
            </w:r>
          </w:p>
        </w:tc>
      </w:tr>
      <w:tr>
        <w:trPr>
          <w:cantSplit w:val="true"/>
        </w:trPr>
        <w:tc>
          <w:tcPr>
            <w:tcW w:type="dxa" w:w="1872"/>
            <w:tcMar>
              <w:top w:w="80" w:type="dxa"/>
              <w:start w:w="120" w:type="dxa"/>
              <w:bottom w:w="80" w:type="dxa"/>
              <w:end w:w="120" w:type="dxa"/>
            </w:tcMar>
            <w:vAlign w:val="top"/>
          </w:tcPr>
          <w:p>
            <w:pPr>
              <w:spacing w:after="0"/>
            </w:pPr>
            <w:r>
              <w:rPr>
                <w:sz w:val="16"/>
              </w:rPr>
              <w:t>Regulation</w:t>
            </w:r>
          </w:p>
        </w:tc>
        <w:tc>
          <w:tcPr>
            <w:tcW w:type="dxa" w:w="7848"/>
            <w:tcMar>
              <w:top w:w="80" w:type="dxa"/>
              <w:start w:w="120" w:type="dxa"/>
              <w:bottom w:w="80" w:type="dxa"/>
              <w:end w:w="120" w:type="dxa"/>
            </w:tcMar>
            <w:vAlign w:val="top"/>
          </w:tcPr>
          <w:p>
            <w:pPr>
              <w:spacing w:after="0"/>
            </w:pPr>
            <w:r>
              <w:rPr>
                <w:sz w:val="16"/>
              </w:rPr>
              <w:t>Approved/CMO and 503B maps separated; applicable gates reviewed by qualified expert</w:t>
            </w:r>
          </w:p>
        </w:tc>
      </w:tr>
      <w:tr>
        <w:trPr>
          <w:cantSplit w:val="true"/>
        </w:trPr>
        <w:tc>
          <w:tcPr>
            <w:tcW w:type="dxa" w:w="1872"/>
            <w:tcMar>
              <w:top w:w="80" w:type="dxa"/>
              <w:start w:w="120" w:type="dxa"/>
              <w:bottom w:w="80" w:type="dxa"/>
              <w:end w:w="120" w:type="dxa"/>
            </w:tcMar>
            <w:vAlign w:val="top"/>
          </w:tcPr>
          <w:p>
            <w:pPr>
              <w:spacing w:after="0"/>
            </w:pPr>
            <w:r>
              <w:rPr>
                <w:sz w:val="16"/>
              </w:rPr>
              <w:t>Inputs</w:t>
            </w:r>
          </w:p>
        </w:tc>
        <w:tc>
          <w:tcPr>
            <w:tcW w:type="dxa" w:w="7848"/>
            <w:tcMar>
              <w:top w:w="80" w:type="dxa"/>
              <w:start w:w="120" w:type="dxa"/>
              <w:bottom w:w="80" w:type="dxa"/>
              <w:end w:w="120" w:type="dxa"/>
            </w:tcMar>
            <w:vAlign w:val="top"/>
          </w:tcPr>
          <w:p>
            <w:pPr>
              <w:spacing w:after="0"/>
            </w:pPr>
            <w:r>
              <w:rPr>
                <w:sz w:val="16"/>
              </w:rPr>
              <w:t>No material illustrative assumptions remain; distributions, units, sources, dates, and confidence recorded</w:t>
            </w:r>
          </w:p>
        </w:tc>
      </w:tr>
      <w:tr>
        <w:trPr>
          <w:cantSplit w:val="true"/>
        </w:trPr>
        <w:tc>
          <w:tcPr>
            <w:tcW w:type="dxa" w:w="1872"/>
            <w:tcMar>
              <w:top w:w="80" w:type="dxa"/>
              <w:start w:w="120" w:type="dxa"/>
              <w:bottom w:w="80" w:type="dxa"/>
              <w:end w:w="120" w:type="dxa"/>
            </w:tcMar>
            <w:vAlign w:val="top"/>
          </w:tcPr>
          <w:p>
            <w:pPr>
              <w:spacing w:after="0"/>
            </w:pPr>
            <w:r>
              <w:rPr>
                <w:sz w:val="16"/>
              </w:rPr>
              <w:t>Model</w:t>
            </w:r>
          </w:p>
        </w:tc>
        <w:tc>
          <w:tcPr>
            <w:tcW w:type="dxa" w:w="7848"/>
            <w:tcMar>
              <w:top w:w="80" w:type="dxa"/>
              <w:start w:w="120" w:type="dxa"/>
              <w:bottom w:w="80" w:type="dxa"/>
              <w:end w:w="120" w:type="dxa"/>
            </w:tcMar>
            <w:vAlign w:val="top"/>
          </w:tcPr>
          <w:p>
            <w:pPr>
              <w:spacing w:after="0"/>
            </w:pPr>
            <w:r>
              <w:rPr>
                <w:sz w:val="16"/>
              </w:rPr>
              <w:t>Deterministic screen, tested stochastic network simulation, common random numbers, event logs, and optimization</w:t>
            </w:r>
          </w:p>
        </w:tc>
      </w:tr>
      <w:tr>
        <w:trPr>
          <w:cantSplit w:val="true"/>
        </w:trPr>
        <w:tc>
          <w:tcPr>
            <w:tcW w:type="dxa" w:w="1872"/>
            <w:tcMar>
              <w:top w:w="80" w:type="dxa"/>
              <w:start w:w="120" w:type="dxa"/>
              <w:bottom w:w="80" w:type="dxa"/>
              <w:end w:w="120" w:type="dxa"/>
            </w:tcMar>
            <w:vAlign w:val="top"/>
          </w:tcPr>
          <w:p>
            <w:pPr>
              <w:spacing w:after="0"/>
            </w:pPr>
            <w:r>
              <w:rPr>
                <w:sz w:val="16"/>
              </w:rPr>
              <w:t>Uncertainty</w:t>
            </w:r>
          </w:p>
        </w:tc>
        <w:tc>
          <w:tcPr>
            <w:tcW w:type="dxa" w:w="7848"/>
            <w:tcMar>
              <w:top w:w="80" w:type="dxa"/>
              <w:start w:w="120" w:type="dxa"/>
              <w:bottom w:w="80" w:type="dxa"/>
              <w:end w:w="120" w:type="dxa"/>
            </w:tcMar>
            <w:vAlign w:val="top"/>
          </w:tcPr>
          <w:p>
            <w:pPr>
              <w:spacing w:after="0"/>
            </w:pPr>
            <w:r>
              <w:rPr>
                <w:sz w:val="16"/>
              </w:rPr>
              <w:t>Global and structural sensitivity, decision-reversal map, and value-of-information analysis</w:t>
            </w:r>
          </w:p>
        </w:tc>
      </w:tr>
      <w:tr>
        <w:trPr>
          <w:cantSplit w:val="true"/>
        </w:trPr>
        <w:tc>
          <w:tcPr>
            <w:tcW w:type="dxa" w:w="1872"/>
            <w:tcMar>
              <w:top w:w="80" w:type="dxa"/>
              <w:start w:w="120" w:type="dxa"/>
              <w:bottom w:w="80" w:type="dxa"/>
              <w:end w:w="120" w:type="dxa"/>
            </w:tcMar>
            <w:vAlign w:val="top"/>
          </w:tcPr>
          <w:p>
            <w:pPr>
              <w:spacing w:after="0"/>
            </w:pPr>
            <w:r>
              <w:rPr>
                <w:sz w:val="16"/>
              </w:rPr>
              <w:t>Validation</w:t>
            </w:r>
          </w:p>
        </w:tc>
        <w:tc>
          <w:tcPr>
            <w:tcW w:type="dxa" w:w="7848"/>
            <w:tcMar>
              <w:top w:w="80" w:type="dxa"/>
              <w:start w:w="120" w:type="dxa"/>
              <w:bottom w:w="80" w:type="dxa"/>
              <w:end w:w="120" w:type="dxa"/>
            </w:tcMar>
            <w:vAlign w:val="top"/>
          </w:tcPr>
          <w:p>
            <w:pPr>
              <w:spacing w:after="0"/>
            </w:pPr>
            <w:r>
              <w:rPr>
                <w:sz w:val="16"/>
              </w:rPr>
              <w:t>Mass-balance/extreme tests, historical backcasts, 25–30 relevant interviews or justified saturation, and ≥3 independent reviews</w:t>
            </w:r>
          </w:p>
        </w:tc>
      </w:tr>
      <w:tr>
        <w:trPr>
          <w:cantSplit w:val="true"/>
        </w:trPr>
        <w:tc>
          <w:tcPr>
            <w:tcW w:type="dxa" w:w="1872"/>
            <w:tcMar>
              <w:top w:w="80" w:type="dxa"/>
              <w:start w:w="120" w:type="dxa"/>
              <w:bottom w:w="80" w:type="dxa"/>
              <w:end w:w="120" w:type="dxa"/>
            </w:tcMar>
            <w:vAlign w:val="top"/>
          </w:tcPr>
          <w:p>
            <w:pPr>
              <w:spacing w:after="0"/>
            </w:pPr>
            <w:r>
              <w:rPr>
                <w:sz w:val="16"/>
              </w:rPr>
              <w:t>Transparency</w:t>
            </w:r>
          </w:p>
        </w:tc>
        <w:tc>
          <w:tcPr>
            <w:tcW w:type="dxa" w:w="7848"/>
            <w:tcMar>
              <w:top w:w="80" w:type="dxa"/>
              <w:start w:w="120" w:type="dxa"/>
              <w:bottom w:w="80" w:type="dxa"/>
              <w:end w:w="120" w:type="dxa"/>
            </w:tcMar>
            <w:vAlign w:val="top"/>
          </w:tcPr>
          <w:p>
            <w:pPr>
              <w:spacing w:after="0"/>
            </w:pPr>
            <w:r>
              <w:rPr>
                <w:sz w:val="16"/>
              </w:rPr>
              <w:t>Public code/workbook, product dossiers, source register, assumptions, run manifest, revision log, and limitations</w:t>
            </w:r>
          </w:p>
        </w:tc>
      </w:tr>
      <w:tr>
        <w:trPr>
          <w:cantSplit w:val="true"/>
        </w:trPr>
        <w:tc>
          <w:tcPr>
            <w:tcW w:type="dxa" w:w="1872"/>
            <w:tcMar>
              <w:top w:w="80" w:type="dxa"/>
              <w:start w:w="120" w:type="dxa"/>
              <w:bottom w:w="80" w:type="dxa"/>
              <w:end w:w="120" w:type="dxa"/>
            </w:tcMar>
            <w:vAlign w:val="top"/>
          </w:tcPr>
          <w:p>
            <w:pPr>
              <w:spacing w:after="0"/>
            </w:pPr>
            <w:r>
              <w:rPr>
                <w:sz w:val="16"/>
              </w:rPr>
              <w:t>Finding</w:t>
            </w:r>
          </w:p>
        </w:tc>
        <w:tc>
          <w:tcPr>
            <w:tcW w:type="dxa" w:w="7848"/>
            <w:tcMar>
              <w:top w:w="80" w:type="dxa"/>
              <w:start w:w="120" w:type="dxa"/>
              <w:bottom w:w="80" w:type="dxa"/>
              <w:end w:w="120" w:type="dxa"/>
            </w:tcMar>
            <w:vAlign w:val="top"/>
          </w:tcPr>
          <w:p>
            <w:pPr>
              <w:spacing w:after="0"/>
            </w:pPr>
            <w:r>
              <w:rPr>
                <w:sz w:val="16"/>
              </w:rPr>
              <w:t>At least one non-obvious result; conclusion may be narrow, negative, or conditional</w:t>
            </w:r>
          </w:p>
        </w:tc>
      </w:tr>
      <w:tr>
        <w:trPr>
          <w:cantSplit w:val="true"/>
        </w:trPr>
        <w:tc>
          <w:tcPr>
            <w:tcW w:type="dxa" w:w="1872"/>
            <w:tcMar>
              <w:top w:w="80" w:type="dxa"/>
              <w:start w:w="120" w:type="dxa"/>
              <w:bottom w:w="80" w:type="dxa"/>
              <w:end w:w="120" w:type="dxa"/>
            </w:tcMar>
            <w:vAlign w:val="top"/>
          </w:tcPr>
          <w:p>
            <w:pPr>
              <w:spacing w:after="0"/>
            </w:pPr>
            <w:r>
              <w:rPr>
                <w:sz w:val="16"/>
              </w:rPr>
              <w:t>Claims</w:t>
            </w:r>
          </w:p>
        </w:tc>
        <w:tc>
          <w:tcPr>
            <w:tcW w:type="dxa" w:w="7848"/>
            <w:tcMar>
              <w:top w:w="80" w:type="dxa"/>
              <w:start w:w="120" w:type="dxa"/>
              <w:bottom w:w="80" w:type="dxa"/>
              <w:end w:w="120" w:type="dxa"/>
            </w:tcMar>
            <w:vAlign w:val="top"/>
          </w:tcPr>
          <w:p>
            <w:pPr>
              <w:spacing w:after="0"/>
            </w:pPr>
            <w:r>
              <w:rPr>
                <w:sz w:val="16"/>
              </w:rPr>
              <w:t>Every external sentence maps to completed evidence; no partner/regulatory/release overstatement</w:t>
            </w:r>
          </w:p>
        </w:tc>
      </w:tr>
    </w:tbl>
    <w:tbl>
      <w:tblPr>
        <w:tblW w:type="dxa" w:w="9288"/>
        <w:jc w:val="center"/>
        <w:tblLayout w:type="fixed"/>
        <w:tblLook w:firstColumn="1" w:firstRow="1" w:lastColumn="0" w:lastRow="0" w:noHBand="0" w:noVBand="1" w:val="04A0"/>
        <w:tblInd w:type="dxa" w:w="170"/>
      </w:tblPr>
      <w:tblGrid>
        <w:gridCol w:w="9288"/>
      </w:tblGrid>
      <w:tr>
        <w:trPr>
          <w:cantSplit w:val="true"/>
        </w:trPr>
        <w:tc>
          <w:tcPr>
            <w:tcW w:type="dxa" w:w="9288"/>
            <w:shd w:fill="DDF2E5"/>
            <w:tcMar>
              <w:top w:w="130" w:type="dxa"/>
              <w:start w:w="170" w:type="dxa"/>
              <w:bottom w:w="130" w:type="dxa"/>
              <w:end w:w="170" w:type="dxa"/>
            </w:tcMar>
          </w:tcPr>
          <w:p>
            <w:pPr>
              <w:spacing w:after="60"/>
            </w:pPr>
            <w:r>
              <w:rPr>
                <w:b/>
                <w:color w:val="16324F"/>
              </w:rPr>
              <w:t>Final standard</w:t>
            </w:r>
          </w:p>
          <w:p>
            <w:pPr>
              <w:spacing w:after="0"/>
            </w:pPr>
            <w:r>
              <w:t>The study is application-worthy and externally respectable when a skeptical expert can trace every conclusion from a frozen question through sourced inputs, hard regulatory gates, tested code, fair comparator optimization, uncertainty, criticism, and revision—and could reproduce the result even if it is unfavorable to Telo.</w:t>
            </w:r>
          </w:p>
        </w:tc>
      </w:tr>
    </w:tbl>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6"/>
      </w:rPr>
      <w:t xml:space="preserve">Research protocol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873"/>
        <w:sz w:val="16"/>
      </w:rPr>
      <w:t>TELO  /  INDEPENDENT FEASIBILITY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83"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2E74B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0"/>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da.gov/drugs/drug-safety-and-availability/drug-shortages" TargetMode="External"/><Relationship Id="rId12" Type="http://schemas.openxmlformats.org/officeDocument/2006/relationships/hyperlink" Target="https://www.fda.gov/media/132058/download" TargetMode="External"/><Relationship Id="rId13" Type="http://schemas.openxmlformats.org/officeDocument/2006/relationships/hyperlink" Target="https://aspe.hhs.gov/reports/preventing-shortages-supply-chain-vulnerabilities" TargetMode="External"/><Relationship Id="rId14" Type="http://schemas.openxmlformats.org/officeDocument/2006/relationships/hyperlink" Target="https://www.gao.gov/products/gao-25-107110" TargetMode="External"/><Relationship Id="rId15" Type="http://schemas.openxmlformats.org/officeDocument/2006/relationships/hyperlink" Target="https://files.gao.gov/reports/GAO-25-107153/index.html" TargetMode="External"/><Relationship Id="rId16" Type="http://schemas.openxmlformats.org/officeDocument/2006/relationships/hyperlink" Target="https://www.ecfr.gov/current/title-21/chapter-I/subchapter-C/part-211" TargetMode="External"/><Relationship Id="rId17" Type="http://schemas.openxmlformats.org/officeDocument/2006/relationships/hyperlink" Target="https://www.fda.gov/media/71026/download" TargetMode="External"/><Relationship Id="rId18" Type="http://schemas.openxmlformats.org/officeDocument/2006/relationships/hyperlink" Target="https://www.fda.gov/media/71021/download" TargetMode="External"/><Relationship Id="rId19" Type="http://schemas.openxmlformats.org/officeDocument/2006/relationships/hyperlink" Target="https://www.fda.gov/media/71535/download" TargetMode="External"/><Relationship Id="rId20" Type="http://schemas.openxmlformats.org/officeDocument/2006/relationships/hyperlink" Target="https://www.fda.gov/about-fda/center-drug-evaluation-and-research-cder/cders-framework-regulatory-advanced-manufacturing-evaluation-frame-initiative" TargetMode="External"/><Relationship Id="rId21" Type="http://schemas.openxmlformats.org/officeDocument/2006/relationships/hyperlink" Target="https://www.federalregister.gov/documents/2026/07/13/2026-14073/drug-establishment-registration-and-drug-listing-requirements-for-establishments-engaged-in" TargetMode="External"/><Relationship Id="rId22" Type="http://schemas.openxmlformats.org/officeDocument/2006/relationships/hyperlink" Target="https://www.fda.gov/regulatory-information/search-fda-guidance-documents/advanced-manufacturing-technologies-designation-program" TargetMode="External"/><Relationship Id="rId23" Type="http://schemas.openxmlformats.org/officeDocument/2006/relationships/hyperlink" Target="https://www.fda.gov/drugs/human-drug-compounding/compounding-when-drugs-are-fdas-drug-shortages-list" TargetMode="External"/><Relationship Id="rId24" Type="http://schemas.openxmlformats.org/officeDocument/2006/relationships/hyperlink" Target="https://www.fda.gov/drugs/human-drug-compounding/bulk-drug-substances-used-compounding-under-section-503b-fdc-act" TargetMode="External"/><Relationship Id="rId25" Type="http://schemas.openxmlformats.org/officeDocument/2006/relationships/hyperlink" Target="https://www.fda.gov/media/98964/download" TargetMode="External"/><Relationship Id="rId26" Type="http://schemas.openxmlformats.org/officeDocument/2006/relationships/hyperlink" Target="https://www.fda.gov/drugs/drug-approvals-and-databases/drugsfda-data-files" TargetMode="External"/><Relationship Id="rId27" Type="http://schemas.openxmlformats.org/officeDocument/2006/relationships/hyperlink" Target="https://www.fda.gov/drugs/drug-approvals-and-databases/orange-book-data-files" TargetMode="External"/><Relationship Id="rId28" Type="http://schemas.openxmlformats.org/officeDocument/2006/relationships/hyperlink" Target="https://dailymed.nlm.nih.gov/" TargetMode="External"/><Relationship Id="rId29" Type="http://schemas.openxmlformats.org/officeDocument/2006/relationships/hyperlink" Target="https://data.cms.gov/summary-statistics-on-use-and-payments/medicare-medicaid-spending-by-drug/medicare-part-b-spending-by-drug" TargetMode="External"/><Relationship Id="rId30" Type="http://schemas.openxmlformats.org/officeDocument/2006/relationships/hyperlink" Target="https://www.cms.gov/medicare/payment/part-b-drugs/asp-pricing-files" TargetMode="External"/><Relationship Id="rId31" Type="http://schemas.openxmlformats.org/officeDocument/2006/relationships/hyperlink" Target="https://www.ashp.org/drug-shortages/current-shortages/drug-shortages-list?page=CurrentShortages" TargetMode="External"/><Relationship Id="rId32" Type="http://schemas.openxmlformats.org/officeDocument/2006/relationships/hyperlink" Target="https://dailymed.nlm.nih.gov/dailymed/fda/fdaDrugXsl.cfm?setid=2f05947f-a489-4298-a871-90db75b2a6c5&amp;type=display" TargetMode="External"/><Relationship Id="rId33" Type="http://schemas.openxmlformats.org/officeDocument/2006/relationships/hyperlink" Target="https://dailymed.nlm.nih.gov/dailymed/drugInfo.cfm?setid=4408987e-690a-41ac-9677-e24604fa9793" TargetMode="External"/><Relationship Id="rId34" Type="http://schemas.openxmlformats.org/officeDocument/2006/relationships/hyperlink" Target="https://doi.org/10.1016/j.omega.2017.01.004" TargetMode="External"/><Relationship Id="rId35" Type="http://schemas.openxmlformats.org/officeDocument/2006/relationships/hyperlink" Target="https://doi.org/10.1287/mnsc.2024.083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Sterile-Injectable Manufacturing Under Real-World Constraints</dc:title>
  <dc:subject>Telo feasibility study protocol and model specification</dc:subject>
  <dc:creator>Telo research team</dc:creator>
  <cp:keywords>drug shortages, sterile injectables, distributed manufacturing, feasibility, simulation, operations research</cp:keywords>
  <dc:description>Version 1.0. Preliminary research protocol; not legal or regulatory advice.</dc:description>
  <cp:lastModifiedBy/>
  <cp:revision>1</cp:revision>
  <dcterms:created xsi:type="dcterms:W3CDTF">2013-12-23T23:15:00Z</dcterms:created>
  <dcterms:modified xsi:type="dcterms:W3CDTF">2013-12-23T23:15:00Z</dcterms:modified>
  <cp:category/>
</cp:coreProperties>
</file>