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CA70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0CFB6E49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5681157E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6D792FB3" w14:textId="77777777" w:rsidR="006F1A34" w:rsidRPr="000C2467" w:rsidRDefault="006F1A34" w:rsidP="000C2467">
      <w:pPr>
        <w:spacing w:line="276" w:lineRule="auto"/>
        <w:rPr>
          <w:rFonts w:cs="Arial"/>
          <w:sz w:val="28"/>
          <w:szCs w:val="28"/>
        </w:rPr>
      </w:pPr>
    </w:p>
    <w:p w14:paraId="1973306B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3798FCBC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1083AACA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0EB7DFAB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0447785D" w14:textId="31225F89" w:rsidR="006F1A34" w:rsidRPr="00714273" w:rsidRDefault="00997BD6" w:rsidP="000C2467">
      <w:pPr>
        <w:spacing w:line="276" w:lineRule="auto"/>
        <w:jc w:val="center"/>
        <w:rPr>
          <w:rFonts w:cs="Arial"/>
          <w:b/>
          <w:bCs/>
          <w:sz w:val="28"/>
          <w:szCs w:val="28"/>
        </w:rPr>
      </w:pPr>
      <w:r w:rsidRPr="00997BD6">
        <w:rPr>
          <w:rFonts w:cs="Arial"/>
          <w:b/>
          <w:bCs/>
          <w:sz w:val="28"/>
          <w:szCs w:val="28"/>
        </w:rPr>
        <w:t>Задание 1.2. ИСР</w:t>
      </w:r>
    </w:p>
    <w:p w14:paraId="40DB8729" w14:textId="77777777" w:rsidR="006F1A34" w:rsidRPr="000C2467" w:rsidRDefault="006F1A34" w:rsidP="000C2467">
      <w:pPr>
        <w:spacing w:line="276" w:lineRule="auto"/>
        <w:rPr>
          <w:rFonts w:cs="Arial"/>
          <w:sz w:val="28"/>
          <w:szCs w:val="28"/>
        </w:rPr>
      </w:pPr>
    </w:p>
    <w:p w14:paraId="78F0F84E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3227C722" w14:textId="10AFB2A5" w:rsidR="006F1A34" w:rsidRPr="00714273" w:rsidRDefault="00997BD6" w:rsidP="000C2467">
      <w:pPr>
        <w:spacing w:line="276" w:lineRule="auto"/>
        <w:jc w:val="center"/>
        <w:rPr>
          <w:rFonts w:cs="Arial"/>
          <w:b/>
          <w:bCs/>
          <w:sz w:val="28"/>
          <w:szCs w:val="28"/>
        </w:rPr>
      </w:pPr>
      <w:r w:rsidRPr="00714273">
        <w:rPr>
          <w:rFonts w:cs="Arial"/>
          <w:b/>
          <w:bCs/>
          <w:sz w:val="28"/>
          <w:szCs w:val="28"/>
        </w:rPr>
        <w:t>«</w:t>
      </w:r>
      <w:r w:rsidRPr="00997BD6">
        <w:rPr>
          <w:rFonts w:cs="Arial"/>
          <w:b/>
          <w:bCs/>
          <w:sz w:val="28"/>
          <w:szCs w:val="28"/>
        </w:rPr>
        <w:t>Провести анализ состояния проблемы, исследуемой в рамках магистерской диссертации. Подготовить рабочие материалы для параграфа 1.1 магистерской диссертации</w:t>
      </w:r>
      <w:r w:rsidRPr="00714273">
        <w:rPr>
          <w:rFonts w:cs="Arial"/>
          <w:b/>
          <w:bCs/>
          <w:sz w:val="28"/>
          <w:szCs w:val="28"/>
        </w:rPr>
        <w:t>»</w:t>
      </w:r>
    </w:p>
    <w:p w14:paraId="53496B5C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5F399149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6EDDEBE0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4CB064C8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5FB9D87D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0EDD0586" w14:textId="77777777" w:rsidR="006F1A34" w:rsidRPr="000C2467" w:rsidRDefault="006F1A34" w:rsidP="000C2467">
      <w:pPr>
        <w:spacing w:line="276" w:lineRule="auto"/>
        <w:rPr>
          <w:rFonts w:cs="Arial"/>
          <w:sz w:val="28"/>
          <w:szCs w:val="28"/>
        </w:rPr>
      </w:pPr>
    </w:p>
    <w:p w14:paraId="659DB3F2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0AA0C245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75D52B19" w14:textId="77777777" w:rsidR="006F1A34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7241F13E" w14:textId="77777777" w:rsidR="000C2467" w:rsidRPr="000C2467" w:rsidRDefault="000C2467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62A5964E" w14:textId="77777777" w:rsidR="006F1A34" w:rsidRPr="000C2467" w:rsidRDefault="006F1A34" w:rsidP="000C2467">
      <w:pPr>
        <w:spacing w:line="276" w:lineRule="auto"/>
        <w:jc w:val="center"/>
        <w:rPr>
          <w:rFonts w:cs="Arial"/>
          <w:sz w:val="28"/>
          <w:szCs w:val="28"/>
        </w:rPr>
      </w:pPr>
    </w:p>
    <w:p w14:paraId="5614A653" w14:textId="40B049F8" w:rsidR="002A48C7" w:rsidRPr="000C2467" w:rsidRDefault="006F1A34" w:rsidP="000C2467">
      <w:pPr>
        <w:spacing w:line="276" w:lineRule="auto"/>
        <w:jc w:val="right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Автор</w:t>
      </w:r>
      <w:r w:rsidRPr="000C2467">
        <w:rPr>
          <w:rFonts w:cs="Arial"/>
          <w:sz w:val="28"/>
          <w:szCs w:val="28"/>
          <w:lang w:val="en-US"/>
        </w:rPr>
        <w:t>:</w:t>
      </w:r>
    </w:p>
    <w:p w14:paraId="267F1BAE" w14:textId="70C37C6C" w:rsidR="000C2467" w:rsidRDefault="006F1A34" w:rsidP="000C2467">
      <w:pPr>
        <w:spacing w:line="276" w:lineRule="auto"/>
        <w:jc w:val="right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Воложанин Владислав Олегович</w:t>
      </w:r>
    </w:p>
    <w:p w14:paraId="18B1DE24" w14:textId="3F652667" w:rsidR="000C2467" w:rsidRPr="000C2467" w:rsidRDefault="000C2467" w:rsidP="000C2467">
      <w:pPr>
        <w:spacing w:line="276" w:lineRule="auto"/>
        <w:rPr>
          <w:rFonts w:cs="Arial"/>
          <w:b/>
          <w:bCs/>
          <w:sz w:val="28"/>
          <w:szCs w:val="28"/>
        </w:rPr>
      </w:pPr>
      <w:r w:rsidRPr="000C2467">
        <w:rPr>
          <w:rFonts w:cs="Arial"/>
          <w:b/>
          <w:bCs/>
          <w:sz w:val="28"/>
          <w:szCs w:val="28"/>
        </w:rPr>
        <w:lastRenderedPageBreak/>
        <w:t>1. Анализ состояния проблемы</w:t>
      </w:r>
    </w:p>
    <w:p w14:paraId="7AA3B9E8" w14:textId="77777777" w:rsidR="000C2467" w:rsidRPr="000C2467" w:rsidRDefault="000C2467" w:rsidP="000C2467">
      <w:pPr>
        <w:spacing w:line="276" w:lineRule="auto"/>
        <w:rPr>
          <w:rFonts w:cs="Arial"/>
          <w:b/>
          <w:bCs/>
          <w:sz w:val="28"/>
          <w:szCs w:val="28"/>
        </w:rPr>
      </w:pPr>
      <w:r w:rsidRPr="000C2467">
        <w:rPr>
          <w:rFonts w:cs="Arial"/>
          <w:b/>
          <w:bCs/>
          <w:sz w:val="28"/>
          <w:szCs w:val="28"/>
        </w:rPr>
        <w:t>1.1. Актуальность корпоративного обучения и причины перехода к микрообучению</w:t>
      </w:r>
    </w:p>
    <w:p w14:paraId="761FE746" w14:textId="7BA554B6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Современные организации работают в условиях ускоренного обновления компетенций: навыки быстро устаревают, а компании вынуждены постоянно перестраивать процессы, продукты и инструменты. Это формирует устойчивый запрос на обучение сотрудников в форматах, которые дают эффект при минимальных временных затратах и легко встраиваются в рабочий день. </w:t>
      </w:r>
    </w:p>
    <w:p w14:paraId="40F85B25" w14:textId="7DA34545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По данным LinkedIn Learning (</w:t>
      </w:r>
      <w:proofErr w:type="spellStart"/>
      <w:r w:rsidRPr="000C2467">
        <w:rPr>
          <w:rFonts w:cs="Arial"/>
          <w:sz w:val="28"/>
          <w:szCs w:val="28"/>
        </w:rPr>
        <w:t>Workplace</w:t>
      </w:r>
      <w:proofErr w:type="spellEnd"/>
      <w:r w:rsidRPr="000C2467">
        <w:rPr>
          <w:rFonts w:cs="Arial"/>
          <w:sz w:val="28"/>
          <w:szCs w:val="28"/>
        </w:rPr>
        <w:t xml:space="preserve"> Learning Report 2025), 49% специалистов по обучению и развитию отмечают, что руководители обеспокоены недостаточностью навыков сотрудников для реализации бизнес</w:t>
      </w:r>
      <w:r w:rsidRPr="000C2467">
        <w:rPr>
          <w:rFonts w:cs="Arial"/>
          <w:sz w:val="28"/>
          <w:szCs w:val="28"/>
        </w:rPr>
        <w:noBreakHyphen/>
        <w:t xml:space="preserve">стратегии; дополнительно подчёркивается важность сочетания обучения с карьерным развитием как фактора адаптивности и удержания. </w:t>
      </w:r>
    </w:p>
    <w:p w14:paraId="12CD77E1" w14:textId="3D5B9656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Одним из ключевых барьеров участия сотрудников в обучении является дефицит времени. В материалах, основанных на исследованиях Gallup (Q1 2025), приводится оценка, что 41% сотрудников называют главной преградой для обучения именно загрузку задачами и нехватку времени (а также аналогичные барьеры отмечают менеджеры и CHRO). Это усиливает потребность в коротких «учебных интервенциях» и обучении «в потоке работы». </w:t>
      </w:r>
    </w:p>
    <w:p w14:paraId="0CAFCAD1" w14:textId="77777777" w:rsidR="000C2467" w:rsidRPr="000C2467" w:rsidRDefault="000C2467" w:rsidP="000C2467">
      <w:pPr>
        <w:spacing w:line="276" w:lineRule="auto"/>
        <w:rPr>
          <w:rFonts w:cs="Arial"/>
          <w:b/>
          <w:bCs/>
          <w:sz w:val="28"/>
          <w:szCs w:val="28"/>
        </w:rPr>
      </w:pPr>
      <w:r w:rsidRPr="000C2467">
        <w:rPr>
          <w:rFonts w:cs="Arial"/>
          <w:b/>
          <w:bCs/>
          <w:sz w:val="28"/>
          <w:szCs w:val="28"/>
        </w:rPr>
        <w:t>1.2. Микрообучение: сущность подхода и признаки, важные для цифровой платформы</w:t>
      </w:r>
    </w:p>
    <w:p w14:paraId="4F047710" w14:textId="631ADD9A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Микрообучение (</w:t>
      </w:r>
      <w:proofErr w:type="spellStart"/>
      <w:r w:rsidRPr="000C2467">
        <w:rPr>
          <w:rFonts w:cs="Arial"/>
          <w:sz w:val="28"/>
          <w:szCs w:val="28"/>
        </w:rPr>
        <w:t>microlearning</w:t>
      </w:r>
      <w:proofErr w:type="spellEnd"/>
      <w:r w:rsidRPr="000C2467">
        <w:rPr>
          <w:rFonts w:cs="Arial"/>
          <w:sz w:val="28"/>
          <w:szCs w:val="28"/>
        </w:rPr>
        <w:t xml:space="preserve">) обычно понимается как образовательная стратегия, при которой материал разбивается на короткие самостоятельные единицы, к которым обучающийся может возвращаться по мере необходимости; при этом модуль ориентируется на конкретную цель/пробел и может потребляться «когда и где нужно». </w:t>
      </w:r>
    </w:p>
    <w:p w14:paraId="7958710F" w14:textId="7865592C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В прикладном корпоративном контексте </w:t>
      </w:r>
      <w:proofErr w:type="spellStart"/>
      <w:r w:rsidRPr="000C2467">
        <w:rPr>
          <w:rFonts w:cs="Arial"/>
          <w:sz w:val="28"/>
          <w:szCs w:val="28"/>
        </w:rPr>
        <w:t>микрообучающие</w:t>
      </w:r>
      <w:proofErr w:type="spellEnd"/>
      <w:r w:rsidRPr="000C2467">
        <w:rPr>
          <w:rFonts w:cs="Arial"/>
          <w:sz w:val="28"/>
          <w:szCs w:val="28"/>
        </w:rPr>
        <w:t xml:space="preserve"> модули часто проектируются на ~несколько минут и включают не только подачу информации, но и короткую активность: вопрос, мини</w:t>
      </w:r>
      <w:r w:rsidRPr="000C2467">
        <w:rPr>
          <w:rFonts w:cs="Arial"/>
          <w:sz w:val="28"/>
          <w:szCs w:val="28"/>
        </w:rPr>
        <w:noBreakHyphen/>
        <w:t xml:space="preserve">кейс, интерактивное упражнение, проверку понимания. Такой дизайн снижает </w:t>
      </w:r>
      <w:r w:rsidRPr="000C2467">
        <w:rPr>
          <w:rFonts w:cs="Arial"/>
          <w:sz w:val="28"/>
          <w:szCs w:val="28"/>
        </w:rPr>
        <w:lastRenderedPageBreak/>
        <w:t xml:space="preserve">когнитивную перегрузку, повышает доступность обучения и лучше соответствует реальному рабочему графику сотрудника. </w:t>
      </w:r>
    </w:p>
    <w:p w14:paraId="50F63AE5" w14:textId="6EFCEEE2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Академические обзоры последних лет показывают устойчивый исследовательский интерес к микрообучению и его интеграции с цифровыми платформами; при этом подчёркиваются как потенциальные плюсы (вовлечённость, удобство, расширение охвата), так и ограничения (сложности оценки реального прироста знаний, риск фрагментации сложных тем). </w:t>
      </w:r>
    </w:p>
    <w:p w14:paraId="276AC697" w14:textId="640A5A83" w:rsidR="000C2467" w:rsidRPr="000C2467" w:rsidRDefault="000C2467" w:rsidP="000C2467">
      <w:pPr>
        <w:spacing w:line="276" w:lineRule="auto"/>
        <w:rPr>
          <w:rFonts w:cs="Arial"/>
          <w:b/>
          <w:bCs/>
          <w:sz w:val="28"/>
          <w:szCs w:val="28"/>
        </w:rPr>
      </w:pPr>
      <w:r w:rsidRPr="000C2467">
        <w:rPr>
          <w:rFonts w:cs="Arial"/>
          <w:b/>
          <w:bCs/>
          <w:sz w:val="28"/>
          <w:szCs w:val="28"/>
        </w:rPr>
        <w:t xml:space="preserve">1.3. Почему интерактивные задания и тестирование </w:t>
      </w:r>
      <w:r w:rsidRPr="000C2467">
        <w:rPr>
          <w:rFonts w:cs="Arial"/>
          <w:b/>
          <w:bCs/>
          <w:sz w:val="28"/>
          <w:szCs w:val="28"/>
        </w:rPr>
        <w:t xml:space="preserve"> </w:t>
      </w:r>
      <w:r w:rsidRPr="000C2467">
        <w:rPr>
          <w:rFonts w:cs="Arial"/>
          <w:b/>
          <w:bCs/>
          <w:sz w:val="28"/>
          <w:szCs w:val="28"/>
        </w:rPr>
        <w:t xml:space="preserve"> ключевой механизм эффективности микрообучения</w:t>
      </w:r>
    </w:p>
    <w:p w14:paraId="465151FE" w14:textId="1D62B69D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Для микрообучения критично обеспечить не только «потребление контента», но и устойчивое закрепление знаний. Исследования в когнитивной психологии показывают, что практика извлечения (</w:t>
      </w:r>
      <w:proofErr w:type="spellStart"/>
      <w:r w:rsidRPr="000C2467">
        <w:rPr>
          <w:rFonts w:cs="Arial"/>
          <w:sz w:val="28"/>
          <w:szCs w:val="28"/>
        </w:rPr>
        <w:t>retrieval</w:t>
      </w:r>
      <w:proofErr w:type="spellEnd"/>
      <w:r w:rsidRPr="000C2467">
        <w:rPr>
          <w:rFonts w:cs="Arial"/>
          <w:sz w:val="28"/>
          <w:szCs w:val="28"/>
        </w:rPr>
        <w:t xml:space="preserve"> </w:t>
      </w:r>
      <w:proofErr w:type="spellStart"/>
      <w:r w:rsidRPr="000C2467">
        <w:rPr>
          <w:rFonts w:cs="Arial"/>
          <w:sz w:val="28"/>
          <w:szCs w:val="28"/>
        </w:rPr>
        <w:t>practice</w:t>
      </w:r>
      <w:proofErr w:type="spellEnd"/>
      <w:r w:rsidRPr="000C2467">
        <w:rPr>
          <w:rFonts w:cs="Arial"/>
          <w:sz w:val="28"/>
          <w:szCs w:val="28"/>
        </w:rPr>
        <w:t>) и тестирование улучшают долговременное запоминание (</w:t>
      </w:r>
      <w:proofErr w:type="spellStart"/>
      <w:r w:rsidRPr="000C2467">
        <w:rPr>
          <w:rFonts w:cs="Arial"/>
          <w:sz w:val="28"/>
          <w:szCs w:val="28"/>
        </w:rPr>
        <w:t>testing</w:t>
      </w:r>
      <w:proofErr w:type="spellEnd"/>
      <w:r w:rsidRPr="000C2467">
        <w:rPr>
          <w:rFonts w:cs="Arial"/>
          <w:sz w:val="28"/>
          <w:szCs w:val="28"/>
        </w:rPr>
        <w:t xml:space="preserve"> </w:t>
      </w:r>
      <w:proofErr w:type="spellStart"/>
      <w:r w:rsidRPr="000C2467">
        <w:rPr>
          <w:rFonts w:cs="Arial"/>
          <w:sz w:val="28"/>
          <w:szCs w:val="28"/>
        </w:rPr>
        <w:t>effect</w:t>
      </w:r>
      <w:proofErr w:type="spellEnd"/>
      <w:r w:rsidRPr="000C2467">
        <w:rPr>
          <w:rFonts w:cs="Arial"/>
          <w:sz w:val="28"/>
          <w:szCs w:val="28"/>
        </w:rPr>
        <w:t xml:space="preserve">): тест выступает не только измерителем, но и инструментом обучения. </w:t>
      </w:r>
    </w:p>
    <w:p w14:paraId="38C34D86" w14:textId="6F0477D4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В работе </w:t>
      </w:r>
      <w:proofErr w:type="spellStart"/>
      <w:r w:rsidRPr="000C2467">
        <w:rPr>
          <w:rFonts w:cs="Arial"/>
          <w:sz w:val="28"/>
          <w:szCs w:val="28"/>
        </w:rPr>
        <w:t>Roediger</w:t>
      </w:r>
      <w:proofErr w:type="spellEnd"/>
      <w:r w:rsidRPr="000C2467">
        <w:rPr>
          <w:rFonts w:cs="Arial"/>
          <w:sz w:val="28"/>
          <w:szCs w:val="28"/>
        </w:rPr>
        <w:t xml:space="preserve"> &amp; </w:t>
      </w:r>
      <w:proofErr w:type="spellStart"/>
      <w:r w:rsidRPr="000C2467">
        <w:rPr>
          <w:rFonts w:cs="Arial"/>
          <w:sz w:val="28"/>
          <w:szCs w:val="28"/>
        </w:rPr>
        <w:t>Karpicke</w:t>
      </w:r>
      <w:proofErr w:type="spellEnd"/>
      <w:r w:rsidRPr="000C2467">
        <w:rPr>
          <w:rFonts w:cs="Arial"/>
          <w:sz w:val="28"/>
          <w:szCs w:val="28"/>
        </w:rPr>
        <w:t xml:space="preserve"> (2006) показано, что при отсроченной проверке (через 2 дня и 1 неделю) группы, практиковавшие тестирование, демонстрировали лучшую сохранность материала по сравнению с многократным перечитыванием; это подчёркивает ценность «коротких проверок» именно для долгосрочного удержания. </w:t>
      </w:r>
    </w:p>
    <w:p w14:paraId="3781D5C3" w14:textId="273E557F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Дополнительно, эффективность повышает распределённая практика (</w:t>
      </w:r>
      <w:proofErr w:type="spellStart"/>
      <w:r w:rsidRPr="000C2467">
        <w:rPr>
          <w:rFonts w:cs="Arial"/>
          <w:sz w:val="28"/>
          <w:szCs w:val="28"/>
        </w:rPr>
        <w:t>spacing</w:t>
      </w:r>
      <w:proofErr w:type="spellEnd"/>
      <w:r w:rsidRPr="000C2467">
        <w:rPr>
          <w:rFonts w:cs="Arial"/>
          <w:sz w:val="28"/>
          <w:szCs w:val="28"/>
        </w:rPr>
        <w:t>/</w:t>
      </w:r>
      <w:proofErr w:type="spellStart"/>
      <w:r w:rsidRPr="000C2467">
        <w:rPr>
          <w:rFonts w:cs="Arial"/>
          <w:sz w:val="28"/>
          <w:szCs w:val="28"/>
        </w:rPr>
        <w:t>distributed</w:t>
      </w:r>
      <w:proofErr w:type="spellEnd"/>
      <w:r w:rsidRPr="000C2467">
        <w:rPr>
          <w:rFonts w:cs="Arial"/>
          <w:sz w:val="28"/>
          <w:szCs w:val="28"/>
        </w:rPr>
        <w:t xml:space="preserve"> </w:t>
      </w:r>
      <w:proofErr w:type="spellStart"/>
      <w:r w:rsidRPr="000C2467">
        <w:rPr>
          <w:rFonts w:cs="Arial"/>
          <w:sz w:val="28"/>
          <w:szCs w:val="28"/>
        </w:rPr>
        <w:t>practice</w:t>
      </w:r>
      <w:proofErr w:type="spellEnd"/>
      <w:r w:rsidRPr="000C2467">
        <w:rPr>
          <w:rFonts w:cs="Arial"/>
          <w:sz w:val="28"/>
          <w:szCs w:val="28"/>
        </w:rPr>
        <w:t>). Мета</w:t>
      </w:r>
      <w:r w:rsidRPr="000C2467">
        <w:rPr>
          <w:rFonts w:cs="Arial"/>
          <w:sz w:val="28"/>
          <w:szCs w:val="28"/>
        </w:rPr>
        <w:noBreakHyphen/>
        <w:t xml:space="preserve">анализ </w:t>
      </w:r>
      <w:proofErr w:type="spellStart"/>
      <w:r w:rsidRPr="000C2467">
        <w:rPr>
          <w:rFonts w:cs="Arial"/>
          <w:sz w:val="28"/>
          <w:szCs w:val="28"/>
        </w:rPr>
        <w:t>Cepeda</w:t>
      </w:r>
      <w:proofErr w:type="spellEnd"/>
      <w:r w:rsidRPr="000C2467">
        <w:rPr>
          <w:rFonts w:cs="Arial"/>
          <w:sz w:val="28"/>
          <w:szCs w:val="28"/>
        </w:rPr>
        <w:t xml:space="preserve"> и </w:t>
      </w:r>
      <w:proofErr w:type="spellStart"/>
      <w:r w:rsidRPr="000C2467">
        <w:rPr>
          <w:rFonts w:cs="Arial"/>
          <w:sz w:val="28"/>
          <w:szCs w:val="28"/>
        </w:rPr>
        <w:t>соавт</w:t>
      </w:r>
      <w:proofErr w:type="spellEnd"/>
      <w:r w:rsidRPr="000C2467">
        <w:rPr>
          <w:rFonts w:cs="Arial"/>
          <w:sz w:val="28"/>
          <w:szCs w:val="28"/>
        </w:rPr>
        <w:t xml:space="preserve">. (2006) на большом массиве экспериментов показывает, что оптимальный интервал повторения связан с требуемым сроком удержания: интервал между повторениями и «интервал до итоговой проверки» совместно определяют результат. </w:t>
      </w:r>
    </w:p>
    <w:p w14:paraId="0AF269A4" w14:textId="5896AB81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На уровне прикладных рекомендаций (обобщения исследований по стратегиям обучения) выделяется, что практическое тестирование и распределённая практика относятся к методам высокой полезности (</w:t>
      </w:r>
      <w:proofErr w:type="spellStart"/>
      <w:r w:rsidRPr="000C2467">
        <w:rPr>
          <w:rFonts w:cs="Arial"/>
          <w:sz w:val="28"/>
          <w:szCs w:val="28"/>
        </w:rPr>
        <w:t>high</w:t>
      </w:r>
      <w:proofErr w:type="spellEnd"/>
      <w:r w:rsidRPr="000C2467">
        <w:rPr>
          <w:rFonts w:cs="Arial"/>
          <w:sz w:val="28"/>
          <w:szCs w:val="28"/>
        </w:rPr>
        <w:t xml:space="preserve"> </w:t>
      </w:r>
      <w:proofErr w:type="spellStart"/>
      <w:r w:rsidRPr="000C2467">
        <w:rPr>
          <w:rFonts w:cs="Arial"/>
          <w:sz w:val="28"/>
          <w:szCs w:val="28"/>
        </w:rPr>
        <w:t>utility</w:t>
      </w:r>
      <w:proofErr w:type="spellEnd"/>
      <w:r w:rsidRPr="000C2467">
        <w:rPr>
          <w:rFonts w:cs="Arial"/>
          <w:sz w:val="28"/>
          <w:szCs w:val="28"/>
        </w:rPr>
        <w:t xml:space="preserve">) для улучшения результатов обучения. </w:t>
      </w:r>
    </w:p>
    <w:p w14:paraId="3DC172D4" w14:textId="77777777" w:rsidR="000C2467" w:rsidRPr="000C2467" w:rsidRDefault="000C2467" w:rsidP="000C2467">
      <w:pPr>
        <w:spacing w:line="276" w:lineRule="auto"/>
        <w:rPr>
          <w:rFonts w:cs="Arial"/>
          <w:b/>
          <w:bCs/>
          <w:sz w:val="28"/>
          <w:szCs w:val="28"/>
        </w:rPr>
      </w:pPr>
      <w:r w:rsidRPr="000C2467">
        <w:rPr>
          <w:rFonts w:cs="Arial"/>
          <w:b/>
          <w:bCs/>
          <w:sz w:val="28"/>
          <w:szCs w:val="28"/>
        </w:rPr>
        <w:t>1.4. Автоматическая генерация тестов: состояние направления и практические ограничения</w:t>
      </w:r>
    </w:p>
    <w:p w14:paraId="415F064F" w14:textId="258D50C2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lastRenderedPageBreak/>
        <w:t>Создание качественных проверочных материалов вручную требует времени экспертов и методистов. Поэтому растёт интерес к автоматизации, в частности к автоматической генерации вопросов (</w:t>
      </w:r>
      <w:proofErr w:type="spellStart"/>
      <w:r w:rsidRPr="000C2467">
        <w:rPr>
          <w:rFonts w:cs="Arial"/>
          <w:sz w:val="28"/>
          <w:szCs w:val="28"/>
        </w:rPr>
        <w:t>Automatic</w:t>
      </w:r>
      <w:proofErr w:type="spellEnd"/>
      <w:r w:rsidRPr="000C2467">
        <w:rPr>
          <w:rFonts w:cs="Arial"/>
          <w:sz w:val="28"/>
          <w:szCs w:val="28"/>
        </w:rPr>
        <w:t xml:space="preserve"> </w:t>
      </w:r>
      <w:proofErr w:type="spellStart"/>
      <w:r w:rsidRPr="000C2467">
        <w:rPr>
          <w:rFonts w:cs="Arial"/>
          <w:sz w:val="28"/>
          <w:szCs w:val="28"/>
        </w:rPr>
        <w:t>Question</w:t>
      </w:r>
      <w:proofErr w:type="spellEnd"/>
      <w:r w:rsidRPr="000C2467">
        <w:rPr>
          <w:rFonts w:cs="Arial"/>
          <w:sz w:val="28"/>
          <w:szCs w:val="28"/>
        </w:rPr>
        <w:t xml:space="preserve"> Generation / </w:t>
      </w:r>
      <w:proofErr w:type="spellStart"/>
      <w:r w:rsidRPr="000C2467">
        <w:rPr>
          <w:rFonts w:cs="Arial"/>
          <w:sz w:val="28"/>
          <w:szCs w:val="28"/>
        </w:rPr>
        <w:t>Neural</w:t>
      </w:r>
      <w:proofErr w:type="spellEnd"/>
      <w:r w:rsidRPr="000C2467">
        <w:rPr>
          <w:rFonts w:cs="Arial"/>
          <w:sz w:val="28"/>
          <w:szCs w:val="28"/>
        </w:rPr>
        <w:t xml:space="preserve"> </w:t>
      </w:r>
      <w:proofErr w:type="spellStart"/>
      <w:r w:rsidRPr="000C2467">
        <w:rPr>
          <w:rFonts w:cs="Arial"/>
          <w:sz w:val="28"/>
          <w:szCs w:val="28"/>
        </w:rPr>
        <w:t>Question</w:t>
      </w:r>
      <w:proofErr w:type="spellEnd"/>
      <w:r w:rsidRPr="000C2467">
        <w:rPr>
          <w:rFonts w:cs="Arial"/>
          <w:sz w:val="28"/>
          <w:szCs w:val="28"/>
        </w:rPr>
        <w:t xml:space="preserve"> Generation) как к области NLP, где система формирует вопросы по входным данным (текст, знания, изображения и др.). Обзор </w:t>
      </w:r>
      <w:proofErr w:type="spellStart"/>
      <w:r w:rsidRPr="000C2467">
        <w:rPr>
          <w:rFonts w:cs="Arial"/>
          <w:sz w:val="28"/>
          <w:szCs w:val="28"/>
        </w:rPr>
        <w:t>Mulla</w:t>
      </w:r>
      <w:proofErr w:type="spellEnd"/>
      <w:r w:rsidRPr="000C2467">
        <w:rPr>
          <w:rFonts w:cs="Arial"/>
          <w:sz w:val="28"/>
          <w:szCs w:val="28"/>
        </w:rPr>
        <w:t xml:space="preserve"> &amp; </w:t>
      </w:r>
      <w:proofErr w:type="spellStart"/>
      <w:r w:rsidRPr="000C2467">
        <w:rPr>
          <w:rFonts w:cs="Arial"/>
          <w:sz w:val="28"/>
          <w:szCs w:val="28"/>
        </w:rPr>
        <w:t>Gharpure</w:t>
      </w:r>
      <w:proofErr w:type="spellEnd"/>
      <w:r w:rsidRPr="000C2467">
        <w:rPr>
          <w:rFonts w:cs="Arial"/>
          <w:sz w:val="28"/>
          <w:szCs w:val="28"/>
        </w:rPr>
        <w:t xml:space="preserve"> (2023) систематизирует методы, датасеты, метрики и применения, а также фиксирует типичные проблемы качества (естественность, смысловая релевантность, оценка качества). </w:t>
      </w:r>
    </w:p>
    <w:p w14:paraId="7581CFA0" w14:textId="496AE984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Отдельно развивается направление «NQG для образовательных целей». В открытой обзорной статье (International Journal </w:t>
      </w:r>
      <w:proofErr w:type="spellStart"/>
      <w:r w:rsidRPr="000C2467">
        <w:rPr>
          <w:rFonts w:cs="Arial"/>
          <w:sz w:val="28"/>
          <w:szCs w:val="28"/>
        </w:rPr>
        <w:t>of</w:t>
      </w:r>
      <w:proofErr w:type="spellEnd"/>
      <w:r w:rsidRPr="000C2467">
        <w:rPr>
          <w:rFonts w:cs="Arial"/>
          <w:sz w:val="28"/>
          <w:szCs w:val="28"/>
        </w:rPr>
        <w:t xml:space="preserve"> </w:t>
      </w:r>
      <w:proofErr w:type="spellStart"/>
      <w:r w:rsidRPr="000C2467">
        <w:rPr>
          <w:rFonts w:cs="Arial"/>
          <w:sz w:val="28"/>
          <w:szCs w:val="28"/>
        </w:rPr>
        <w:t>Artificial</w:t>
      </w:r>
      <w:proofErr w:type="spellEnd"/>
      <w:r w:rsidRPr="000C2467">
        <w:rPr>
          <w:rFonts w:cs="Arial"/>
          <w:sz w:val="28"/>
          <w:szCs w:val="28"/>
        </w:rPr>
        <w:t xml:space="preserve"> Intelligence </w:t>
      </w:r>
      <w:proofErr w:type="spellStart"/>
      <w:r w:rsidRPr="000C2467">
        <w:rPr>
          <w:rFonts w:cs="Arial"/>
          <w:sz w:val="28"/>
          <w:szCs w:val="28"/>
        </w:rPr>
        <w:t>in</w:t>
      </w:r>
      <w:proofErr w:type="spellEnd"/>
      <w:r w:rsidRPr="000C2467">
        <w:rPr>
          <w:rFonts w:cs="Arial"/>
          <w:sz w:val="28"/>
          <w:szCs w:val="28"/>
        </w:rPr>
        <w:t xml:space="preserve"> Education) подчёркивается, что генерация образовательно ценных вопросов сложнее, чем просто грамматически правильных: нужны контроль уровня сложности, соответствие целям обучения, валидность и уместность. </w:t>
      </w:r>
    </w:p>
    <w:p w14:paraId="10071F8B" w14:textId="2F401B7A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Обобщающий обзор IJCAI 2024 классифицирует нейронную генерацию вопросов по типу входных данных (структурированные, неструктурированные, гибридные), описывает датасеты, метрики и приложения, что важно для выбора подхода к генерации тестов в прикладной системе. </w:t>
      </w:r>
    </w:p>
    <w:p w14:paraId="7C51D90E" w14:textId="77777777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Типовые практические риски </w:t>
      </w:r>
      <w:proofErr w:type="spellStart"/>
      <w:r w:rsidRPr="000C2467">
        <w:rPr>
          <w:rFonts w:cs="Arial"/>
          <w:sz w:val="28"/>
          <w:szCs w:val="28"/>
        </w:rPr>
        <w:t>автогенерации</w:t>
      </w:r>
      <w:proofErr w:type="spellEnd"/>
      <w:r w:rsidRPr="000C2467">
        <w:rPr>
          <w:rFonts w:cs="Arial"/>
          <w:sz w:val="28"/>
          <w:szCs w:val="28"/>
        </w:rPr>
        <w:t xml:space="preserve"> тестов для корпоративного обучения:</w:t>
      </w:r>
    </w:p>
    <w:p w14:paraId="6B00EBD0" w14:textId="70F62D98" w:rsidR="000C2467" w:rsidRPr="000C2467" w:rsidRDefault="000C2467" w:rsidP="000C2467">
      <w:pPr>
        <w:numPr>
          <w:ilvl w:val="0"/>
          <w:numId w:val="10"/>
        </w:numPr>
        <w:spacing w:line="276" w:lineRule="auto"/>
        <w:rPr>
          <w:rFonts w:cs="Arial"/>
          <w:sz w:val="28"/>
          <w:szCs w:val="28"/>
        </w:rPr>
      </w:pPr>
      <w:proofErr w:type="spellStart"/>
      <w:r w:rsidRPr="000C2467">
        <w:rPr>
          <w:rFonts w:cs="Arial"/>
          <w:sz w:val="28"/>
          <w:szCs w:val="28"/>
        </w:rPr>
        <w:t>Невалидность</w:t>
      </w:r>
      <w:proofErr w:type="spellEnd"/>
      <w:r w:rsidRPr="000C2467">
        <w:rPr>
          <w:rFonts w:cs="Arial"/>
          <w:sz w:val="28"/>
          <w:szCs w:val="28"/>
        </w:rPr>
        <w:t xml:space="preserve"> по цели: вопрос «про текст», но не проверяет нужный навык/правило. </w:t>
      </w:r>
    </w:p>
    <w:p w14:paraId="1D6382FA" w14:textId="6DFF29DE" w:rsidR="000C2467" w:rsidRPr="000C2467" w:rsidRDefault="000C2467" w:rsidP="000C2467">
      <w:pPr>
        <w:numPr>
          <w:ilvl w:val="0"/>
          <w:numId w:val="10"/>
        </w:num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Неконтролируемая сложность: вопросы могут быть слишком простыми/сложными без явного задания критериев. </w:t>
      </w:r>
    </w:p>
    <w:p w14:paraId="0DA46067" w14:textId="57122415" w:rsidR="000C2467" w:rsidRPr="000C2467" w:rsidRDefault="000C2467" w:rsidP="000C2467">
      <w:pPr>
        <w:numPr>
          <w:ilvl w:val="0"/>
          <w:numId w:val="10"/>
        </w:num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Слабые </w:t>
      </w:r>
      <w:proofErr w:type="spellStart"/>
      <w:r w:rsidRPr="000C2467">
        <w:rPr>
          <w:rFonts w:cs="Arial"/>
          <w:sz w:val="28"/>
          <w:szCs w:val="28"/>
        </w:rPr>
        <w:t>дистракторы</w:t>
      </w:r>
      <w:proofErr w:type="spellEnd"/>
      <w:r w:rsidRPr="000C2467">
        <w:rPr>
          <w:rFonts w:cs="Arial"/>
          <w:sz w:val="28"/>
          <w:szCs w:val="28"/>
        </w:rPr>
        <w:t xml:space="preserve"> в MCQ: плохие варианты ответа снижают диагностическую ценность теста. (В обзорах подчёркивается сложность оценки качества и образовательной ценности). </w:t>
      </w:r>
    </w:p>
    <w:p w14:paraId="76131001" w14:textId="677D9035" w:rsidR="000C2467" w:rsidRPr="000C2467" w:rsidRDefault="000C2467" w:rsidP="000C2467">
      <w:pPr>
        <w:numPr>
          <w:ilvl w:val="0"/>
          <w:numId w:val="10"/>
        </w:num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Проблемы оценки качества: универсальные метрики качества вопросов остаются предметом исследований, поэтому на практике требуется контур экспертной валидации/редактирования. </w:t>
      </w:r>
    </w:p>
    <w:p w14:paraId="5EBBE56D" w14:textId="77777777" w:rsidR="000C2467" w:rsidRPr="000C2467" w:rsidRDefault="000C2467" w:rsidP="000C2467">
      <w:pPr>
        <w:spacing w:line="276" w:lineRule="auto"/>
        <w:rPr>
          <w:rFonts w:cs="Arial"/>
          <w:b/>
          <w:bCs/>
          <w:sz w:val="28"/>
          <w:szCs w:val="28"/>
        </w:rPr>
      </w:pPr>
      <w:r w:rsidRPr="000C2467">
        <w:rPr>
          <w:rFonts w:cs="Arial"/>
          <w:b/>
          <w:bCs/>
          <w:sz w:val="28"/>
          <w:szCs w:val="28"/>
        </w:rPr>
        <w:lastRenderedPageBreak/>
        <w:t>1.5. Аналитика обучения: зачем она нужна и на каких стандартах/подходах строится</w:t>
      </w:r>
    </w:p>
    <w:p w14:paraId="695D721E" w14:textId="77777777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Чтобы обучение было управляемым, недостаточно метрик «прошёл/не прошёл». Требуются данные о том, какие задания вызывают ошибки, где падает вовлечённость, какие темы «не заходят», как меняется результат при повторении, и как это связано с целями обучения/компетенциями.</w:t>
      </w:r>
    </w:p>
    <w:p w14:paraId="40EFDBD7" w14:textId="384025C0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proofErr w:type="spellStart"/>
      <w:r w:rsidRPr="000C2467">
        <w:rPr>
          <w:rFonts w:cs="Arial"/>
          <w:sz w:val="28"/>
          <w:szCs w:val="28"/>
        </w:rPr>
        <w:t>SoLAR</w:t>
      </w:r>
      <w:proofErr w:type="spellEnd"/>
      <w:r w:rsidRPr="000C2467">
        <w:rPr>
          <w:rFonts w:cs="Arial"/>
          <w:sz w:val="28"/>
          <w:szCs w:val="28"/>
        </w:rPr>
        <w:t xml:space="preserve"> определяет learning </w:t>
      </w:r>
      <w:proofErr w:type="spellStart"/>
      <w:r w:rsidRPr="000C2467">
        <w:rPr>
          <w:rFonts w:cs="Arial"/>
          <w:sz w:val="28"/>
          <w:szCs w:val="28"/>
        </w:rPr>
        <w:t>analytics</w:t>
      </w:r>
      <w:proofErr w:type="spellEnd"/>
      <w:r w:rsidRPr="000C2467">
        <w:rPr>
          <w:rFonts w:cs="Arial"/>
          <w:sz w:val="28"/>
          <w:szCs w:val="28"/>
        </w:rPr>
        <w:t xml:space="preserve"> как сбор, анализ, интерпретацию и коммуникацию данных об обучающихся и их обучении, дающих теоретически релевантные и применимые инсайты для улучшения обучения и преподавания; в 2025 году </w:t>
      </w:r>
      <w:proofErr w:type="spellStart"/>
      <w:r w:rsidRPr="000C2467">
        <w:rPr>
          <w:rFonts w:cs="Arial"/>
          <w:sz w:val="28"/>
          <w:szCs w:val="28"/>
        </w:rPr>
        <w:t>SoLAR</w:t>
      </w:r>
      <w:proofErr w:type="spellEnd"/>
      <w:r w:rsidRPr="000C2467">
        <w:rPr>
          <w:rFonts w:cs="Arial"/>
          <w:sz w:val="28"/>
          <w:szCs w:val="28"/>
        </w:rPr>
        <w:t xml:space="preserve"> публикует обновлённую формулировку определения. </w:t>
      </w:r>
    </w:p>
    <w:p w14:paraId="4CD19302" w14:textId="265C2690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С точки зрения цифровой архитектуры, аналитика требует событийного трекинга. Для индустриальных систем обучения широко используется экосистема </w:t>
      </w:r>
      <w:proofErr w:type="spellStart"/>
      <w:r w:rsidRPr="000C2467">
        <w:rPr>
          <w:rFonts w:cs="Arial"/>
          <w:sz w:val="28"/>
          <w:szCs w:val="28"/>
        </w:rPr>
        <w:t>xAPI</w:t>
      </w:r>
      <w:proofErr w:type="spellEnd"/>
      <w:r w:rsidRPr="000C2467">
        <w:rPr>
          <w:rFonts w:cs="Arial"/>
          <w:sz w:val="28"/>
          <w:szCs w:val="28"/>
        </w:rPr>
        <w:t xml:space="preserve"> + Learning Record Store (LRS): LRS выступает центральным хранилищем записей учебных событий. В открытом репозитории ADL указано, что их реализация LRS обновлялась под базовый стандарт IEEE 9274.1.1, также называемый </w:t>
      </w:r>
      <w:proofErr w:type="spellStart"/>
      <w:r w:rsidRPr="000C2467">
        <w:rPr>
          <w:rFonts w:cs="Arial"/>
          <w:sz w:val="28"/>
          <w:szCs w:val="28"/>
        </w:rPr>
        <w:t>xAPI</w:t>
      </w:r>
      <w:proofErr w:type="spellEnd"/>
      <w:r w:rsidRPr="000C2467">
        <w:rPr>
          <w:rFonts w:cs="Arial"/>
          <w:sz w:val="28"/>
          <w:szCs w:val="28"/>
        </w:rPr>
        <w:t xml:space="preserve"> 2.0. </w:t>
      </w:r>
    </w:p>
    <w:p w14:paraId="1F018DA5" w14:textId="189850B0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Для переносимости оценочных материалов (вопросов/тестов) между системами применяется стандарт QTI (</w:t>
      </w:r>
      <w:proofErr w:type="spellStart"/>
      <w:r w:rsidRPr="000C2467">
        <w:rPr>
          <w:rFonts w:cs="Arial"/>
          <w:sz w:val="28"/>
          <w:szCs w:val="28"/>
        </w:rPr>
        <w:t>Question</w:t>
      </w:r>
      <w:proofErr w:type="spellEnd"/>
      <w:r w:rsidRPr="000C2467">
        <w:rPr>
          <w:rFonts w:cs="Arial"/>
          <w:sz w:val="28"/>
          <w:szCs w:val="28"/>
        </w:rPr>
        <w:t xml:space="preserve"> &amp; Test </w:t>
      </w:r>
      <w:proofErr w:type="spellStart"/>
      <w:r w:rsidRPr="000C2467">
        <w:rPr>
          <w:rFonts w:cs="Arial"/>
          <w:sz w:val="28"/>
          <w:szCs w:val="28"/>
        </w:rPr>
        <w:t>Interoperability</w:t>
      </w:r>
      <w:proofErr w:type="spellEnd"/>
      <w:r w:rsidRPr="000C2467">
        <w:rPr>
          <w:rFonts w:cs="Arial"/>
          <w:sz w:val="28"/>
          <w:szCs w:val="28"/>
        </w:rPr>
        <w:t xml:space="preserve">): он описывается как способ «упаковывать и переносить» тесты и вопросы, обеспечивая интероперабельность между приложениями; актуальная ветка QTI 3 (релиз </w:t>
      </w:r>
      <w:proofErr w:type="spellStart"/>
      <w:r w:rsidRPr="000C2467">
        <w:rPr>
          <w:rFonts w:cs="Arial"/>
          <w:sz w:val="28"/>
          <w:szCs w:val="28"/>
        </w:rPr>
        <w:t>May</w:t>
      </w:r>
      <w:proofErr w:type="spellEnd"/>
      <w:r w:rsidRPr="000C2467">
        <w:rPr>
          <w:rFonts w:cs="Arial"/>
          <w:sz w:val="28"/>
          <w:szCs w:val="28"/>
        </w:rPr>
        <w:t xml:space="preserve"> 2022) развивает </w:t>
      </w:r>
      <w:proofErr w:type="spellStart"/>
      <w:r w:rsidRPr="000C2467">
        <w:rPr>
          <w:rFonts w:cs="Arial"/>
          <w:sz w:val="28"/>
          <w:szCs w:val="28"/>
        </w:rPr>
        <w:t>web</w:t>
      </w:r>
      <w:proofErr w:type="spellEnd"/>
      <w:r w:rsidRPr="000C2467">
        <w:rPr>
          <w:rFonts w:cs="Arial"/>
          <w:sz w:val="28"/>
          <w:szCs w:val="28"/>
        </w:rPr>
        <w:noBreakHyphen/>
        <w:t xml:space="preserve">совместимость и поддержку технологически расширенных интеракций. </w:t>
      </w:r>
    </w:p>
    <w:p w14:paraId="19A3A539" w14:textId="45A651AE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В контексте классических LMS важен также стандарт SCORM, описывающий механизм запуска учебного контента, коммуникацию контента с LMS и модель данных для трекинга опыта обучения (</w:t>
      </w:r>
      <w:proofErr w:type="spellStart"/>
      <w:r w:rsidRPr="000C2467">
        <w:rPr>
          <w:rFonts w:cs="Arial"/>
          <w:sz w:val="28"/>
          <w:szCs w:val="28"/>
        </w:rPr>
        <w:t>Run</w:t>
      </w:r>
      <w:proofErr w:type="spellEnd"/>
      <w:r w:rsidRPr="000C2467">
        <w:rPr>
          <w:rFonts w:cs="Arial"/>
          <w:sz w:val="28"/>
          <w:szCs w:val="28"/>
        </w:rPr>
        <w:noBreakHyphen/>
        <w:t xml:space="preserve">Time Environment). </w:t>
      </w:r>
    </w:p>
    <w:p w14:paraId="259D97A3" w14:textId="17AC3CD4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Промежуточный вывод: для веб</w:t>
      </w:r>
      <w:r w:rsidRPr="000C2467">
        <w:rPr>
          <w:rFonts w:cs="Arial"/>
          <w:sz w:val="28"/>
          <w:szCs w:val="28"/>
        </w:rPr>
        <w:noBreakHyphen/>
        <w:t>приложения микрообучения логично проектировать (1) событийную модель трекинга действий пользователя (</w:t>
      </w:r>
      <w:proofErr w:type="spellStart"/>
      <w:r w:rsidRPr="000C2467">
        <w:rPr>
          <w:rFonts w:cs="Arial"/>
          <w:sz w:val="28"/>
          <w:szCs w:val="28"/>
        </w:rPr>
        <w:t>xAPI</w:t>
      </w:r>
      <w:proofErr w:type="spellEnd"/>
      <w:r w:rsidRPr="000C2467">
        <w:rPr>
          <w:rFonts w:cs="Arial"/>
          <w:sz w:val="28"/>
          <w:szCs w:val="28"/>
        </w:rPr>
        <w:noBreakHyphen/>
        <w:t xml:space="preserve">подобные события), (2) сущности банка вопросов и результатов, совместимые по духу с QTI, (3) дашборды learning </w:t>
      </w:r>
      <w:proofErr w:type="spellStart"/>
      <w:r w:rsidRPr="000C2467">
        <w:rPr>
          <w:rFonts w:cs="Arial"/>
          <w:sz w:val="28"/>
          <w:szCs w:val="28"/>
        </w:rPr>
        <w:t>analytics</w:t>
      </w:r>
      <w:proofErr w:type="spellEnd"/>
      <w:r w:rsidRPr="000C2467">
        <w:rPr>
          <w:rFonts w:cs="Arial"/>
          <w:sz w:val="28"/>
          <w:szCs w:val="28"/>
        </w:rPr>
        <w:t xml:space="preserve">, позволяющие улучшать контент и управлять обучением. </w:t>
      </w:r>
    </w:p>
    <w:p w14:paraId="29CF1073" w14:textId="77777777" w:rsidR="000C2467" w:rsidRPr="000C2467" w:rsidRDefault="000C2467" w:rsidP="000C2467">
      <w:pPr>
        <w:spacing w:line="276" w:lineRule="auto"/>
        <w:rPr>
          <w:rFonts w:cs="Arial"/>
          <w:b/>
          <w:bCs/>
          <w:sz w:val="28"/>
          <w:szCs w:val="28"/>
        </w:rPr>
      </w:pPr>
      <w:r w:rsidRPr="000C2467">
        <w:rPr>
          <w:rFonts w:cs="Arial"/>
          <w:b/>
          <w:bCs/>
          <w:sz w:val="28"/>
          <w:szCs w:val="28"/>
        </w:rPr>
        <w:t>1.6. Итоговая постановка проблемы (противоречие, которое решает тема диссертации)</w:t>
      </w:r>
    </w:p>
    <w:p w14:paraId="07B6C327" w14:textId="77777777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lastRenderedPageBreak/>
        <w:t>Состояние проблемы можно сформулировать как противоречие:</w:t>
      </w:r>
    </w:p>
    <w:p w14:paraId="09696B90" w14:textId="0DD71ECB" w:rsidR="000C2467" w:rsidRPr="000C2467" w:rsidRDefault="000C2467" w:rsidP="000C2467">
      <w:pPr>
        <w:numPr>
          <w:ilvl w:val="0"/>
          <w:numId w:val="11"/>
        </w:num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компании нуждаются в непрерывном </w:t>
      </w:r>
      <w:proofErr w:type="spellStart"/>
      <w:r w:rsidRPr="000C2467">
        <w:rPr>
          <w:rFonts w:cs="Arial"/>
          <w:sz w:val="28"/>
          <w:szCs w:val="28"/>
        </w:rPr>
        <w:t>апскиллинге</w:t>
      </w:r>
      <w:proofErr w:type="spellEnd"/>
      <w:r w:rsidRPr="000C2467">
        <w:rPr>
          <w:rFonts w:cs="Arial"/>
          <w:sz w:val="28"/>
          <w:szCs w:val="28"/>
        </w:rPr>
        <w:t xml:space="preserve"> при дефиците времени и высокой нагрузке; </w:t>
      </w:r>
    </w:p>
    <w:p w14:paraId="2C50363A" w14:textId="15B786FE" w:rsidR="000C2467" w:rsidRPr="000C2467" w:rsidRDefault="000C2467" w:rsidP="000C2467">
      <w:pPr>
        <w:numPr>
          <w:ilvl w:val="0"/>
          <w:numId w:val="11"/>
        </w:num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микрообучение помогает «упаковать» обучение в короткие единицы, но без интерактивной практики и повторений эффект удержания снижается; </w:t>
      </w:r>
    </w:p>
    <w:p w14:paraId="1C3D0A6B" w14:textId="3CC2878E" w:rsidR="000C2467" w:rsidRPr="000C2467" w:rsidRDefault="000C2467" w:rsidP="000C2467">
      <w:pPr>
        <w:numPr>
          <w:ilvl w:val="0"/>
          <w:numId w:val="11"/>
        </w:num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создание интерактивных заданий и тестов вручную дорого, поэтому востребована автоматизация (генерация вопросов), но качество требует контроля и методической привязки к целям; </w:t>
      </w:r>
    </w:p>
    <w:p w14:paraId="6CC558F3" w14:textId="2EBFF8C6" w:rsidR="000C2467" w:rsidRPr="000C2467" w:rsidRDefault="000C2467" w:rsidP="000C2467">
      <w:pPr>
        <w:numPr>
          <w:ilvl w:val="0"/>
          <w:numId w:val="11"/>
        </w:num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для управления обучением нужна аналитика, основанная на корректном сборе событий и интерпретации данных (learning </w:t>
      </w:r>
      <w:proofErr w:type="spellStart"/>
      <w:r w:rsidRPr="000C2467">
        <w:rPr>
          <w:rFonts w:cs="Arial"/>
          <w:sz w:val="28"/>
          <w:szCs w:val="28"/>
        </w:rPr>
        <w:t>analytics</w:t>
      </w:r>
      <w:proofErr w:type="spellEnd"/>
      <w:r w:rsidRPr="000C2467">
        <w:rPr>
          <w:rFonts w:cs="Arial"/>
          <w:sz w:val="28"/>
          <w:szCs w:val="28"/>
        </w:rPr>
        <w:t xml:space="preserve">), а также на </w:t>
      </w:r>
      <w:proofErr w:type="spellStart"/>
      <w:r w:rsidRPr="000C2467">
        <w:rPr>
          <w:rFonts w:cs="Arial"/>
          <w:sz w:val="28"/>
          <w:szCs w:val="28"/>
        </w:rPr>
        <w:t>стандартоподобной</w:t>
      </w:r>
      <w:proofErr w:type="spellEnd"/>
      <w:r w:rsidRPr="000C2467">
        <w:rPr>
          <w:rFonts w:cs="Arial"/>
          <w:sz w:val="28"/>
          <w:szCs w:val="28"/>
        </w:rPr>
        <w:t xml:space="preserve"> модели данных/интероперабельности. </w:t>
      </w:r>
    </w:p>
    <w:p w14:paraId="29A7CC7B" w14:textId="77777777" w:rsidR="000C2467" w:rsidRPr="000C2467" w:rsidRDefault="000C2467" w:rsidP="000C2467">
      <w:pPr>
        <w:spacing w:line="276" w:lineRule="auto"/>
        <w:rPr>
          <w:rFonts w:cs="Arial"/>
          <w:b/>
          <w:bCs/>
          <w:sz w:val="28"/>
          <w:szCs w:val="28"/>
        </w:rPr>
      </w:pPr>
      <w:r w:rsidRPr="000C2467">
        <w:rPr>
          <w:rFonts w:cs="Arial"/>
          <w:b/>
          <w:bCs/>
          <w:sz w:val="28"/>
          <w:szCs w:val="28"/>
        </w:rPr>
        <w:t>2. Рабочие материалы для параграфа 1.1 магистерской диссертации (готовый текст)</w:t>
      </w:r>
    </w:p>
    <w:p w14:paraId="076A328F" w14:textId="77777777" w:rsidR="000C2467" w:rsidRPr="000C2467" w:rsidRDefault="000C2467" w:rsidP="000C2467">
      <w:pPr>
        <w:spacing w:line="276" w:lineRule="auto"/>
        <w:rPr>
          <w:rFonts w:cs="Arial"/>
          <w:b/>
          <w:bCs/>
          <w:sz w:val="28"/>
          <w:szCs w:val="28"/>
        </w:rPr>
      </w:pPr>
      <w:r w:rsidRPr="000C2467">
        <w:rPr>
          <w:rFonts w:cs="Arial"/>
          <w:b/>
          <w:bCs/>
          <w:sz w:val="28"/>
          <w:szCs w:val="28"/>
        </w:rPr>
        <w:t>1.1. Микрообучение сотрудников как формат корпоративного обучения: предпосылки и требования к цифровой платформе</w:t>
      </w:r>
    </w:p>
    <w:p w14:paraId="1022450F" w14:textId="4E242AA4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В условиях ускоряющихся изменений технологий и процессов организации сталкиваются с необходимостью непрерывного обновления компетенций сотрудников. При этом корпоративное обучение ограничено дефицитом времени: значимая доля работников указывает, что нагрузка и занятость являются главным препятствием для участия в обучении. Следовательно, возрастает роль форматов, которые позволяют учиться короткими интервалами, «встроенными» в рабочий день. </w:t>
      </w:r>
    </w:p>
    <w:p w14:paraId="0DC01144" w14:textId="598E962D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Одним из таких форматов является микрообучение (</w:t>
      </w:r>
      <w:proofErr w:type="spellStart"/>
      <w:r w:rsidRPr="000C2467">
        <w:rPr>
          <w:rFonts w:cs="Arial"/>
          <w:sz w:val="28"/>
          <w:szCs w:val="28"/>
        </w:rPr>
        <w:t>microlearning</w:t>
      </w:r>
      <w:proofErr w:type="spellEnd"/>
      <w:r w:rsidRPr="000C2467">
        <w:rPr>
          <w:rFonts w:cs="Arial"/>
          <w:sz w:val="28"/>
          <w:szCs w:val="28"/>
        </w:rPr>
        <w:t>). Микрообучение рассматривается как образовательная стратегия, фокусирующаяся на освоении нового материала небольшими самостоятельными единицами, которые можно потреблять по запросу и повторять при необходимости. Практико</w:t>
      </w:r>
      <w:r w:rsidRPr="000C2467">
        <w:rPr>
          <w:rFonts w:cs="Arial"/>
          <w:sz w:val="28"/>
          <w:szCs w:val="28"/>
        </w:rPr>
        <w:noBreakHyphen/>
        <w:t xml:space="preserve">ориентированная интерпретация микрообучения предполагает, что каждый микромодуль направлен на одну конкретную цель или разрыв в знаниях/навыках, а </w:t>
      </w:r>
      <w:r w:rsidRPr="000C2467">
        <w:rPr>
          <w:rFonts w:cs="Arial"/>
          <w:sz w:val="28"/>
          <w:szCs w:val="28"/>
        </w:rPr>
        <w:lastRenderedPageBreak/>
        <w:t xml:space="preserve">длительность и формат подбираются так, чтобы снизить когнитивную нагрузку и облегчить включение обучения в рабочий процесс. </w:t>
      </w:r>
    </w:p>
    <w:p w14:paraId="1C6315C1" w14:textId="33EB00E8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Несмотря на преимущества краткости и доступности, микрообучение не должно сводиться к «короткому потреблению контента». Для обеспечения образовательного эффекта необходимо включать механизмы активной работы обучаемого: выполнение задания, ответ на вопрос, применение правила в ситуации, получение обратной связи. Это соответствует эмпирически подтверждённому эффекту тестирования (</w:t>
      </w:r>
      <w:proofErr w:type="spellStart"/>
      <w:r w:rsidRPr="000C2467">
        <w:rPr>
          <w:rFonts w:cs="Arial"/>
          <w:sz w:val="28"/>
          <w:szCs w:val="28"/>
        </w:rPr>
        <w:t>testing</w:t>
      </w:r>
      <w:proofErr w:type="spellEnd"/>
      <w:r w:rsidRPr="000C2467">
        <w:rPr>
          <w:rFonts w:cs="Arial"/>
          <w:sz w:val="28"/>
          <w:szCs w:val="28"/>
        </w:rPr>
        <w:t xml:space="preserve"> </w:t>
      </w:r>
      <w:proofErr w:type="spellStart"/>
      <w:r w:rsidRPr="000C2467">
        <w:rPr>
          <w:rFonts w:cs="Arial"/>
          <w:sz w:val="28"/>
          <w:szCs w:val="28"/>
        </w:rPr>
        <w:t>effect</w:t>
      </w:r>
      <w:proofErr w:type="spellEnd"/>
      <w:r w:rsidRPr="000C2467">
        <w:rPr>
          <w:rFonts w:cs="Arial"/>
          <w:sz w:val="28"/>
          <w:szCs w:val="28"/>
        </w:rPr>
        <w:t xml:space="preserve">): исследования показывают, что практика извлечения информации из памяти посредством тестов повышает долговременное удержание материала по сравнению с повторным чтением/изучением, особенно при отсроченной проверке знаний. </w:t>
      </w:r>
    </w:p>
    <w:p w14:paraId="20463B7F" w14:textId="56C3E312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Дополнительным механизмом повышения долговременного удержания знаний является распределённая практика (</w:t>
      </w:r>
      <w:proofErr w:type="spellStart"/>
      <w:r w:rsidRPr="000C2467">
        <w:rPr>
          <w:rFonts w:cs="Arial"/>
          <w:sz w:val="28"/>
          <w:szCs w:val="28"/>
        </w:rPr>
        <w:t>distributed</w:t>
      </w:r>
      <w:proofErr w:type="spellEnd"/>
      <w:r w:rsidRPr="000C2467">
        <w:rPr>
          <w:rFonts w:cs="Arial"/>
          <w:sz w:val="28"/>
          <w:szCs w:val="28"/>
        </w:rPr>
        <w:t xml:space="preserve"> </w:t>
      </w:r>
      <w:proofErr w:type="spellStart"/>
      <w:r w:rsidRPr="000C2467">
        <w:rPr>
          <w:rFonts w:cs="Arial"/>
          <w:sz w:val="28"/>
          <w:szCs w:val="28"/>
        </w:rPr>
        <w:t>practice</w:t>
      </w:r>
      <w:proofErr w:type="spellEnd"/>
      <w:r w:rsidRPr="000C2467">
        <w:rPr>
          <w:rFonts w:cs="Arial"/>
          <w:sz w:val="28"/>
          <w:szCs w:val="28"/>
        </w:rPr>
        <w:t>). Мета</w:t>
      </w:r>
      <w:r w:rsidRPr="000C2467">
        <w:rPr>
          <w:rFonts w:cs="Arial"/>
          <w:sz w:val="28"/>
          <w:szCs w:val="28"/>
        </w:rPr>
        <w:noBreakHyphen/>
        <w:t xml:space="preserve">анализ исследований распределённого повторения демонстрирует, что интервал между повторениями и интервал до итогового контроля совместно определяют результат запоминания; при увеличении требуемого срока сохранения знаний оптимальный интервал повторения также увеличивается. Это означает, что проектирование микрообучения целесообразно дополнять планируемыми повторениями и накопительной практикой, а не ограничиваться разовым прохождением микромодуля. </w:t>
      </w:r>
    </w:p>
    <w:p w14:paraId="41653B52" w14:textId="77777777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С практической точки зрения важным направлением развития цифровых систем обучения становится автоматизация подготовки оценочных материалов. Создание банка вопросов вручную трудоёмко, поэтому актуально применение методов автоматической/нейронной генерации вопросов (AQG/NQG). Современные обзоры в области автоматической генерации вопросов систематизируют подходы, датасеты и метрики, а также фиксируют ключевые нерешённые проблемы: отсутствие универсальных метрик качества, недостаточная «естественность» и смысловая корректность ряда автоматически генерируемых вопросов, а также сложности формирования образовательной ценности вопросов (валидности по цели обучения, уровню сложности и т.п.). Следовательно, автоматическая генерация тестов в прикладной системе требует контура контроля качества и возможности экспертного редактирования. </w:t>
      </w:r>
      <w:hyperlink r:id="rId7" w:tgtFrame="_blank" w:history="1">
        <w:r w:rsidRPr="000C2467">
          <w:rPr>
            <w:rStyle w:val="ac"/>
            <w:rFonts w:cs="Arial"/>
            <w:sz w:val="28"/>
            <w:szCs w:val="28"/>
            <w:u w:val="none"/>
          </w:rPr>
          <w:t>8</w:t>
        </w:r>
      </w:hyperlink>
    </w:p>
    <w:p w14:paraId="63A19DDE" w14:textId="57724B69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lastRenderedPageBreak/>
        <w:t xml:space="preserve">Для повышения управляемости и эффективности корпоративного обучения необходима аналитика обучения (learning </w:t>
      </w:r>
      <w:proofErr w:type="spellStart"/>
      <w:r w:rsidRPr="000C2467">
        <w:rPr>
          <w:rFonts w:cs="Arial"/>
          <w:sz w:val="28"/>
          <w:szCs w:val="28"/>
        </w:rPr>
        <w:t>analytics</w:t>
      </w:r>
      <w:proofErr w:type="spellEnd"/>
      <w:r w:rsidRPr="000C2467">
        <w:rPr>
          <w:rFonts w:cs="Arial"/>
          <w:sz w:val="28"/>
          <w:szCs w:val="28"/>
        </w:rPr>
        <w:t xml:space="preserve">). Согласно </w:t>
      </w:r>
      <w:proofErr w:type="spellStart"/>
      <w:r w:rsidRPr="000C2467">
        <w:rPr>
          <w:rFonts w:cs="Arial"/>
          <w:sz w:val="28"/>
          <w:szCs w:val="28"/>
        </w:rPr>
        <w:t>SoLAR</w:t>
      </w:r>
      <w:proofErr w:type="spellEnd"/>
      <w:r w:rsidRPr="000C2467">
        <w:rPr>
          <w:rFonts w:cs="Arial"/>
          <w:sz w:val="28"/>
          <w:szCs w:val="28"/>
        </w:rPr>
        <w:t xml:space="preserve">, learning </w:t>
      </w:r>
      <w:proofErr w:type="spellStart"/>
      <w:r w:rsidRPr="000C2467">
        <w:rPr>
          <w:rFonts w:cs="Arial"/>
          <w:sz w:val="28"/>
          <w:szCs w:val="28"/>
        </w:rPr>
        <w:t>analytics</w:t>
      </w:r>
      <w:proofErr w:type="spellEnd"/>
      <w:r w:rsidRPr="000C2467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 </w:t>
      </w:r>
      <w:r w:rsidRPr="000C2467">
        <w:rPr>
          <w:rFonts w:cs="Arial"/>
          <w:sz w:val="28"/>
          <w:szCs w:val="28"/>
        </w:rPr>
        <w:t xml:space="preserve"> это сбор, анализ, интерпретация и коммуникация данных об обучающихся и их обучении, дающих применимые инсайты для улучшения обучения. Реализация аналитики в веб</w:t>
      </w:r>
      <w:r w:rsidRPr="000C2467">
        <w:rPr>
          <w:rFonts w:cs="Arial"/>
          <w:sz w:val="28"/>
          <w:szCs w:val="28"/>
        </w:rPr>
        <w:noBreakHyphen/>
        <w:t xml:space="preserve">приложении требует корректной модели данных и событийного трекинга пользовательских действий. </w:t>
      </w:r>
    </w:p>
    <w:p w14:paraId="4A3228C3" w14:textId="531B3FFA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В индустрии цифрового обучения для событийного учёта широко используется подход, близкий к </w:t>
      </w:r>
      <w:proofErr w:type="spellStart"/>
      <w:r w:rsidRPr="000C2467">
        <w:rPr>
          <w:rFonts w:cs="Arial"/>
          <w:sz w:val="28"/>
          <w:szCs w:val="28"/>
        </w:rPr>
        <w:t>xAPI</w:t>
      </w:r>
      <w:proofErr w:type="spellEnd"/>
      <w:r w:rsidRPr="000C2467">
        <w:rPr>
          <w:rFonts w:cs="Arial"/>
          <w:sz w:val="28"/>
          <w:szCs w:val="28"/>
        </w:rPr>
        <w:t xml:space="preserve"> и архитектуре с Learning Record Store (LRS) как центральным хранилищем записей учебных событий; при этом для переносимости тестов и вопросов между системами применяется стандарт QTI, обеспечивающий упаковку и обмен оценочными материалами. Кроме того, в корпоративном e</w:t>
      </w:r>
      <w:r w:rsidRPr="000C2467">
        <w:rPr>
          <w:rFonts w:cs="Arial"/>
          <w:sz w:val="28"/>
          <w:szCs w:val="28"/>
        </w:rPr>
        <w:noBreakHyphen/>
        <w:t>learning исторически распространён стандарт SCORM, описывающий запуск контента и передачу трекинговых данных в LMS. Указанные стандарты и подходы формируют основу требований к данным и аналитике в проектируемом веб</w:t>
      </w:r>
      <w:r w:rsidRPr="000C2467">
        <w:rPr>
          <w:rFonts w:cs="Arial"/>
          <w:sz w:val="28"/>
          <w:szCs w:val="28"/>
        </w:rPr>
        <w:noBreakHyphen/>
        <w:t xml:space="preserve">приложении микрообучения. </w:t>
      </w:r>
    </w:p>
    <w:p w14:paraId="584CDF29" w14:textId="3581E42C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>Таким образом, микрообучение сотрудников как формат корпоративного обучения является ответом на ограничения времени и потребность в непрерывном развитии навыков. Однако для достижения устойчивого эффекта микрообучение должно включать интерактивную практику, краткие формы контроля, механизмы повторения и аналитическую подсистему. Это обосновывает актуальность разработки веб</w:t>
      </w:r>
      <w:r w:rsidRPr="000C2467">
        <w:rPr>
          <w:rFonts w:cs="Arial"/>
          <w:sz w:val="28"/>
          <w:szCs w:val="28"/>
        </w:rPr>
        <w:noBreakHyphen/>
        <w:t xml:space="preserve">приложения для микрообучения сотрудников с интерактивными заданиями, автоматической генерацией тестов и аналитикой, а также определяет базовые требования к его функциональности и архитектуре данных. </w:t>
      </w:r>
    </w:p>
    <w:p w14:paraId="37F82F7D" w14:textId="4703536B" w:rsidR="000C2467" w:rsidRPr="000C2467" w:rsidRDefault="000C2467" w:rsidP="000C2467">
      <w:pPr>
        <w:spacing w:line="276" w:lineRule="auto"/>
        <w:rPr>
          <w:rFonts w:cs="Arial"/>
          <w:sz w:val="28"/>
          <w:szCs w:val="28"/>
        </w:rPr>
      </w:pPr>
      <w:r w:rsidRPr="000C2467">
        <w:rPr>
          <w:rFonts w:cs="Arial"/>
          <w:sz w:val="28"/>
          <w:szCs w:val="28"/>
        </w:rPr>
        <w:t xml:space="preserve">Таблица А.1 </w:t>
      </w:r>
      <w:r>
        <w:rPr>
          <w:rFonts w:cs="Arial"/>
          <w:sz w:val="28"/>
          <w:szCs w:val="28"/>
        </w:rPr>
        <w:t xml:space="preserve"> </w:t>
      </w:r>
      <w:r w:rsidRPr="000C2467">
        <w:rPr>
          <w:rFonts w:cs="Arial"/>
          <w:sz w:val="28"/>
          <w:szCs w:val="28"/>
        </w:rPr>
        <w:t xml:space="preserve"> Сравнение микрообучения и традиционного e</w:t>
      </w:r>
      <w:r w:rsidRPr="000C2467">
        <w:rPr>
          <w:rFonts w:cs="Arial"/>
          <w:sz w:val="28"/>
          <w:szCs w:val="28"/>
        </w:rPr>
        <w:noBreakHyphen/>
        <w:t>learning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3230"/>
        <w:gridCol w:w="3174"/>
      </w:tblGrid>
      <w:tr w:rsidR="000C2467" w:rsidRPr="000C2467" w14:paraId="5AA80C0E" w14:textId="77777777" w:rsidTr="000C24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28D5A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5F357F59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Микрообучение</w:t>
            </w:r>
          </w:p>
        </w:tc>
        <w:tc>
          <w:tcPr>
            <w:tcW w:w="0" w:type="auto"/>
            <w:vAlign w:val="center"/>
            <w:hideMark/>
          </w:tcPr>
          <w:p w14:paraId="22636861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Традиционный курс/модуль</w:t>
            </w:r>
          </w:p>
        </w:tc>
      </w:tr>
      <w:tr w:rsidR="000C2467" w:rsidRPr="000C2467" w14:paraId="615B1B21" w14:textId="77777777" w:rsidTr="000C2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657A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Учебная цель</w:t>
            </w:r>
          </w:p>
        </w:tc>
        <w:tc>
          <w:tcPr>
            <w:tcW w:w="0" w:type="auto"/>
            <w:vAlign w:val="center"/>
            <w:hideMark/>
          </w:tcPr>
          <w:p w14:paraId="5DB8E4D7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1 цель на микромодуль</w:t>
            </w:r>
          </w:p>
        </w:tc>
        <w:tc>
          <w:tcPr>
            <w:tcW w:w="0" w:type="auto"/>
            <w:vAlign w:val="center"/>
            <w:hideMark/>
          </w:tcPr>
          <w:p w14:paraId="192FFF20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несколько целей в одном модуле</w:t>
            </w:r>
          </w:p>
        </w:tc>
      </w:tr>
      <w:tr w:rsidR="000C2467" w:rsidRPr="000C2467" w14:paraId="1E455EAF" w14:textId="77777777" w:rsidTr="000C2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BD24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72610D74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минуты (часто ~несколько минут)</w:t>
            </w:r>
          </w:p>
        </w:tc>
        <w:tc>
          <w:tcPr>
            <w:tcW w:w="0" w:type="auto"/>
            <w:vAlign w:val="center"/>
            <w:hideMark/>
          </w:tcPr>
          <w:p w14:paraId="104E1341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десятки минут и более</w:t>
            </w:r>
          </w:p>
        </w:tc>
      </w:tr>
      <w:tr w:rsidR="000C2467" w:rsidRPr="000C2467" w14:paraId="3B0C82F3" w14:textId="77777777" w:rsidTr="000C2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30A5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lastRenderedPageBreak/>
              <w:t>Встраивание в работу</w:t>
            </w:r>
          </w:p>
        </w:tc>
        <w:tc>
          <w:tcPr>
            <w:tcW w:w="0" w:type="auto"/>
            <w:vAlign w:val="center"/>
            <w:hideMark/>
          </w:tcPr>
          <w:p w14:paraId="60AD184F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высокое (быстрый вход/выход)</w:t>
            </w:r>
          </w:p>
        </w:tc>
        <w:tc>
          <w:tcPr>
            <w:tcW w:w="0" w:type="auto"/>
            <w:vAlign w:val="center"/>
            <w:hideMark/>
          </w:tcPr>
          <w:p w14:paraId="6B8A7DE4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среднее/низкое (нужно выделять время)</w:t>
            </w:r>
          </w:p>
        </w:tc>
      </w:tr>
      <w:tr w:rsidR="000C2467" w:rsidRPr="000C2467" w14:paraId="4634E14D" w14:textId="77777777" w:rsidTr="000C2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6623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Ключевой риск</w:t>
            </w:r>
          </w:p>
        </w:tc>
        <w:tc>
          <w:tcPr>
            <w:tcW w:w="0" w:type="auto"/>
            <w:vAlign w:val="center"/>
            <w:hideMark/>
          </w:tcPr>
          <w:p w14:paraId="5F433FF4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фрагментация без структуры и аналитики</w:t>
            </w:r>
          </w:p>
        </w:tc>
        <w:tc>
          <w:tcPr>
            <w:tcW w:w="0" w:type="auto"/>
            <w:vAlign w:val="center"/>
            <w:hideMark/>
          </w:tcPr>
          <w:p w14:paraId="31F95B6B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низкая завершённость из</w:t>
            </w:r>
            <w:r w:rsidRPr="000C2467">
              <w:rPr>
                <w:rFonts w:cs="Arial"/>
                <w:sz w:val="28"/>
                <w:szCs w:val="28"/>
              </w:rPr>
              <w:noBreakHyphen/>
              <w:t>за длины</w:t>
            </w:r>
          </w:p>
        </w:tc>
      </w:tr>
      <w:tr w:rsidR="000C2467" w:rsidRPr="000C2467" w14:paraId="34FB6037" w14:textId="77777777" w:rsidTr="000C24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211C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Критический фактор эффективности</w:t>
            </w:r>
          </w:p>
        </w:tc>
        <w:tc>
          <w:tcPr>
            <w:tcW w:w="0" w:type="auto"/>
            <w:vAlign w:val="center"/>
            <w:hideMark/>
          </w:tcPr>
          <w:p w14:paraId="1A671CB8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интерактив + мини</w:t>
            </w:r>
            <w:r w:rsidRPr="000C2467">
              <w:rPr>
                <w:rFonts w:cs="Arial"/>
                <w:sz w:val="28"/>
                <w:szCs w:val="28"/>
              </w:rPr>
              <w:noBreakHyphen/>
              <w:t>контроль + повторение</w:t>
            </w:r>
          </w:p>
        </w:tc>
        <w:tc>
          <w:tcPr>
            <w:tcW w:w="0" w:type="auto"/>
            <w:vAlign w:val="center"/>
            <w:hideMark/>
          </w:tcPr>
          <w:p w14:paraId="00C587E7" w14:textId="77777777" w:rsidR="000C2467" w:rsidRPr="000C2467" w:rsidRDefault="000C2467" w:rsidP="000C2467">
            <w:pPr>
              <w:spacing w:line="276" w:lineRule="auto"/>
              <w:rPr>
                <w:rFonts w:cs="Arial"/>
                <w:sz w:val="28"/>
                <w:szCs w:val="28"/>
              </w:rPr>
            </w:pPr>
            <w:r w:rsidRPr="000C2467">
              <w:rPr>
                <w:rFonts w:cs="Arial"/>
                <w:sz w:val="28"/>
                <w:szCs w:val="28"/>
              </w:rPr>
              <w:t>программа курса + итоговый контроль</w:t>
            </w:r>
          </w:p>
        </w:tc>
      </w:tr>
    </w:tbl>
    <w:p w14:paraId="0E111B03" w14:textId="575740C7" w:rsidR="002A48C7" w:rsidRPr="000C2467" w:rsidRDefault="002A48C7" w:rsidP="00714273">
      <w:pPr>
        <w:spacing w:line="276" w:lineRule="auto"/>
        <w:rPr>
          <w:rFonts w:cs="Arial"/>
          <w:sz w:val="28"/>
          <w:szCs w:val="28"/>
        </w:rPr>
      </w:pPr>
    </w:p>
    <w:sectPr w:rsidR="002A48C7" w:rsidRPr="000C2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E5748" w14:textId="77777777" w:rsidR="003A15DA" w:rsidRDefault="003A15DA" w:rsidP="006F1A34">
      <w:pPr>
        <w:spacing w:after="0" w:line="240" w:lineRule="auto"/>
      </w:pPr>
      <w:r>
        <w:separator/>
      </w:r>
    </w:p>
  </w:endnote>
  <w:endnote w:type="continuationSeparator" w:id="0">
    <w:p w14:paraId="652AD0B1" w14:textId="77777777" w:rsidR="003A15DA" w:rsidRDefault="003A15DA" w:rsidP="006F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F964D" w14:textId="77777777" w:rsidR="003A15DA" w:rsidRDefault="003A15DA" w:rsidP="006F1A34">
      <w:pPr>
        <w:spacing w:after="0" w:line="240" w:lineRule="auto"/>
      </w:pPr>
      <w:r>
        <w:separator/>
      </w:r>
    </w:p>
  </w:footnote>
  <w:footnote w:type="continuationSeparator" w:id="0">
    <w:p w14:paraId="50ECBC82" w14:textId="77777777" w:rsidR="003A15DA" w:rsidRDefault="003A15DA" w:rsidP="006F1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3C50"/>
    <w:multiLevelType w:val="multilevel"/>
    <w:tmpl w:val="2EE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F7057"/>
    <w:multiLevelType w:val="multilevel"/>
    <w:tmpl w:val="FA1A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4639"/>
    <w:multiLevelType w:val="multilevel"/>
    <w:tmpl w:val="5BC2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976AE"/>
    <w:multiLevelType w:val="multilevel"/>
    <w:tmpl w:val="84E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A690F"/>
    <w:multiLevelType w:val="multilevel"/>
    <w:tmpl w:val="89F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51608"/>
    <w:multiLevelType w:val="multilevel"/>
    <w:tmpl w:val="F068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973C5"/>
    <w:multiLevelType w:val="multilevel"/>
    <w:tmpl w:val="290A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F3BAB"/>
    <w:multiLevelType w:val="multilevel"/>
    <w:tmpl w:val="ABDE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73EB3"/>
    <w:multiLevelType w:val="multilevel"/>
    <w:tmpl w:val="2CDA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74278"/>
    <w:multiLevelType w:val="multilevel"/>
    <w:tmpl w:val="7DA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84F89"/>
    <w:multiLevelType w:val="multilevel"/>
    <w:tmpl w:val="E0B2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90620A"/>
    <w:multiLevelType w:val="multilevel"/>
    <w:tmpl w:val="BEE0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580346">
    <w:abstractNumId w:val="2"/>
  </w:num>
  <w:num w:numId="2" w16cid:durableId="1797481571">
    <w:abstractNumId w:val="8"/>
  </w:num>
  <w:num w:numId="3" w16cid:durableId="1636058101">
    <w:abstractNumId w:val="9"/>
  </w:num>
  <w:num w:numId="4" w16cid:durableId="394400466">
    <w:abstractNumId w:val="5"/>
  </w:num>
  <w:num w:numId="5" w16cid:durableId="392001035">
    <w:abstractNumId w:val="6"/>
  </w:num>
  <w:num w:numId="6" w16cid:durableId="506405809">
    <w:abstractNumId w:val="0"/>
  </w:num>
  <w:num w:numId="7" w16cid:durableId="1651900795">
    <w:abstractNumId w:val="11"/>
  </w:num>
  <w:num w:numId="8" w16cid:durableId="958876462">
    <w:abstractNumId w:val="3"/>
  </w:num>
  <w:num w:numId="9" w16cid:durableId="1631746636">
    <w:abstractNumId w:val="10"/>
  </w:num>
  <w:num w:numId="10" w16cid:durableId="1379816172">
    <w:abstractNumId w:val="4"/>
  </w:num>
  <w:num w:numId="11" w16cid:durableId="1407023924">
    <w:abstractNumId w:val="7"/>
  </w:num>
  <w:num w:numId="12" w16cid:durableId="715816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6"/>
    <w:rsid w:val="000C2467"/>
    <w:rsid w:val="002A48C7"/>
    <w:rsid w:val="00303BD9"/>
    <w:rsid w:val="003A15DA"/>
    <w:rsid w:val="003D5AF7"/>
    <w:rsid w:val="006F1A34"/>
    <w:rsid w:val="00714273"/>
    <w:rsid w:val="0094799E"/>
    <w:rsid w:val="0099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E165C"/>
  <w15:chartTrackingRefBased/>
  <w15:docId w15:val="{62ECD908-F3A2-44E5-84E0-91FD34C9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7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7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7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7B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7B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7B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7B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7B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7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7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7B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7B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7B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7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7B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7BD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F1A3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F1A34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F1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F1A34"/>
  </w:style>
  <w:style w:type="paragraph" w:styleId="af0">
    <w:name w:val="footer"/>
    <w:basedOn w:val="a"/>
    <w:link w:val="af1"/>
    <w:uiPriority w:val="99"/>
    <w:unhideWhenUsed/>
    <w:rsid w:val="006F1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F1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007/s13748-023-00295-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2054</Words>
  <Characters>11712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воложанин влад</dc:creator>
  <cp:keywords/>
  <dc:description/>
  <cp:lastModifiedBy>воложанин влад</cp:lastModifiedBy>
  <cp:revision>1</cp:revision>
  <cp:lastPrinted>2025-12-27T03:02:00Z</cp:lastPrinted>
  <dcterms:created xsi:type="dcterms:W3CDTF">2025-12-27T02:37:00Z</dcterms:created>
  <dcterms:modified xsi:type="dcterms:W3CDTF">2025-12-27T03:02:00Z</dcterms:modified>
</cp:coreProperties>
</file>