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0CA70" w14:textId="77777777" w:rsidR="006F1A34" w:rsidRPr="00607460" w:rsidRDefault="006F1A34" w:rsidP="00607460">
      <w:pPr>
        <w:spacing w:line="276" w:lineRule="auto"/>
        <w:jc w:val="center"/>
        <w:rPr>
          <w:rFonts w:cs="Arial"/>
          <w:sz w:val="28"/>
          <w:szCs w:val="28"/>
        </w:rPr>
      </w:pPr>
    </w:p>
    <w:p w14:paraId="0CFB6E49" w14:textId="77777777" w:rsidR="006F1A34" w:rsidRPr="00607460" w:rsidRDefault="006F1A34" w:rsidP="00607460">
      <w:pPr>
        <w:spacing w:line="276" w:lineRule="auto"/>
        <w:jc w:val="center"/>
        <w:rPr>
          <w:rFonts w:cs="Arial"/>
          <w:sz w:val="28"/>
          <w:szCs w:val="28"/>
        </w:rPr>
      </w:pPr>
    </w:p>
    <w:p w14:paraId="5681157E" w14:textId="77777777" w:rsidR="006F1A34" w:rsidRPr="00607460" w:rsidRDefault="006F1A34" w:rsidP="00607460">
      <w:pPr>
        <w:spacing w:line="276" w:lineRule="auto"/>
        <w:jc w:val="center"/>
        <w:rPr>
          <w:rFonts w:cs="Arial"/>
          <w:sz w:val="28"/>
          <w:szCs w:val="28"/>
        </w:rPr>
      </w:pPr>
    </w:p>
    <w:p w14:paraId="6D792FB3" w14:textId="77777777" w:rsidR="006F1A34" w:rsidRPr="00607460" w:rsidRDefault="006F1A34" w:rsidP="00607460">
      <w:pPr>
        <w:spacing w:line="276" w:lineRule="auto"/>
        <w:rPr>
          <w:rFonts w:cs="Arial"/>
          <w:sz w:val="28"/>
          <w:szCs w:val="28"/>
        </w:rPr>
      </w:pPr>
    </w:p>
    <w:p w14:paraId="1973306B" w14:textId="77777777" w:rsidR="006F1A34" w:rsidRPr="00607460" w:rsidRDefault="006F1A34" w:rsidP="00607460">
      <w:pPr>
        <w:spacing w:line="276" w:lineRule="auto"/>
        <w:jc w:val="center"/>
        <w:rPr>
          <w:rFonts w:cs="Arial"/>
          <w:sz w:val="28"/>
          <w:szCs w:val="28"/>
        </w:rPr>
      </w:pPr>
    </w:p>
    <w:p w14:paraId="3798FCBC" w14:textId="77777777" w:rsidR="006F1A34" w:rsidRPr="00607460" w:rsidRDefault="006F1A34" w:rsidP="00607460">
      <w:pPr>
        <w:spacing w:line="276" w:lineRule="auto"/>
        <w:jc w:val="center"/>
        <w:rPr>
          <w:rFonts w:cs="Arial"/>
          <w:sz w:val="28"/>
          <w:szCs w:val="28"/>
        </w:rPr>
      </w:pPr>
    </w:p>
    <w:p w14:paraId="1083AACA" w14:textId="77777777" w:rsidR="006F1A34" w:rsidRPr="00607460" w:rsidRDefault="006F1A34" w:rsidP="00607460">
      <w:pPr>
        <w:spacing w:line="276" w:lineRule="auto"/>
        <w:jc w:val="center"/>
        <w:rPr>
          <w:rFonts w:cs="Arial"/>
          <w:sz w:val="28"/>
          <w:szCs w:val="28"/>
        </w:rPr>
      </w:pPr>
    </w:p>
    <w:p w14:paraId="0EB7DFAB" w14:textId="77777777" w:rsidR="006F1A34" w:rsidRPr="00607460" w:rsidRDefault="006F1A34" w:rsidP="00607460">
      <w:pPr>
        <w:spacing w:line="276" w:lineRule="auto"/>
        <w:jc w:val="center"/>
        <w:rPr>
          <w:rFonts w:cs="Arial"/>
          <w:sz w:val="28"/>
          <w:szCs w:val="28"/>
        </w:rPr>
      </w:pPr>
    </w:p>
    <w:p w14:paraId="0447785D" w14:textId="3A124285" w:rsidR="006F1A34" w:rsidRPr="00607460" w:rsidRDefault="00997BD6" w:rsidP="00607460">
      <w:pPr>
        <w:spacing w:line="276" w:lineRule="auto"/>
        <w:jc w:val="center"/>
        <w:rPr>
          <w:rFonts w:cs="Arial"/>
          <w:b/>
          <w:bCs/>
          <w:sz w:val="28"/>
          <w:szCs w:val="28"/>
        </w:rPr>
      </w:pPr>
      <w:r w:rsidRPr="00997BD6">
        <w:rPr>
          <w:rFonts w:cs="Arial"/>
          <w:b/>
          <w:bCs/>
          <w:sz w:val="28"/>
          <w:szCs w:val="28"/>
        </w:rPr>
        <w:t>Задание 1.</w:t>
      </w:r>
      <w:r w:rsidR="00093DA7" w:rsidRPr="00607460">
        <w:rPr>
          <w:rFonts w:cs="Arial"/>
          <w:b/>
          <w:bCs/>
          <w:sz w:val="28"/>
          <w:szCs w:val="28"/>
        </w:rPr>
        <w:t>3</w:t>
      </w:r>
      <w:r w:rsidRPr="00997BD6">
        <w:rPr>
          <w:rFonts w:cs="Arial"/>
          <w:b/>
          <w:bCs/>
          <w:sz w:val="28"/>
          <w:szCs w:val="28"/>
        </w:rPr>
        <w:t>. ИСР</w:t>
      </w:r>
    </w:p>
    <w:p w14:paraId="40DB8729" w14:textId="77777777" w:rsidR="006F1A34" w:rsidRPr="00607460" w:rsidRDefault="006F1A34" w:rsidP="00607460">
      <w:pPr>
        <w:spacing w:line="276" w:lineRule="auto"/>
        <w:rPr>
          <w:rFonts w:cs="Arial"/>
          <w:b/>
          <w:bCs/>
          <w:sz w:val="28"/>
          <w:szCs w:val="28"/>
        </w:rPr>
      </w:pPr>
    </w:p>
    <w:p w14:paraId="78F0F84E" w14:textId="77777777" w:rsidR="006F1A34" w:rsidRPr="00607460" w:rsidRDefault="006F1A34" w:rsidP="00607460">
      <w:pPr>
        <w:spacing w:line="276" w:lineRule="auto"/>
        <w:jc w:val="center"/>
        <w:rPr>
          <w:rFonts w:cs="Arial"/>
          <w:b/>
          <w:bCs/>
          <w:sz w:val="28"/>
          <w:szCs w:val="28"/>
        </w:rPr>
      </w:pPr>
    </w:p>
    <w:p w14:paraId="3227C722" w14:textId="5B77F1A7" w:rsidR="006F1A34" w:rsidRPr="00607460" w:rsidRDefault="00997BD6" w:rsidP="00607460">
      <w:pPr>
        <w:spacing w:line="276" w:lineRule="auto"/>
        <w:jc w:val="center"/>
        <w:rPr>
          <w:rFonts w:cs="Arial"/>
          <w:b/>
          <w:bCs/>
          <w:sz w:val="28"/>
          <w:szCs w:val="28"/>
        </w:rPr>
      </w:pPr>
      <w:r w:rsidRPr="00607460">
        <w:rPr>
          <w:rFonts w:cs="Arial"/>
          <w:b/>
          <w:bCs/>
          <w:sz w:val="28"/>
          <w:szCs w:val="28"/>
        </w:rPr>
        <w:t>«</w:t>
      </w:r>
      <w:r w:rsidR="00093DA7" w:rsidRPr="00607460">
        <w:rPr>
          <w:rFonts w:cs="Arial"/>
          <w:b/>
          <w:bCs/>
          <w:sz w:val="28"/>
          <w:szCs w:val="28"/>
        </w:rPr>
        <w:t>Провести сопоставительный анализ изученных источников</w:t>
      </w:r>
      <w:r w:rsidRPr="00607460">
        <w:rPr>
          <w:rFonts w:cs="Arial"/>
          <w:b/>
          <w:bCs/>
          <w:sz w:val="28"/>
          <w:szCs w:val="28"/>
        </w:rPr>
        <w:t>»</w:t>
      </w:r>
    </w:p>
    <w:p w14:paraId="53496B5C" w14:textId="77777777" w:rsidR="006F1A34" w:rsidRPr="00607460" w:rsidRDefault="006F1A34" w:rsidP="00607460">
      <w:pPr>
        <w:spacing w:line="276" w:lineRule="auto"/>
        <w:jc w:val="center"/>
        <w:rPr>
          <w:rFonts w:cs="Arial"/>
          <w:sz w:val="28"/>
          <w:szCs w:val="28"/>
        </w:rPr>
      </w:pPr>
    </w:p>
    <w:p w14:paraId="5F399149" w14:textId="77777777" w:rsidR="006F1A34" w:rsidRPr="00607460" w:rsidRDefault="006F1A34" w:rsidP="00607460">
      <w:pPr>
        <w:spacing w:line="276" w:lineRule="auto"/>
        <w:jc w:val="center"/>
        <w:rPr>
          <w:rFonts w:cs="Arial"/>
          <w:sz w:val="28"/>
          <w:szCs w:val="28"/>
        </w:rPr>
      </w:pPr>
    </w:p>
    <w:p w14:paraId="6EDDEBE0" w14:textId="77777777" w:rsidR="006F1A34" w:rsidRPr="00607460" w:rsidRDefault="006F1A34" w:rsidP="00607460">
      <w:pPr>
        <w:spacing w:line="276" w:lineRule="auto"/>
        <w:jc w:val="center"/>
        <w:rPr>
          <w:rFonts w:cs="Arial"/>
          <w:sz w:val="28"/>
          <w:szCs w:val="28"/>
        </w:rPr>
      </w:pPr>
    </w:p>
    <w:p w14:paraId="4CB064C8" w14:textId="77777777" w:rsidR="006F1A34" w:rsidRPr="00607460" w:rsidRDefault="006F1A34" w:rsidP="00607460">
      <w:pPr>
        <w:spacing w:line="276" w:lineRule="auto"/>
        <w:jc w:val="center"/>
        <w:rPr>
          <w:rFonts w:cs="Arial"/>
          <w:sz w:val="28"/>
          <w:szCs w:val="28"/>
        </w:rPr>
      </w:pPr>
    </w:p>
    <w:p w14:paraId="5FB9D87D" w14:textId="77777777" w:rsidR="006F1A34" w:rsidRPr="00607460" w:rsidRDefault="006F1A34" w:rsidP="00607460">
      <w:pPr>
        <w:spacing w:line="276" w:lineRule="auto"/>
        <w:jc w:val="center"/>
        <w:rPr>
          <w:rFonts w:cs="Arial"/>
          <w:sz w:val="28"/>
          <w:szCs w:val="28"/>
        </w:rPr>
      </w:pPr>
    </w:p>
    <w:p w14:paraId="0EDD0586" w14:textId="77777777" w:rsidR="006F1A34" w:rsidRPr="00607460" w:rsidRDefault="006F1A34" w:rsidP="00607460">
      <w:pPr>
        <w:spacing w:line="276" w:lineRule="auto"/>
        <w:rPr>
          <w:rFonts w:cs="Arial"/>
          <w:sz w:val="28"/>
          <w:szCs w:val="28"/>
        </w:rPr>
      </w:pPr>
    </w:p>
    <w:p w14:paraId="659DB3F2" w14:textId="77777777" w:rsidR="006F1A34" w:rsidRPr="00607460" w:rsidRDefault="006F1A34" w:rsidP="00607460">
      <w:pPr>
        <w:spacing w:line="276" w:lineRule="auto"/>
        <w:jc w:val="center"/>
        <w:rPr>
          <w:rFonts w:cs="Arial"/>
          <w:sz w:val="28"/>
          <w:szCs w:val="28"/>
        </w:rPr>
      </w:pPr>
    </w:p>
    <w:p w14:paraId="0AA0C245" w14:textId="77777777" w:rsidR="006F1A34" w:rsidRPr="00607460" w:rsidRDefault="006F1A34" w:rsidP="00607460">
      <w:pPr>
        <w:spacing w:line="276" w:lineRule="auto"/>
        <w:jc w:val="center"/>
        <w:rPr>
          <w:rFonts w:cs="Arial"/>
          <w:sz w:val="28"/>
          <w:szCs w:val="28"/>
        </w:rPr>
      </w:pPr>
    </w:p>
    <w:p w14:paraId="75D52B19" w14:textId="77777777" w:rsidR="006F1A34" w:rsidRPr="00607460" w:rsidRDefault="006F1A34" w:rsidP="00607460">
      <w:pPr>
        <w:spacing w:line="276" w:lineRule="auto"/>
        <w:jc w:val="center"/>
        <w:rPr>
          <w:rFonts w:cs="Arial"/>
          <w:sz w:val="28"/>
          <w:szCs w:val="28"/>
        </w:rPr>
      </w:pPr>
    </w:p>
    <w:p w14:paraId="7241F13E" w14:textId="77777777" w:rsidR="000C2467" w:rsidRPr="00607460" w:rsidRDefault="000C2467" w:rsidP="00607460">
      <w:pPr>
        <w:spacing w:line="276" w:lineRule="auto"/>
        <w:jc w:val="center"/>
        <w:rPr>
          <w:rFonts w:cs="Arial"/>
          <w:sz w:val="28"/>
          <w:szCs w:val="28"/>
        </w:rPr>
      </w:pPr>
    </w:p>
    <w:p w14:paraId="62A5964E" w14:textId="77777777" w:rsidR="006F1A34" w:rsidRPr="00607460" w:rsidRDefault="006F1A34" w:rsidP="00607460">
      <w:pPr>
        <w:spacing w:line="276" w:lineRule="auto"/>
        <w:jc w:val="center"/>
        <w:rPr>
          <w:rFonts w:cs="Arial"/>
          <w:sz w:val="28"/>
          <w:szCs w:val="28"/>
        </w:rPr>
      </w:pPr>
    </w:p>
    <w:p w14:paraId="76DE3685" w14:textId="77777777" w:rsidR="00093DA7" w:rsidRPr="00607460" w:rsidRDefault="00093DA7" w:rsidP="00607460">
      <w:pPr>
        <w:spacing w:line="276" w:lineRule="auto"/>
        <w:jc w:val="center"/>
        <w:rPr>
          <w:rFonts w:cs="Arial"/>
          <w:sz w:val="28"/>
          <w:szCs w:val="28"/>
        </w:rPr>
      </w:pPr>
    </w:p>
    <w:p w14:paraId="5614A653" w14:textId="40B049F8" w:rsidR="002A48C7" w:rsidRPr="00607460" w:rsidRDefault="006F1A34" w:rsidP="00607460">
      <w:pPr>
        <w:spacing w:line="276" w:lineRule="auto"/>
        <w:jc w:val="right"/>
        <w:rPr>
          <w:rFonts w:cs="Arial"/>
          <w:sz w:val="28"/>
          <w:szCs w:val="28"/>
        </w:rPr>
      </w:pPr>
      <w:r w:rsidRPr="00607460">
        <w:rPr>
          <w:rFonts w:cs="Arial"/>
          <w:sz w:val="28"/>
          <w:szCs w:val="28"/>
        </w:rPr>
        <w:t>Автор</w:t>
      </w:r>
      <w:r w:rsidRPr="00607460">
        <w:rPr>
          <w:rFonts w:cs="Arial"/>
          <w:sz w:val="28"/>
          <w:szCs w:val="28"/>
          <w:lang w:val="en-US"/>
        </w:rPr>
        <w:t>:</w:t>
      </w:r>
    </w:p>
    <w:p w14:paraId="5DD1FA99" w14:textId="72AB4605" w:rsidR="00093DA7" w:rsidRPr="00607460" w:rsidRDefault="006F1A34" w:rsidP="00607460">
      <w:pPr>
        <w:spacing w:line="276" w:lineRule="auto"/>
        <w:jc w:val="right"/>
        <w:rPr>
          <w:rFonts w:cs="Arial"/>
          <w:sz w:val="28"/>
          <w:szCs w:val="28"/>
        </w:rPr>
      </w:pPr>
      <w:r w:rsidRPr="00607460">
        <w:rPr>
          <w:rFonts w:cs="Arial"/>
          <w:sz w:val="28"/>
          <w:szCs w:val="28"/>
        </w:rPr>
        <w:t>Воложанин Владислав Олегович</w:t>
      </w:r>
    </w:p>
    <w:p w14:paraId="09D5D4DF" w14:textId="7024504F" w:rsidR="00607460" w:rsidRPr="00607460" w:rsidRDefault="00093DA7" w:rsidP="00607460">
      <w:pPr>
        <w:spacing w:line="276" w:lineRule="auto"/>
        <w:rPr>
          <w:rFonts w:cs="Arial"/>
          <w:b/>
          <w:bCs/>
          <w:sz w:val="28"/>
          <w:szCs w:val="28"/>
        </w:rPr>
      </w:pPr>
      <w:r w:rsidRPr="00607460">
        <w:rPr>
          <w:rFonts w:cs="Arial"/>
          <w:b/>
          <w:bCs/>
          <w:sz w:val="28"/>
          <w:szCs w:val="28"/>
        </w:rPr>
        <w:br w:type="page"/>
      </w:r>
      <w:r w:rsidR="00607460" w:rsidRPr="00607460">
        <w:rPr>
          <w:rFonts w:cs="Arial"/>
          <w:b/>
          <w:bCs/>
          <w:sz w:val="28"/>
          <w:szCs w:val="28"/>
        </w:rPr>
        <w:lastRenderedPageBreak/>
        <w:t>1) Сравнение источников по типу, доказательности и роли в диссертации</w:t>
      </w:r>
    </w:p>
    <w:tbl>
      <w:tblPr>
        <w:tblW w:w="11625" w:type="dxa"/>
        <w:tblCellSpacing w:w="15" w:type="dxa"/>
        <w:tblInd w:w="-15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104"/>
        <w:gridCol w:w="1233"/>
        <w:gridCol w:w="2767"/>
        <w:gridCol w:w="1348"/>
        <w:gridCol w:w="1770"/>
        <w:gridCol w:w="1985"/>
      </w:tblGrid>
      <w:tr w:rsidR="00607460" w:rsidRPr="00607460" w14:paraId="717B4E8C" w14:textId="77777777" w:rsidTr="00607460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6B541CA4" w14:textId="77777777" w:rsidR="00607460" w:rsidRPr="00607460" w:rsidRDefault="00607460" w:rsidP="00607460">
            <w:pPr>
              <w:spacing w:line="276" w:lineRule="auto"/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607460">
              <w:rPr>
                <w:rFonts w:cs="Arial"/>
                <w:b/>
                <w:bCs/>
                <w:sz w:val="22"/>
                <w:szCs w:val="22"/>
              </w:rPr>
              <w:t>Группа</w:t>
            </w:r>
          </w:p>
        </w:tc>
        <w:tc>
          <w:tcPr>
            <w:tcW w:w="1074" w:type="dxa"/>
            <w:vAlign w:val="center"/>
            <w:hideMark/>
          </w:tcPr>
          <w:p w14:paraId="14DBB12C" w14:textId="77777777" w:rsidR="00607460" w:rsidRPr="00607460" w:rsidRDefault="00607460" w:rsidP="00607460">
            <w:pPr>
              <w:spacing w:line="276" w:lineRule="auto"/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607460">
              <w:rPr>
                <w:rFonts w:cs="Arial"/>
                <w:b/>
                <w:bCs/>
                <w:sz w:val="22"/>
                <w:szCs w:val="22"/>
              </w:rPr>
              <w:t>Источник</w:t>
            </w:r>
          </w:p>
        </w:tc>
        <w:tc>
          <w:tcPr>
            <w:tcW w:w="1203" w:type="dxa"/>
            <w:vAlign w:val="center"/>
            <w:hideMark/>
          </w:tcPr>
          <w:p w14:paraId="4B28A68C" w14:textId="77777777" w:rsidR="00607460" w:rsidRPr="00607460" w:rsidRDefault="00607460" w:rsidP="00607460">
            <w:pPr>
              <w:spacing w:line="276" w:lineRule="auto"/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607460">
              <w:rPr>
                <w:rFonts w:cs="Arial"/>
                <w:b/>
                <w:bCs/>
                <w:sz w:val="22"/>
                <w:szCs w:val="22"/>
              </w:rPr>
              <w:t>Тип / аудитория</w:t>
            </w:r>
          </w:p>
        </w:tc>
        <w:tc>
          <w:tcPr>
            <w:tcW w:w="2737" w:type="dxa"/>
            <w:vAlign w:val="center"/>
            <w:hideMark/>
          </w:tcPr>
          <w:p w14:paraId="718A2039" w14:textId="77777777" w:rsidR="00607460" w:rsidRPr="00607460" w:rsidRDefault="00607460" w:rsidP="00607460">
            <w:pPr>
              <w:spacing w:line="276" w:lineRule="auto"/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607460">
              <w:rPr>
                <w:rFonts w:cs="Arial"/>
                <w:b/>
                <w:bCs/>
                <w:sz w:val="22"/>
                <w:szCs w:val="22"/>
              </w:rPr>
              <w:t>Что утверждает / что даёт</w:t>
            </w:r>
          </w:p>
        </w:tc>
        <w:tc>
          <w:tcPr>
            <w:tcW w:w="1318" w:type="dxa"/>
            <w:vAlign w:val="center"/>
            <w:hideMark/>
          </w:tcPr>
          <w:p w14:paraId="5B0322F7" w14:textId="77777777" w:rsidR="00607460" w:rsidRPr="00607460" w:rsidRDefault="00607460" w:rsidP="00607460">
            <w:pPr>
              <w:spacing w:line="276" w:lineRule="auto"/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607460">
              <w:rPr>
                <w:rFonts w:cs="Arial"/>
                <w:b/>
                <w:bCs/>
                <w:sz w:val="22"/>
                <w:szCs w:val="22"/>
              </w:rPr>
              <w:t>Сильные стороны</w:t>
            </w:r>
          </w:p>
        </w:tc>
        <w:tc>
          <w:tcPr>
            <w:tcW w:w="1740" w:type="dxa"/>
            <w:vAlign w:val="center"/>
            <w:hideMark/>
          </w:tcPr>
          <w:p w14:paraId="22614C1A" w14:textId="77777777" w:rsidR="00607460" w:rsidRPr="00607460" w:rsidRDefault="00607460" w:rsidP="00607460">
            <w:pPr>
              <w:spacing w:line="276" w:lineRule="auto"/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607460">
              <w:rPr>
                <w:rFonts w:cs="Arial"/>
                <w:b/>
                <w:bCs/>
                <w:sz w:val="22"/>
                <w:szCs w:val="22"/>
              </w:rPr>
              <w:t>Ограничения</w:t>
            </w:r>
          </w:p>
        </w:tc>
        <w:tc>
          <w:tcPr>
            <w:tcW w:w="1940" w:type="dxa"/>
            <w:vAlign w:val="center"/>
            <w:hideMark/>
          </w:tcPr>
          <w:p w14:paraId="09B14A47" w14:textId="77777777" w:rsidR="00607460" w:rsidRPr="00607460" w:rsidRDefault="00607460" w:rsidP="00607460">
            <w:pPr>
              <w:spacing w:line="276" w:lineRule="auto"/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607460">
              <w:rPr>
                <w:rFonts w:cs="Arial"/>
                <w:b/>
                <w:bCs/>
                <w:sz w:val="22"/>
                <w:szCs w:val="22"/>
              </w:rPr>
              <w:t>Как использовать в диссертации</w:t>
            </w:r>
          </w:p>
        </w:tc>
      </w:tr>
      <w:tr w:rsidR="00607460" w:rsidRPr="00607460" w14:paraId="095DBFEB" w14:textId="77777777" w:rsidTr="00607460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2813903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>Рынок и актуальность</w:t>
            </w:r>
          </w:p>
        </w:tc>
        <w:tc>
          <w:tcPr>
            <w:tcW w:w="1074" w:type="dxa"/>
            <w:vAlign w:val="center"/>
            <w:hideMark/>
          </w:tcPr>
          <w:p w14:paraId="5274EE26" w14:textId="3EF4C5ED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  <w:lang w:val="en-US"/>
              </w:rPr>
            </w:pPr>
            <w:r w:rsidRPr="00607460">
              <w:rPr>
                <w:rFonts w:cs="Arial"/>
                <w:sz w:val="22"/>
                <w:szCs w:val="22"/>
                <w:lang w:val="en-US"/>
              </w:rPr>
              <w:t xml:space="preserve">LinkedIn </w:t>
            </w:r>
            <w:proofErr w:type="gramStart"/>
            <w:r w:rsidRPr="00607460">
              <w:rPr>
                <w:rFonts w:cs="Arial"/>
                <w:sz w:val="22"/>
                <w:szCs w:val="22"/>
                <w:lang w:val="en-US"/>
              </w:rPr>
              <w:t>Learning  Workplace</w:t>
            </w:r>
            <w:proofErr w:type="gramEnd"/>
            <w:r w:rsidRPr="00607460">
              <w:rPr>
                <w:rFonts w:cs="Arial"/>
                <w:sz w:val="22"/>
                <w:szCs w:val="22"/>
                <w:lang w:val="en-US"/>
              </w:rPr>
              <w:t xml:space="preserve"> Learning Report 2025 (</w:t>
            </w:r>
            <w:r w:rsidRPr="00607460">
              <w:rPr>
                <w:rFonts w:cs="Arial"/>
                <w:sz w:val="22"/>
                <w:szCs w:val="22"/>
              </w:rPr>
              <w:t>страница</w:t>
            </w:r>
            <w:r w:rsidRPr="00607460">
              <w:rPr>
                <w:rFonts w:cs="Arial"/>
                <w:sz w:val="22"/>
                <w:szCs w:val="22"/>
                <w:lang w:val="en-US"/>
              </w:rPr>
              <w:t xml:space="preserve"> </w:t>
            </w:r>
            <w:r w:rsidRPr="00607460">
              <w:rPr>
                <w:rFonts w:cs="Arial"/>
                <w:sz w:val="22"/>
                <w:szCs w:val="22"/>
              </w:rPr>
              <w:t>отчёта</w:t>
            </w:r>
            <w:r w:rsidRPr="00607460">
              <w:rPr>
                <w:rFonts w:cs="Arial"/>
                <w:sz w:val="22"/>
                <w:szCs w:val="22"/>
                <w:lang w:val="en-US"/>
              </w:rPr>
              <w:t>)</w:t>
            </w:r>
          </w:p>
        </w:tc>
        <w:tc>
          <w:tcPr>
            <w:tcW w:w="1203" w:type="dxa"/>
            <w:vAlign w:val="center"/>
            <w:hideMark/>
          </w:tcPr>
          <w:p w14:paraId="6AE0FB46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>Отчёт/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whitepaper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t>, индустрия L&amp;D</w:t>
            </w:r>
          </w:p>
        </w:tc>
        <w:tc>
          <w:tcPr>
            <w:tcW w:w="2737" w:type="dxa"/>
            <w:vAlign w:val="center"/>
            <w:hideMark/>
          </w:tcPr>
          <w:p w14:paraId="5414939B" w14:textId="19723D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>Фиксирует «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skills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t xml:space="preserve"> 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crisis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t>», роль карьерного развития; даёт ключевые числа: 49% (обеспокоенность навыками), 36% «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career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t xml:space="preserve"> 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development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t xml:space="preserve"> 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champions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t xml:space="preserve">» и т.п. </w:t>
            </w:r>
          </w:p>
        </w:tc>
        <w:tc>
          <w:tcPr>
            <w:tcW w:w="1318" w:type="dxa"/>
            <w:vAlign w:val="center"/>
            <w:hideMark/>
          </w:tcPr>
          <w:p w14:paraId="346F7FCB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>Хорошо обосновывает актуальность в корпоративном контексте, даёт «язык» бизнеса</w:t>
            </w:r>
          </w:p>
        </w:tc>
        <w:tc>
          <w:tcPr>
            <w:tcW w:w="1740" w:type="dxa"/>
            <w:vAlign w:val="center"/>
            <w:hideMark/>
          </w:tcPr>
          <w:p w14:paraId="34866A76" w14:textId="65D250AB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 xml:space="preserve">Не научная статья; методология/выборка описаны ограниченно на публичной странице; </w:t>
            </w:r>
            <w:proofErr w:type="gramStart"/>
            <w:r w:rsidRPr="00607460">
              <w:rPr>
                <w:rFonts w:cs="Arial"/>
                <w:sz w:val="22"/>
                <w:szCs w:val="22"/>
              </w:rPr>
              <w:t>выводы  корреляционные</w:t>
            </w:r>
            <w:proofErr w:type="gramEnd"/>
          </w:p>
        </w:tc>
        <w:tc>
          <w:tcPr>
            <w:tcW w:w="1940" w:type="dxa"/>
            <w:vAlign w:val="center"/>
            <w:hideMark/>
          </w:tcPr>
          <w:p w14:paraId="23AEF0EF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>Вводная часть главы 1: актуальность, постановка проблемы «нужны быстрые форматы + измеримость»</w:t>
            </w:r>
          </w:p>
        </w:tc>
      </w:tr>
      <w:tr w:rsidR="00607460" w:rsidRPr="00607460" w14:paraId="2AB6E3EC" w14:textId="77777777" w:rsidTr="00607460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C984B99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>Определение микрообучения (практика)</w:t>
            </w:r>
          </w:p>
        </w:tc>
        <w:tc>
          <w:tcPr>
            <w:tcW w:w="1074" w:type="dxa"/>
            <w:vAlign w:val="center"/>
            <w:hideMark/>
          </w:tcPr>
          <w:p w14:paraId="29991363" w14:textId="506D914D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  <w:lang w:val="en-US"/>
              </w:rPr>
            </w:pPr>
            <w:r w:rsidRPr="00607460">
              <w:rPr>
                <w:rFonts w:cs="Arial"/>
                <w:sz w:val="22"/>
                <w:szCs w:val="22"/>
                <w:lang w:val="en-US"/>
              </w:rPr>
              <w:t>TechTarget (</w:t>
            </w:r>
            <w:proofErr w:type="gramStart"/>
            <w:r w:rsidRPr="00607460">
              <w:rPr>
                <w:rFonts w:cs="Arial"/>
                <w:sz w:val="22"/>
                <w:szCs w:val="22"/>
                <w:lang w:val="en-US"/>
              </w:rPr>
              <w:t>techtarget.com)  What</w:t>
            </w:r>
            <w:proofErr w:type="gramEnd"/>
            <w:r w:rsidRPr="00607460">
              <w:rPr>
                <w:rFonts w:cs="Arial"/>
                <w:sz w:val="22"/>
                <w:szCs w:val="22"/>
                <w:lang w:val="en-US"/>
              </w:rPr>
              <w:t xml:space="preserve"> is microlearning? (24 Oct 2023)</w:t>
            </w:r>
          </w:p>
        </w:tc>
        <w:tc>
          <w:tcPr>
            <w:tcW w:w="1203" w:type="dxa"/>
            <w:vAlign w:val="center"/>
            <w:hideMark/>
          </w:tcPr>
          <w:p w14:paraId="70897888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>Энциклопедическая статья для практиков/ИТ</w:t>
            </w:r>
          </w:p>
        </w:tc>
        <w:tc>
          <w:tcPr>
            <w:tcW w:w="2737" w:type="dxa"/>
            <w:vAlign w:val="center"/>
            <w:hideMark/>
          </w:tcPr>
          <w:p w14:paraId="64E1E2C1" w14:textId="7BC39684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 xml:space="preserve">Даёт прикладное определение: «малые самостоятельные единицы», часто ~около 5 минут, 1 цель/модуль; упоминает преимущества и ограничения, метаданные/библиотека модулей </w:t>
            </w:r>
          </w:p>
        </w:tc>
        <w:tc>
          <w:tcPr>
            <w:tcW w:w="1318" w:type="dxa"/>
            <w:vAlign w:val="center"/>
            <w:hideMark/>
          </w:tcPr>
          <w:p w14:paraId="48C4EEF0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>Чётко формулирует признаки микроформата как требования к продукту</w:t>
            </w:r>
          </w:p>
        </w:tc>
        <w:tc>
          <w:tcPr>
            <w:tcW w:w="1740" w:type="dxa"/>
            <w:vAlign w:val="center"/>
            <w:hideMark/>
          </w:tcPr>
          <w:p w14:paraId="460F4B72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>Не первичное исследование; встречаются упрощения (например, привязка к «кривой забывания» без строгой верификации)</w:t>
            </w:r>
          </w:p>
        </w:tc>
        <w:tc>
          <w:tcPr>
            <w:tcW w:w="1940" w:type="dxa"/>
            <w:vAlign w:val="center"/>
            <w:hideMark/>
          </w:tcPr>
          <w:p w14:paraId="53CE4195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>§1.1 как «рабочее определение» и список признаков микрообучения (атомарность цели, короткий цикл, повторяемость, библиотека/теги)</w:t>
            </w:r>
          </w:p>
        </w:tc>
      </w:tr>
      <w:tr w:rsidR="00607460" w:rsidRPr="00607460" w14:paraId="4F509512" w14:textId="77777777" w:rsidTr="00607460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55292B3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>Микрообучение (научный обзор тренда)</w:t>
            </w:r>
          </w:p>
        </w:tc>
        <w:tc>
          <w:tcPr>
            <w:tcW w:w="1074" w:type="dxa"/>
            <w:vAlign w:val="center"/>
            <w:hideMark/>
          </w:tcPr>
          <w:p w14:paraId="0BD2BF30" w14:textId="166C275E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  <w:lang w:val="en-US"/>
              </w:rPr>
            </w:pPr>
            <w:r w:rsidRPr="00607460">
              <w:rPr>
                <w:rFonts w:cs="Arial"/>
                <w:sz w:val="22"/>
                <w:szCs w:val="22"/>
                <w:lang w:val="en-US"/>
              </w:rPr>
              <w:t xml:space="preserve">Leong, Sung, Au, </w:t>
            </w:r>
            <w:proofErr w:type="gramStart"/>
            <w:r w:rsidRPr="00607460">
              <w:rPr>
                <w:rFonts w:cs="Arial"/>
                <w:sz w:val="22"/>
                <w:szCs w:val="22"/>
                <w:lang w:val="en-US"/>
              </w:rPr>
              <w:t>Blanchard  A</w:t>
            </w:r>
            <w:proofErr w:type="gramEnd"/>
            <w:r w:rsidRPr="00607460">
              <w:rPr>
                <w:rFonts w:cs="Arial"/>
                <w:sz w:val="22"/>
                <w:szCs w:val="22"/>
                <w:lang w:val="en-US"/>
              </w:rPr>
              <w:t xml:space="preserve"> review of the trend of microlearning (JWAM; DOI 10.1108/jwam-10-2020-0044)</w:t>
            </w:r>
          </w:p>
        </w:tc>
        <w:tc>
          <w:tcPr>
            <w:tcW w:w="1203" w:type="dxa"/>
            <w:vAlign w:val="center"/>
            <w:hideMark/>
          </w:tcPr>
          <w:p w14:paraId="2EFD45F7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>Научная статья-обзор (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библиометрия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t xml:space="preserve"> + Google 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Trends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t>)</w:t>
            </w:r>
          </w:p>
        </w:tc>
        <w:tc>
          <w:tcPr>
            <w:tcW w:w="2737" w:type="dxa"/>
            <w:vAlign w:val="center"/>
            <w:hideMark/>
          </w:tcPr>
          <w:p w14:paraId="4571F10B" w14:textId="188D31FE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 xml:space="preserve">Показан рост интереса: 476 публикаций (2006–2019); </w:t>
            </w:r>
            <w:proofErr w:type="spellStart"/>
            <w:proofErr w:type="gramStart"/>
            <w:r w:rsidRPr="00607460">
              <w:rPr>
                <w:rFonts w:cs="Arial"/>
                <w:sz w:val="22"/>
                <w:szCs w:val="22"/>
              </w:rPr>
              <w:t>microlearning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t xml:space="preserve">  глобальный</w:t>
            </w:r>
            <w:proofErr w:type="gramEnd"/>
            <w:r w:rsidRPr="00607460">
              <w:rPr>
                <w:rFonts w:cs="Arial"/>
                <w:sz w:val="22"/>
                <w:szCs w:val="22"/>
              </w:rPr>
              <w:t xml:space="preserve"> тренд; часто связан с e-learning/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mobile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t xml:space="preserve"> learning; частые </w:t>
            </w:r>
            <w:proofErr w:type="gramStart"/>
            <w:r w:rsidRPr="00607460">
              <w:rPr>
                <w:rFonts w:cs="Arial"/>
                <w:sz w:val="22"/>
                <w:szCs w:val="22"/>
              </w:rPr>
              <w:t xml:space="preserve">контексты  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higher</w:t>
            </w:r>
            <w:proofErr w:type="spellEnd"/>
            <w:proofErr w:type="gramEnd"/>
            <w:r w:rsidRPr="00607460">
              <w:rPr>
                <w:rFonts w:cs="Arial"/>
                <w:sz w:val="22"/>
                <w:szCs w:val="22"/>
              </w:rPr>
              <w:t xml:space="preserve"> 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education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t xml:space="preserve"> и языковое обучение </w:t>
            </w:r>
          </w:p>
        </w:tc>
        <w:tc>
          <w:tcPr>
            <w:tcW w:w="1318" w:type="dxa"/>
            <w:vAlign w:val="center"/>
            <w:hideMark/>
          </w:tcPr>
          <w:p w14:paraId="3F390472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>Научное подтверждение «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трендовости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t>» темы и междисциплинарности</w:t>
            </w:r>
          </w:p>
        </w:tc>
        <w:tc>
          <w:tcPr>
            <w:tcW w:w="1740" w:type="dxa"/>
            <w:vAlign w:val="center"/>
            <w:hideMark/>
          </w:tcPr>
          <w:p w14:paraId="096C4DE7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>Это обзор тренда, а не доказательство эффективности; фокус не только на корпоративном обучении</w:t>
            </w:r>
          </w:p>
        </w:tc>
        <w:tc>
          <w:tcPr>
            <w:tcW w:w="1940" w:type="dxa"/>
            <w:vAlign w:val="center"/>
            <w:hideMark/>
          </w:tcPr>
          <w:p w14:paraId="1AF54B25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>В §1.1</w:t>
            </w:r>
            <w:proofErr w:type="gramStart"/>
            <w:r w:rsidRPr="00607460">
              <w:rPr>
                <w:rFonts w:cs="Arial"/>
                <w:sz w:val="22"/>
                <w:szCs w:val="22"/>
              </w:rPr>
              <w:t>/§</w:t>
            </w:r>
            <w:proofErr w:type="gramEnd"/>
            <w:r w:rsidRPr="00607460">
              <w:rPr>
                <w:rFonts w:cs="Arial"/>
                <w:sz w:val="22"/>
                <w:szCs w:val="22"/>
              </w:rPr>
              <w:t>1.2 для подтверждения зрелости/роста направления и необходимости систематизации подходов</w:t>
            </w:r>
          </w:p>
        </w:tc>
      </w:tr>
      <w:tr w:rsidR="00607460" w:rsidRPr="00607460" w14:paraId="4C0306A3" w14:textId="77777777" w:rsidTr="00607460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173AA14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 xml:space="preserve">Микрообучение + цифровая </w:t>
            </w:r>
            <w:r w:rsidRPr="00607460">
              <w:rPr>
                <w:rFonts w:cs="Arial"/>
                <w:sz w:val="22"/>
                <w:szCs w:val="22"/>
              </w:rPr>
              <w:lastRenderedPageBreak/>
              <w:t>среда (вызовы)</w:t>
            </w:r>
          </w:p>
        </w:tc>
        <w:tc>
          <w:tcPr>
            <w:tcW w:w="1074" w:type="dxa"/>
            <w:vAlign w:val="center"/>
            <w:hideMark/>
          </w:tcPr>
          <w:p w14:paraId="2D50B99A" w14:textId="2F965CB2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  <w:lang w:val="en-US"/>
              </w:rPr>
            </w:pPr>
            <w:proofErr w:type="spellStart"/>
            <w:r w:rsidRPr="00607460">
              <w:rPr>
                <w:rFonts w:cs="Arial"/>
                <w:sz w:val="22"/>
                <w:szCs w:val="22"/>
                <w:lang w:val="en-US"/>
              </w:rPr>
              <w:lastRenderedPageBreak/>
              <w:t>Denojean</w:t>
            </w:r>
            <w:r w:rsidRPr="00607460">
              <w:rPr>
                <w:rFonts w:cs="Arial"/>
                <w:sz w:val="22"/>
                <w:szCs w:val="22"/>
                <w:lang w:val="en-US"/>
              </w:rPr>
              <w:noBreakHyphen/>
              <w:t>Mairet</w:t>
            </w:r>
            <w:proofErr w:type="spellEnd"/>
            <w:r w:rsidRPr="00607460">
              <w:rPr>
                <w:rFonts w:cs="Arial"/>
                <w:sz w:val="22"/>
                <w:szCs w:val="22"/>
                <w:lang w:val="en-US"/>
              </w:rPr>
              <w:t xml:space="preserve"> et al. </w:t>
            </w:r>
            <w:proofErr w:type="gramStart"/>
            <w:r w:rsidRPr="00607460">
              <w:rPr>
                <w:rFonts w:cs="Arial"/>
                <w:sz w:val="22"/>
                <w:szCs w:val="22"/>
                <w:lang w:val="en-US"/>
              </w:rPr>
              <w:t>2024  integration</w:t>
            </w:r>
            <w:proofErr w:type="gramEnd"/>
            <w:r w:rsidRPr="00607460">
              <w:rPr>
                <w:rFonts w:cs="Arial"/>
                <w:sz w:val="22"/>
                <w:szCs w:val="22"/>
                <w:lang w:val="en-US"/>
              </w:rPr>
              <w:t xml:space="preserve"> </w:t>
            </w:r>
            <w:r w:rsidRPr="00607460">
              <w:rPr>
                <w:rFonts w:cs="Arial"/>
                <w:sz w:val="22"/>
                <w:szCs w:val="22"/>
                <w:lang w:val="en-US"/>
              </w:rPr>
              <w:lastRenderedPageBreak/>
              <w:t>of microlearning and social media (Smart Learning Environments)</w:t>
            </w:r>
          </w:p>
        </w:tc>
        <w:tc>
          <w:tcPr>
            <w:tcW w:w="1203" w:type="dxa"/>
            <w:vAlign w:val="center"/>
            <w:hideMark/>
          </w:tcPr>
          <w:p w14:paraId="0CED17D9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lastRenderedPageBreak/>
              <w:t xml:space="preserve">Научный обзор литературы </w:t>
            </w:r>
            <w:r w:rsidRPr="00607460">
              <w:rPr>
                <w:rFonts w:cs="Arial"/>
                <w:sz w:val="22"/>
                <w:szCs w:val="22"/>
              </w:rPr>
              <w:lastRenderedPageBreak/>
              <w:t>(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open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t xml:space="preserve"> access)</w:t>
            </w:r>
          </w:p>
        </w:tc>
        <w:tc>
          <w:tcPr>
            <w:tcW w:w="2737" w:type="dxa"/>
            <w:vAlign w:val="center"/>
            <w:hideMark/>
          </w:tcPr>
          <w:p w14:paraId="7EB89D92" w14:textId="3FCC3800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lastRenderedPageBreak/>
              <w:t xml:space="preserve">Выявляет тренды/эффекты/вызовы интеграции микрообучения и </w:t>
            </w:r>
            <w:r w:rsidRPr="00607460">
              <w:rPr>
                <w:rFonts w:cs="Arial"/>
                <w:sz w:val="22"/>
                <w:szCs w:val="22"/>
              </w:rPr>
              <w:lastRenderedPageBreak/>
              <w:t xml:space="preserve">соцмедиа; описывает метод поиска по 7 БД, объём первичной выборки и итоговый отбор работ </w:t>
            </w:r>
          </w:p>
        </w:tc>
        <w:tc>
          <w:tcPr>
            <w:tcW w:w="1318" w:type="dxa"/>
            <w:vAlign w:val="center"/>
            <w:hideMark/>
          </w:tcPr>
          <w:p w14:paraId="0B81DDA8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lastRenderedPageBreak/>
              <w:t xml:space="preserve">Полезен для баланса: не только «плюсы», но </w:t>
            </w:r>
            <w:r w:rsidRPr="00607460">
              <w:rPr>
                <w:rFonts w:cs="Arial"/>
                <w:sz w:val="22"/>
                <w:szCs w:val="22"/>
              </w:rPr>
              <w:lastRenderedPageBreak/>
              <w:t>и ограничения/риски внедрения</w:t>
            </w:r>
          </w:p>
        </w:tc>
        <w:tc>
          <w:tcPr>
            <w:tcW w:w="1740" w:type="dxa"/>
            <w:vAlign w:val="center"/>
            <w:hideMark/>
          </w:tcPr>
          <w:p w14:paraId="10213400" w14:textId="366EF2A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lastRenderedPageBreak/>
              <w:t xml:space="preserve">Фокус на 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social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t xml:space="preserve"> 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media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t xml:space="preserve">; корпоративный </w:t>
            </w:r>
            <w:proofErr w:type="gramStart"/>
            <w:r w:rsidRPr="00607460">
              <w:rPr>
                <w:rFonts w:cs="Arial"/>
                <w:sz w:val="22"/>
                <w:szCs w:val="22"/>
              </w:rPr>
              <w:lastRenderedPageBreak/>
              <w:t>контекст  не</w:t>
            </w:r>
            <w:proofErr w:type="gramEnd"/>
            <w:r w:rsidRPr="00607460">
              <w:rPr>
                <w:rFonts w:cs="Arial"/>
                <w:sz w:val="22"/>
                <w:szCs w:val="22"/>
              </w:rPr>
              <w:t xml:space="preserve"> центральный</w:t>
            </w:r>
          </w:p>
        </w:tc>
        <w:tc>
          <w:tcPr>
            <w:tcW w:w="1940" w:type="dxa"/>
            <w:vAlign w:val="center"/>
            <w:hideMark/>
          </w:tcPr>
          <w:p w14:paraId="64D49FCA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lastRenderedPageBreak/>
              <w:t xml:space="preserve">Раздел «проблематика/ограничения микрообучения»: </w:t>
            </w:r>
            <w:r w:rsidRPr="00607460">
              <w:rPr>
                <w:rFonts w:cs="Arial"/>
                <w:sz w:val="22"/>
                <w:szCs w:val="22"/>
              </w:rPr>
              <w:lastRenderedPageBreak/>
              <w:t>риск фрагментации, требования к дизайну и оценке</w:t>
            </w:r>
          </w:p>
        </w:tc>
      </w:tr>
      <w:tr w:rsidR="00607460" w:rsidRPr="00607460" w14:paraId="7B34B437" w14:textId="77777777" w:rsidTr="00607460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B227787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lastRenderedPageBreak/>
              <w:t>Доказательная база: тестирование</w:t>
            </w:r>
          </w:p>
        </w:tc>
        <w:tc>
          <w:tcPr>
            <w:tcW w:w="1074" w:type="dxa"/>
            <w:vAlign w:val="center"/>
            <w:hideMark/>
          </w:tcPr>
          <w:p w14:paraId="6450477D" w14:textId="595FD046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  <w:lang w:val="en-US"/>
              </w:rPr>
            </w:pPr>
            <w:r w:rsidRPr="00607460">
              <w:rPr>
                <w:rFonts w:cs="Arial"/>
                <w:sz w:val="22"/>
                <w:szCs w:val="22"/>
                <w:lang w:val="en-US"/>
              </w:rPr>
              <w:t xml:space="preserve">Roediger &amp; Karpicke </w:t>
            </w:r>
            <w:proofErr w:type="gramStart"/>
            <w:r w:rsidRPr="00607460">
              <w:rPr>
                <w:rFonts w:cs="Arial"/>
                <w:sz w:val="22"/>
                <w:szCs w:val="22"/>
                <w:lang w:val="en-US"/>
              </w:rPr>
              <w:t>2006  Test</w:t>
            </w:r>
            <w:proofErr w:type="gramEnd"/>
            <w:r w:rsidRPr="00607460">
              <w:rPr>
                <w:rFonts w:cs="Arial"/>
                <w:sz w:val="22"/>
                <w:szCs w:val="22"/>
                <w:lang w:val="en-US"/>
              </w:rPr>
              <w:t>-enhanced learning…</w:t>
            </w:r>
          </w:p>
        </w:tc>
        <w:tc>
          <w:tcPr>
            <w:tcW w:w="1203" w:type="dxa"/>
            <w:vAlign w:val="center"/>
            <w:hideMark/>
          </w:tcPr>
          <w:p w14:paraId="76D37141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>Рецензируемое исследование (когнитивная психология)</w:t>
            </w:r>
          </w:p>
        </w:tc>
        <w:tc>
          <w:tcPr>
            <w:tcW w:w="2737" w:type="dxa"/>
            <w:vAlign w:val="center"/>
            <w:hideMark/>
          </w:tcPr>
          <w:p w14:paraId="28ACCB91" w14:textId="2BA6F9DC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 xml:space="preserve">Тестирование повышает долговременное удержание; сравнение «повторное чтение 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vs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t xml:space="preserve"> тестирование» на задержках 2 дня/1 неделя </w:t>
            </w:r>
          </w:p>
        </w:tc>
        <w:tc>
          <w:tcPr>
            <w:tcW w:w="1318" w:type="dxa"/>
            <w:vAlign w:val="center"/>
            <w:hideMark/>
          </w:tcPr>
          <w:p w14:paraId="080A4462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>Сильная причинная логика (эксперимент) → обоснование интерактивных проверок</w:t>
            </w:r>
          </w:p>
        </w:tc>
        <w:tc>
          <w:tcPr>
            <w:tcW w:w="1740" w:type="dxa"/>
            <w:vAlign w:val="center"/>
            <w:hideMark/>
          </w:tcPr>
          <w:p w14:paraId="0CEE1AC1" w14:textId="4BC604F1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proofErr w:type="gramStart"/>
            <w:r w:rsidRPr="00607460">
              <w:rPr>
                <w:rFonts w:cs="Arial"/>
                <w:sz w:val="22"/>
                <w:szCs w:val="22"/>
              </w:rPr>
              <w:t>Контекст  учебные</w:t>
            </w:r>
            <w:proofErr w:type="gramEnd"/>
            <w:r w:rsidRPr="00607460">
              <w:rPr>
                <w:rFonts w:cs="Arial"/>
                <w:sz w:val="22"/>
                <w:szCs w:val="22"/>
              </w:rPr>
              <w:t xml:space="preserve"> тексты/эксперименты, не корпоративные KPI</w:t>
            </w:r>
          </w:p>
        </w:tc>
        <w:tc>
          <w:tcPr>
            <w:tcW w:w="1940" w:type="dxa"/>
            <w:vAlign w:val="center"/>
            <w:hideMark/>
          </w:tcPr>
          <w:p w14:paraId="2585059A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>Теоретическое обоснование интерактивных заданий/мини</w:t>
            </w:r>
            <w:r w:rsidRPr="00607460">
              <w:rPr>
                <w:rFonts w:cs="Arial"/>
                <w:sz w:val="22"/>
                <w:szCs w:val="22"/>
              </w:rPr>
              <w:noBreakHyphen/>
              <w:t>тестов как обязательного механизма микрообучения</w:t>
            </w:r>
          </w:p>
        </w:tc>
      </w:tr>
      <w:tr w:rsidR="00607460" w:rsidRPr="00607460" w14:paraId="25FB9E80" w14:textId="77777777" w:rsidTr="00607460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FF2A8ED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>Доказательная база: интервальные повторения</w:t>
            </w:r>
          </w:p>
        </w:tc>
        <w:tc>
          <w:tcPr>
            <w:tcW w:w="1074" w:type="dxa"/>
            <w:vAlign w:val="center"/>
            <w:hideMark/>
          </w:tcPr>
          <w:p w14:paraId="0B476B2F" w14:textId="06B8608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  <w:lang w:val="en-US"/>
              </w:rPr>
            </w:pPr>
            <w:r w:rsidRPr="00607460">
              <w:rPr>
                <w:rFonts w:cs="Arial"/>
                <w:sz w:val="22"/>
                <w:szCs w:val="22"/>
                <w:lang w:val="en-US"/>
              </w:rPr>
              <w:t xml:space="preserve">Cepeda et al. </w:t>
            </w:r>
            <w:proofErr w:type="gramStart"/>
            <w:r w:rsidRPr="00607460">
              <w:rPr>
                <w:rFonts w:cs="Arial"/>
                <w:sz w:val="22"/>
                <w:szCs w:val="22"/>
                <w:lang w:val="en-US"/>
              </w:rPr>
              <w:t xml:space="preserve">2006  </w:t>
            </w:r>
            <w:r w:rsidRPr="00607460">
              <w:rPr>
                <w:rFonts w:cs="Arial"/>
                <w:sz w:val="22"/>
                <w:szCs w:val="22"/>
              </w:rPr>
              <w:t>мета</w:t>
            </w:r>
            <w:proofErr w:type="gramEnd"/>
            <w:r w:rsidRPr="00607460">
              <w:rPr>
                <w:rFonts w:cs="Arial"/>
                <w:sz w:val="22"/>
                <w:szCs w:val="22"/>
                <w:lang w:val="en-US"/>
              </w:rPr>
              <w:noBreakHyphen/>
            </w:r>
            <w:r w:rsidRPr="00607460">
              <w:rPr>
                <w:rFonts w:cs="Arial"/>
                <w:sz w:val="22"/>
                <w:szCs w:val="22"/>
              </w:rPr>
              <w:t>анализ</w:t>
            </w:r>
            <w:r w:rsidRPr="00607460">
              <w:rPr>
                <w:rFonts w:cs="Arial"/>
                <w:sz w:val="22"/>
                <w:szCs w:val="22"/>
                <w:lang w:val="en-US"/>
              </w:rPr>
              <w:t xml:space="preserve"> distributed practice</w:t>
            </w:r>
          </w:p>
        </w:tc>
        <w:tc>
          <w:tcPr>
            <w:tcW w:w="1203" w:type="dxa"/>
            <w:vAlign w:val="center"/>
            <w:hideMark/>
          </w:tcPr>
          <w:p w14:paraId="4DE7B0CE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>Мета-анализ (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Psychological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t xml:space="preserve"> Bulletin)</w:t>
            </w:r>
          </w:p>
        </w:tc>
        <w:tc>
          <w:tcPr>
            <w:tcW w:w="2737" w:type="dxa"/>
            <w:vAlign w:val="center"/>
            <w:hideMark/>
          </w:tcPr>
          <w:p w14:paraId="4C76BAA8" w14:textId="1E1F23A4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 xml:space="preserve">317 экспериментов, 839 оценок эффекта; ISI и 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retention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t xml:space="preserve"> 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interval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t xml:space="preserve"> работают совместно: оптимальный интервал повторения растёт при увеличении интервала удержания </w:t>
            </w:r>
          </w:p>
        </w:tc>
        <w:tc>
          <w:tcPr>
            <w:tcW w:w="1318" w:type="dxa"/>
            <w:vAlign w:val="center"/>
            <w:hideMark/>
          </w:tcPr>
          <w:p w14:paraId="01E3A77C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>Высокий уровень доказательности (сводный анализ большого массива)</w:t>
            </w:r>
          </w:p>
        </w:tc>
        <w:tc>
          <w:tcPr>
            <w:tcW w:w="1740" w:type="dxa"/>
            <w:vAlign w:val="center"/>
            <w:hideMark/>
          </w:tcPr>
          <w:p w14:paraId="159CFB78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>Не даёт «готовых расписаний» для любого контента; перенос в прод требует адаптации</w:t>
            </w:r>
          </w:p>
        </w:tc>
        <w:tc>
          <w:tcPr>
            <w:tcW w:w="1940" w:type="dxa"/>
            <w:vAlign w:val="center"/>
            <w:hideMark/>
          </w:tcPr>
          <w:p w14:paraId="4267DFA5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>Обоснование механизма повторений/реактивации знаний (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spaced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t xml:space="preserve"> 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practice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t>) и требований к функционалу (повторные квизы, напоминания)</w:t>
            </w:r>
          </w:p>
        </w:tc>
      </w:tr>
      <w:tr w:rsidR="00607460" w:rsidRPr="00607460" w14:paraId="0965CD63" w14:textId="77777777" w:rsidTr="00607460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0FC5B02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>Доказательная база: «что реально работает»</w:t>
            </w:r>
          </w:p>
        </w:tc>
        <w:tc>
          <w:tcPr>
            <w:tcW w:w="1074" w:type="dxa"/>
            <w:vAlign w:val="center"/>
            <w:hideMark/>
          </w:tcPr>
          <w:p w14:paraId="2C3C32A5" w14:textId="6A5BDFC0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  <w:lang w:val="en-US"/>
              </w:rPr>
            </w:pPr>
            <w:proofErr w:type="spellStart"/>
            <w:r w:rsidRPr="00607460">
              <w:rPr>
                <w:rFonts w:cs="Arial"/>
                <w:sz w:val="22"/>
                <w:szCs w:val="22"/>
                <w:lang w:val="en-US"/>
              </w:rPr>
              <w:t>Dunlosky</w:t>
            </w:r>
            <w:proofErr w:type="spellEnd"/>
            <w:r w:rsidRPr="00607460">
              <w:rPr>
                <w:rFonts w:cs="Arial"/>
                <w:sz w:val="22"/>
                <w:szCs w:val="22"/>
                <w:lang w:val="en-US"/>
              </w:rPr>
              <w:t xml:space="preserve"> et al. </w:t>
            </w:r>
            <w:proofErr w:type="gramStart"/>
            <w:r w:rsidRPr="00607460">
              <w:rPr>
                <w:rFonts w:cs="Arial"/>
                <w:sz w:val="22"/>
                <w:szCs w:val="22"/>
                <w:lang w:val="en-US"/>
              </w:rPr>
              <w:t>2013  Effective</w:t>
            </w:r>
            <w:proofErr w:type="gramEnd"/>
            <w:r w:rsidRPr="00607460">
              <w:rPr>
                <w:rFonts w:cs="Arial"/>
                <w:sz w:val="22"/>
                <w:szCs w:val="22"/>
                <w:lang w:val="en-US"/>
              </w:rPr>
              <w:t xml:space="preserve"> learning techniques…</w:t>
            </w:r>
          </w:p>
        </w:tc>
        <w:tc>
          <w:tcPr>
            <w:tcW w:w="1203" w:type="dxa"/>
            <w:vAlign w:val="center"/>
            <w:hideMark/>
          </w:tcPr>
          <w:p w14:paraId="1C6FB265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  <w:lang w:val="en-US"/>
              </w:rPr>
            </w:pPr>
            <w:r w:rsidRPr="00607460">
              <w:rPr>
                <w:rFonts w:cs="Arial"/>
                <w:sz w:val="22"/>
                <w:szCs w:val="22"/>
              </w:rPr>
              <w:t xml:space="preserve">Обзор/мета-обобщение в 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Psychol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t xml:space="preserve">. </w:t>
            </w:r>
            <w:r w:rsidRPr="00607460">
              <w:rPr>
                <w:rFonts w:cs="Arial"/>
                <w:sz w:val="22"/>
                <w:szCs w:val="22"/>
                <w:lang w:val="en-US"/>
              </w:rPr>
              <w:t>Sci. in the Public Interest</w:t>
            </w:r>
          </w:p>
        </w:tc>
        <w:tc>
          <w:tcPr>
            <w:tcW w:w="2737" w:type="dxa"/>
            <w:vAlign w:val="center"/>
            <w:hideMark/>
          </w:tcPr>
          <w:p w14:paraId="041B86FD" w14:textId="56E4AF1F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 xml:space="preserve">Даёт рейтинг техник по «полезности», выделяет 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practice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t xml:space="preserve"> 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testing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t xml:space="preserve"> и 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distributed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t xml:space="preserve"> 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practice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t xml:space="preserve"> как 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high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t xml:space="preserve"> 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utility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t xml:space="preserve"> </w:t>
            </w:r>
          </w:p>
        </w:tc>
        <w:tc>
          <w:tcPr>
            <w:tcW w:w="1318" w:type="dxa"/>
            <w:vAlign w:val="center"/>
            <w:hideMark/>
          </w:tcPr>
          <w:p w14:paraId="2F165787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>Удобный «мост» от науки к методическим требованиям системы</w:t>
            </w:r>
          </w:p>
        </w:tc>
        <w:tc>
          <w:tcPr>
            <w:tcW w:w="1740" w:type="dxa"/>
            <w:vAlign w:val="center"/>
            <w:hideMark/>
          </w:tcPr>
          <w:p w14:paraId="072891B1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>Не про микрообучение напрямую; это про техники учёбы</w:t>
            </w:r>
          </w:p>
        </w:tc>
        <w:tc>
          <w:tcPr>
            <w:tcW w:w="1940" w:type="dxa"/>
            <w:vAlign w:val="center"/>
            <w:hideMark/>
          </w:tcPr>
          <w:p w14:paraId="3A69D6E4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 xml:space="preserve">В 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методобосновании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t>: почему платформа должна включать практику и распределение повторений, а не только контент</w:t>
            </w:r>
          </w:p>
        </w:tc>
      </w:tr>
      <w:tr w:rsidR="00607460" w:rsidRPr="00607460" w14:paraId="31A1D722" w14:textId="77777777" w:rsidTr="00607460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184F94D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proofErr w:type="spellStart"/>
            <w:r w:rsidRPr="00607460">
              <w:rPr>
                <w:rFonts w:cs="Arial"/>
                <w:sz w:val="22"/>
                <w:szCs w:val="22"/>
              </w:rPr>
              <w:t>Автогенерация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t xml:space="preserve"> вопросов (обзор области)</w:t>
            </w:r>
          </w:p>
        </w:tc>
        <w:tc>
          <w:tcPr>
            <w:tcW w:w="1074" w:type="dxa"/>
            <w:vAlign w:val="center"/>
            <w:hideMark/>
          </w:tcPr>
          <w:p w14:paraId="055CCA81" w14:textId="61A3B83E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  <w:lang w:val="en-US"/>
              </w:rPr>
            </w:pPr>
            <w:r w:rsidRPr="00607460">
              <w:rPr>
                <w:rFonts w:cs="Arial"/>
                <w:sz w:val="22"/>
                <w:szCs w:val="22"/>
                <w:lang w:val="en-US"/>
              </w:rPr>
              <w:t xml:space="preserve">Mulla &amp; Gharpure </w:t>
            </w:r>
            <w:proofErr w:type="gramStart"/>
            <w:r w:rsidRPr="00607460">
              <w:rPr>
                <w:rFonts w:cs="Arial"/>
                <w:sz w:val="22"/>
                <w:szCs w:val="22"/>
                <w:lang w:val="en-US"/>
              </w:rPr>
              <w:t>2023  Automatic</w:t>
            </w:r>
            <w:proofErr w:type="gramEnd"/>
            <w:r w:rsidRPr="00607460">
              <w:rPr>
                <w:rFonts w:cs="Arial"/>
                <w:sz w:val="22"/>
                <w:szCs w:val="22"/>
                <w:lang w:val="en-US"/>
              </w:rPr>
              <w:t xml:space="preserve"> </w:t>
            </w:r>
            <w:r w:rsidRPr="00607460">
              <w:rPr>
                <w:rFonts w:cs="Arial"/>
                <w:sz w:val="22"/>
                <w:szCs w:val="22"/>
                <w:lang w:val="en-US"/>
              </w:rPr>
              <w:lastRenderedPageBreak/>
              <w:t>question generation…</w:t>
            </w:r>
          </w:p>
        </w:tc>
        <w:tc>
          <w:tcPr>
            <w:tcW w:w="1203" w:type="dxa"/>
            <w:vAlign w:val="center"/>
            <w:hideMark/>
          </w:tcPr>
          <w:p w14:paraId="53D16DEF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lastRenderedPageBreak/>
              <w:t>Научный обзор (Springer)</w:t>
            </w:r>
          </w:p>
        </w:tc>
        <w:tc>
          <w:tcPr>
            <w:tcW w:w="2737" w:type="dxa"/>
            <w:vAlign w:val="center"/>
            <w:hideMark/>
          </w:tcPr>
          <w:p w14:paraId="24735712" w14:textId="0228161B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 xml:space="preserve">Систематизирует подходы, датасеты, метрики, применения AQG; </w:t>
            </w:r>
            <w:r w:rsidRPr="00607460">
              <w:rPr>
                <w:rFonts w:cs="Arial"/>
                <w:sz w:val="22"/>
                <w:szCs w:val="22"/>
              </w:rPr>
              <w:lastRenderedPageBreak/>
              <w:t xml:space="preserve">подчёркивает сложность оценки качества вопросов </w:t>
            </w:r>
          </w:p>
        </w:tc>
        <w:tc>
          <w:tcPr>
            <w:tcW w:w="1318" w:type="dxa"/>
            <w:vAlign w:val="center"/>
            <w:hideMark/>
          </w:tcPr>
          <w:p w14:paraId="77E020EE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lastRenderedPageBreak/>
              <w:t xml:space="preserve">Даёт карту области и список «узких мест» </w:t>
            </w:r>
            <w:r w:rsidRPr="00607460">
              <w:rPr>
                <w:rFonts w:cs="Arial"/>
                <w:sz w:val="22"/>
                <w:szCs w:val="22"/>
              </w:rPr>
              <w:lastRenderedPageBreak/>
              <w:t>(качество/оценка)</w:t>
            </w:r>
          </w:p>
        </w:tc>
        <w:tc>
          <w:tcPr>
            <w:tcW w:w="1740" w:type="dxa"/>
            <w:vAlign w:val="center"/>
            <w:hideMark/>
          </w:tcPr>
          <w:p w14:paraId="6C5C5108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lastRenderedPageBreak/>
              <w:t xml:space="preserve">Обзор общий; корпоративные требования (валидность по </w:t>
            </w:r>
            <w:r w:rsidRPr="00607460">
              <w:rPr>
                <w:rFonts w:cs="Arial"/>
                <w:sz w:val="22"/>
                <w:szCs w:val="22"/>
              </w:rPr>
              <w:lastRenderedPageBreak/>
              <w:t>компетенциям, комплаенс) раскрыты частично</w:t>
            </w:r>
          </w:p>
        </w:tc>
        <w:tc>
          <w:tcPr>
            <w:tcW w:w="1940" w:type="dxa"/>
            <w:vAlign w:val="center"/>
            <w:hideMark/>
          </w:tcPr>
          <w:p w14:paraId="2C9D8270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lastRenderedPageBreak/>
              <w:t xml:space="preserve">Теоретическая база §1.2–§1.3: какие подходы к генерации </w:t>
            </w:r>
            <w:r w:rsidRPr="00607460">
              <w:rPr>
                <w:rFonts w:cs="Arial"/>
                <w:sz w:val="22"/>
                <w:szCs w:val="22"/>
              </w:rPr>
              <w:lastRenderedPageBreak/>
              <w:t>существуют и почему нужен контроль качества/редактирование</w:t>
            </w:r>
          </w:p>
        </w:tc>
      </w:tr>
      <w:tr w:rsidR="00607460" w:rsidRPr="00607460" w14:paraId="6408CBD3" w14:textId="77777777" w:rsidTr="00607460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8C70207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lastRenderedPageBreak/>
              <w:t>Нейронная генерация вопросов (детальная классификация)</w:t>
            </w:r>
          </w:p>
        </w:tc>
        <w:tc>
          <w:tcPr>
            <w:tcW w:w="1074" w:type="dxa"/>
            <w:vAlign w:val="center"/>
            <w:hideMark/>
          </w:tcPr>
          <w:p w14:paraId="75A595BD" w14:textId="60E0072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  <w:lang w:val="en-US"/>
              </w:rPr>
            </w:pPr>
            <w:r w:rsidRPr="00607460">
              <w:rPr>
                <w:rFonts w:cs="Arial"/>
                <w:sz w:val="22"/>
                <w:szCs w:val="22"/>
                <w:lang w:val="en-US"/>
              </w:rPr>
              <w:t>Guo et al. 2024 (</w:t>
            </w:r>
            <w:proofErr w:type="gramStart"/>
            <w:r w:rsidRPr="00607460">
              <w:rPr>
                <w:rFonts w:cs="Arial"/>
                <w:sz w:val="22"/>
                <w:szCs w:val="22"/>
                <w:lang w:val="en-US"/>
              </w:rPr>
              <w:t>IJCAI)  Survey</w:t>
            </w:r>
            <w:proofErr w:type="gramEnd"/>
            <w:r w:rsidRPr="00607460">
              <w:rPr>
                <w:rFonts w:cs="Arial"/>
                <w:sz w:val="22"/>
                <w:szCs w:val="22"/>
                <w:lang w:val="en-US"/>
              </w:rPr>
              <w:t xml:space="preserve"> on NQG</w:t>
            </w:r>
          </w:p>
        </w:tc>
        <w:tc>
          <w:tcPr>
            <w:tcW w:w="1203" w:type="dxa"/>
            <w:vAlign w:val="center"/>
            <w:hideMark/>
          </w:tcPr>
          <w:p w14:paraId="6C6E73A3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 xml:space="preserve">Авторитетный 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survey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t xml:space="preserve"> (IJCAI)</w:t>
            </w:r>
          </w:p>
        </w:tc>
        <w:tc>
          <w:tcPr>
            <w:tcW w:w="2737" w:type="dxa"/>
            <w:vAlign w:val="center"/>
            <w:hideMark/>
          </w:tcPr>
          <w:p w14:paraId="64571758" w14:textId="62DE3870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 xml:space="preserve">Классификация NQG: 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structured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t xml:space="preserve"> / 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unstructured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t xml:space="preserve"> / 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hybrid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t xml:space="preserve">; описывает задачи, датасеты, метрики и тренды </w:t>
            </w:r>
          </w:p>
        </w:tc>
        <w:tc>
          <w:tcPr>
            <w:tcW w:w="1318" w:type="dxa"/>
            <w:vAlign w:val="center"/>
            <w:hideMark/>
          </w:tcPr>
          <w:p w14:paraId="7C2770CB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>Хорошо для архитектурного выбора (какие входные данные у вас: текстовые регламенты/инструкции и т.д.)</w:t>
            </w:r>
          </w:p>
        </w:tc>
        <w:tc>
          <w:tcPr>
            <w:tcW w:w="1740" w:type="dxa"/>
            <w:vAlign w:val="center"/>
            <w:hideMark/>
          </w:tcPr>
          <w:p w14:paraId="101F162F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>Survey не гарантирует применимость «как есть» для доменных данных предприятия</w:t>
            </w:r>
          </w:p>
        </w:tc>
        <w:tc>
          <w:tcPr>
            <w:tcW w:w="1940" w:type="dxa"/>
            <w:vAlign w:val="center"/>
            <w:hideMark/>
          </w:tcPr>
          <w:p w14:paraId="13A2B50F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 xml:space="preserve">Обоснование выбора подхода (например, 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unstructured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t>/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hybrid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t xml:space="preserve"> + привязка к источникам), формирование требований к данным</w:t>
            </w:r>
          </w:p>
        </w:tc>
      </w:tr>
      <w:tr w:rsidR="00607460" w:rsidRPr="00607460" w14:paraId="4B7B3DFB" w14:textId="77777777" w:rsidTr="00607460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0805384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  <w:lang w:val="en-US"/>
              </w:rPr>
            </w:pPr>
            <w:r w:rsidRPr="00607460">
              <w:rPr>
                <w:rFonts w:cs="Arial"/>
                <w:sz w:val="22"/>
                <w:szCs w:val="22"/>
                <w:lang w:val="en-US"/>
              </w:rPr>
              <w:t>Learning analytics (</w:t>
            </w:r>
            <w:r w:rsidRPr="00607460">
              <w:rPr>
                <w:rFonts w:cs="Arial"/>
                <w:sz w:val="22"/>
                <w:szCs w:val="22"/>
              </w:rPr>
              <w:t>определение</w:t>
            </w:r>
            <w:r w:rsidRPr="00607460">
              <w:rPr>
                <w:rFonts w:cs="Arial"/>
                <w:sz w:val="22"/>
                <w:szCs w:val="22"/>
                <w:lang w:val="en-US"/>
              </w:rPr>
              <w:t xml:space="preserve"> </w:t>
            </w:r>
            <w:r w:rsidRPr="00607460">
              <w:rPr>
                <w:rFonts w:cs="Arial"/>
                <w:sz w:val="22"/>
                <w:szCs w:val="22"/>
              </w:rPr>
              <w:t>и</w:t>
            </w:r>
            <w:r w:rsidRPr="00607460">
              <w:rPr>
                <w:rFonts w:cs="Arial"/>
                <w:sz w:val="22"/>
                <w:szCs w:val="22"/>
                <w:lang w:val="en-US"/>
              </w:rPr>
              <w:t xml:space="preserve"> </w:t>
            </w:r>
            <w:r w:rsidRPr="00607460">
              <w:rPr>
                <w:rFonts w:cs="Arial"/>
                <w:sz w:val="22"/>
                <w:szCs w:val="22"/>
              </w:rPr>
              <w:t>фокус</w:t>
            </w:r>
            <w:r w:rsidRPr="00607460">
              <w:rPr>
                <w:rFonts w:cs="Arial"/>
                <w:sz w:val="22"/>
                <w:szCs w:val="22"/>
                <w:lang w:val="en-US"/>
              </w:rPr>
              <w:t xml:space="preserve"> </w:t>
            </w:r>
            <w:r w:rsidRPr="00607460">
              <w:rPr>
                <w:rFonts w:cs="Arial"/>
                <w:sz w:val="22"/>
                <w:szCs w:val="22"/>
              </w:rPr>
              <w:t>на</w:t>
            </w:r>
            <w:r w:rsidRPr="00607460">
              <w:rPr>
                <w:rFonts w:cs="Arial"/>
                <w:sz w:val="22"/>
                <w:szCs w:val="22"/>
                <w:lang w:val="en-US"/>
              </w:rPr>
              <w:t xml:space="preserve"> actionable insights)</w:t>
            </w:r>
          </w:p>
        </w:tc>
        <w:tc>
          <w:tcPr>
            <w:tcW w:w="1074" w:type="dxa"/>
            <w:vAlign w:val="center"/>
            <w:hideMark/>
          </w:tcPr>
          <w:p w14:paraId="1610BE15" w14:textId="0D7F3AD6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607460">
              <w:rPr>
                <w:rFonts w:cs="Arial"/>
                <w:sz w:val="22"/>
                <w:szCs w:val="22"/>
                <w:lang w:val="en-US"/>
              </w:rPr>
              <w:t>SoLAR</w:t>
            </w:r>
            <w:proofErr w:type="spellEnd"/>
            <w:r w:rsidRPr="00607460">
              <w:rPr>
                <w:rFonts w:cs="Arial"/>
                <w:sz w:val="22"/>
                <w:szCs w:val="22"/>
                <w:lang w:val="en-US"/>
              </w:rPr>
              <w:t xml:space="preserve">  What</w:t>
            </w:r>
            <w:proofErr w:type="gramEnd"/>
            <w:r w:rsidRPr="00607460">
              <w:rPr>
                <w:rFonts w:cs="Arial"/>
                <w:sz w:val="22"/>
                <w:szCs w:val="22"/>
                <w:lang w:val="en-US"/>
              </w:rPr>
              <w:t xml:space="preserve"> is Learning Analytics + </w:t>
            </w:r>
            <w:r w:rsidRPr="00607460">
              <w:rPr>
                <w:rFonts w:cs="Arial"/>
                <w:sz w:val="22"/>
                <w:szCs w:val="22"/>
              </w:rPr>
              <w:t>релиз</w:t>
            </w:r>
            <w:r w:rsidRPr="00607460">
              <w:rPr>
                <w:rFonts w:cs="Arial"/>
                <w:sz w:val="22"/>
                <w:szCs w:val="22"/>
                <w:lang w:val="en-US"/>
              </w:rPr>
              <w:t xml:space="preserve"> </w:t>
            </w:r>
            <w:r w:rsidRPr="00607460">
              <w:rPr>
                <w:rFonts w:cs="Arial"/>
                <w:sz w:val="22"/>
                <w:szCs w:val="22"/>
              </w:rPr>
              <w:t>определения</w:t>
            </w:r>
            <w:r w:rsidRPr="00607460">
              <w:rPr>
                <w:rFonts w:cs="Arial"/>
                <w:sz w:val="22"/>
                <w:szCs w:val="22"/>
                <w:lang w:val="en-US"/>
              </w:rPr>
              <w:t xml:space="preserve"> 2025</w:t>
            </w:r>
          </w:p>
        </w:tc>
        <w:tc>
          <w:tcPr>
            <w:tcW w:w="1203" w:type="dxa"/>
            <w:vAlign w:val="center"/>
            <w:hideMark/>
          </w:tcPr>
          <w:p w14:paraId="1B58D7EA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>Позиционный документ проф. сообщества</w:t>
            </w:r>
          </w:p>
        </w:tc>
        <w:tc>
          <w:tcPr>
            <w:tcW w:w="2737" w:type="dxa"/>
            <w:vAlign w:val="center"/>
            <w:hideMark/>
          </w:tcPr>
          <w:p w14:paraId="3A5FECE5" w14:textId="3EA88AB6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 xml:space="preserve">Определение LA как сбор/анализ/интерпретация/коммуникация данных ради 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theoretically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t xml:space="preserve"> 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relevant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t xml:space="preserve"> и 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actionable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t xml:space="preserve"> 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insights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t xml:space="preserve">; обновление определения в 2025 </w:t>
            </w:r>
          </w:p>
        </w:tc>
        <w:tc>
          <w:tcPr>
            <w:tcW w:w="1318" w:type="dxa"/>
            <w:vAlign w:val="center"/>
            <w:hideMark/>
          </w:tcPr>
          <w:p w14:paraId="0D0FF293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>Нормативная рамка: аналитика не «ради графиков», а ради управленческих действий</w:t>
            </w:r>
          </w:p>
        </w:tc>
        <w:tc>
          <w:tcPr>
            <w:tcW w:w="1740" w:type="dxa"/>
            <w:vAlign w:val="center"/>
            <w:hideMark/>
          </w:tcPr>
          <w:p w14:paraId="37D99BAA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>Образование шире корпоративного обучения; нужно адаптировать термины</w:t>
            </w:r>
          </w:p>
        </w:tc>
        <w:tc>
          <w:tcPr>
            <w:tcW w:w="1940" w:type="dxa"/>
            <w:vAlign w:val="center"/>
            <w:hideMark/>
          </w:tcPr>
          <w:p w14:paraId="32358D52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>§1.1–§1.2: формулировка роли аналитики и требований к метрикам/дашбордам</w:t>
            </w:r>
          </w:p>
        </w:tc>
      </w:tr>
      <w:tr w:rsidR="00607460" w:rsidRPr="00607460" w14:paraId="4355C5DE" w14:textId="77777777" w:rsidTr="00607460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205B30E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>Стандарт/инфраструктура данных (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xAPI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t>/LRS)</w:t>
            </w:r>
          </w:p>
        </w:tc>
        <w:tc>
          <w:tcPr>
            <w:tcW w:w="1074" w:type="dxa"/>
            <w:vAlign w:val="center"/>
            <w:hideMark/>
          </w:tcPr>
          <w:p w14:paraId="3FB2F701" w14:textId="6500EB26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proofErr w:type="gramStart"/>
            <w:r w:rsidRPr="00607460">
              <w:rPr>
                <w:rFonts w:cs="Arial"/>
                <w:sz w:val="22"/>
                <w:szCs w:val="22"/>
              </w:rPr>
              <w:t>ADL  репозиторий</w:t>
            </w:r>
            <w:proofErr w:type="gramEnd"/>
            <w:r w:rsidRPr="00607460">
              <w:rPr>
                <w:rFonts w:cs="Arial"/>
                <w:sz w:val="22"/>
                <w:szCs w:val="22"/>
              </w:rPr>
              <w:t xml:space="preserve"> ADL_LRS (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xAPI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t xml:space="preserve"> 2.0 / IEEE 9274.1.1) + реестр 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adopter</w:t>
            </w:r>
            <w:proofErr w:type="spellEnd"/>
          </w:p>
        </w:tc>
        <w:tc>
          <w:tcPr>
            <w:tcW w:w="1203" w:type="dxa"/>
            <w:vAlign w:val="center"/>
            <w:hideMark/>
          </w:tcPr>
          <w:p w14:paraId="4FBAAFD0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>Технический первичный источник (де-факто стандарт индустрии)</w:t>
            </w:r>
          </w:p>
        </w:tc>
        <w:tc>
          <w:tcPr>
            <w:tcW w:w="2737" w:type="dxa"/>
            <w:vAlign w:val="center"/>
            <w:hideMark/>
          </w:tcPr>
          <w:p w14:paraId="47F79F38" w14:textId="5551D015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 xml:space="preserve">LRS для хранения learning 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records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t>; указано соответствие IEEE 9274.1.1 (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xAPI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t xml:space="preserve"> 2.0) </w:t>
            </w:r>
          </w:p>
        </w:tc>
        <w:tc>
          <w:tcPr>
            <w:tcW w:w="1318" w:type="dxa"/>
            <w:vAlign w:val="center"/>
            <w:hideMark/>
          </w:tcPr>
          <w:p w14:paraId="01A40D53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>Практическая база для событийного трекинга и аналитики</w:t>
            </w:r>
          </w:p>
        </w:tc>
        <w:tc>
          <w:tcPr>
            <w:tcW w:w="1740" w:type="dxa"/>
            <w:vAlign w:val="center"/>
            <w:hideMark/>
          </w:tcPr>
          <w:p w14:paraId="0D9FE4CC" w14:textId="6F49EE9D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proofErr w:type="gramStart"/>
            <w:r w:rsidRPr="00607460">
              <w:rPr>
                <w:rFonts w:cs="Arial"/>
                <w:sz w:val="22"/>
                <w:szCs w:val="22"/>
              </w:rPr>
              <w:t xml:space="preserve">Репозиторий  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PoC</w:t>
            </w:r>
            <w:proofErr w:type="spellEnd"/>
            <w:proofErr w:type="gramEnd"/>
            <w:r w:rsidRPr="00607460">
              <w:rPr>
                <w:rFonts w:cs="Arial"/>
                <w:sz w:val="22"/>
                <w:szCs w:val="22"/>
              </w:rPr>
              <w:t>, не «промышленная гарантия» масштабирования</w:t>
            </w:r>
          </w:p>
        </w:tc>
        <w:tc>
          <w:tcPr>
            <w:tcW w:w="1940" w:type="dxa"/>
            <w:vAlign w:val="center"/>
            <w:hideMark/>
          </w:tcPr>
          <w:p w14:paraId="4A193011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>В архитектуре: событийная модель, требования к журналированию действий и аналитике</w:t>
            </w:r>
          </w:p>
        </w:tc>
      </w:tr>
      <w:tr w:rsidR="00607460" w:rsidRPr="00607460" w14:paraId="1910F7B8" w14:textId="77777777" w:rsidTr="00607460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C94B4F5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>Стандарт переносимости тестов</w:t>
            </w:r>
          </w:p>
        </w:tc>
        <w:tc>
          <w:tcPr>
            <w:tcW w:w="1074" w:type="dxa"/>
            <w:vAlign w:val="center"/>
            <w:hideMark/>
          </w:tcPr>
          <w:p w14:paraId="7FEEF6A3" w14:textId="0253E6C3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>1</w:t>
            </w:r>
            <w:proofErr w:type="gramStart"/>
            <w:r w:rsidRPr="00607460">
              <w:rPr>
                <w:rFonts w:cs="Arial"/>
                <w:sz w:val="22"/>
                <w:szCs w:val="22"/>
              </w:rPr>
              <w:t>EdTech  QTI</w:t>
            </w:r>
            <w:proofErr w:type="gramEnd"/>
          </w:p>
        </w:tc>
        <w:tc>
          <w:tcPr>
            <w:tcW w:w="1203" w:type="dxa"/>
            <w:vAlign w:val="center"/>
            <w:hideMark/>
          </w:tcPr>
          <w:p w14:paraId="0D78D10A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>Стандарт (первичный источник)</w:t>
            </w:r>
          </w:p>
        </w:tc>
        <w:tc>
          <w:tcPr>
            <w:tcW w:w="2737" w:type="dxa"/>
            <w:vAlign w:val="center"/>
            <w:hideMark/>
          </w:tcPr>
          <w:p w14:paraId="6EF82FFE" w14:textId="2EA043B2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proofErr w:type="gramStart"/>
            <w:r w:rsidRPr="00607460">
              <w:rPr>
                <w:rFonts w:cs="Arial"/>
                <w:sz w:val="22"/>
                <w:szCs w:val="22"/>
              </w:rPr>
              <w:t>QTI  упаковка</w:t>
            </w:r>
            <w:proofErr w:type="gramEnd"/>
            <w:r w:rsidRPr="00607460">
              <w:rPr>
                <w:rFonts w:cs="Arial"/>
                <w:sz w:val="22"/>
                <w:szCs w:val="22"/>
              </w:rPr>
              <w:t xml:space="preserve">/перенос тестов/вопросов между приложениями; QTI 3.0 Final (11 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May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t xml:space="preserve"> 2022); подчёркивает </w:t>
            </w:r>
            <w:r w:rsidRPr="00607460">
              <w:rPr>
                <w:rFonts w:cs="Arial"/>
                <w:sz w:val="22"/>
                <w:szCs w:val="22"/>
              </w:rPr>
              <w:lastRenderedPageBreak/>
              <w:t xml:space="preserve">метаданные, 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scoring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t xml:space="preserve"> 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logic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t xml:space="preserve">, 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web-friendly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t xml:space="preserve"> подход </w:t>
            </w:r>
          </w:p>
        </w:tc>
        <w:tc>
          <w:tcPr>
            <w:tcW w:w="1318" w:type="dxa"/>
            <w:vAlign w:val="center"/>
            <w:hideMark/>
          </w:tcPr>
          <w:p w14:paraId="4256086D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lastRenderedPageBreak/>
              <w:t>Основание для модели «банк вопросов/экспорт/импорт»</w:t>
            </w:r>
          </w:p>
        </w:tc>
        <w:tc>
          <w:tcPr>
            <w:tcW w:w="1740" w:type="dxa"/>
            <w:vAlign w:val="center"/>
            <w:hideMark/>
          </w:tcPr>
          <w:p w14:paraId="798E1FD3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>Полная реализация QTI может быть избыточна для прототипа</w:t>
            </w:r>
          </w:p>
        </w:tc>
        <w:tc>
          <w:tcPr>
            <w:tcW w:w="1940" w:type="dxa"/>
            <w:vAlign w:val="center"/>
            <w:hideMark/>
          </w:tcPr>
          <w:p w14:paraId="5C67E6E0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>Требования к модели данных вопросов, метаданных и совместимости</w:t>
            </w:r>
          </w:p>
        </w:tc>
      </w:tr>
      <w:tr w:rsidR="00607460" w:rsidRPr="00607460" w14:paraId="69DAF40E" w14:textId="77777777" w:rsidTr="00607460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AFC073D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>Стандарт LMS</w:t>
            </w:r>
            <w:r w:rsidRPr="00607460">
              <w:rPr>
                <w:rFonts w:cs="Arial"/>
                <w:sz w:val="22"/>
                <w:szCs w:val="22"/>
              </w:rPr>
              <w:noBreakHyphen/>
              <w:t>трекинга (контекст)</w:t>
            </w:r>
          </w:p>
        </w:tc>
        <w:tc>
          <w:tcPr>
            <w:tcW w:w="1074" w:type="dxa"/>
            <w:vAlign w:val="center"/>
            <w:hideMark/>
          </w:tcPr>
          <w:p w14:paraId="71AE8E3E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  <w:lang w:val="en-US"/>
              </w:rPr>
            </w:pPr>
            <w:r w:rsidRPr="00607460">
              <w:rPr>
                <w:rFonts w:cs="Arial"/>
                <w:sz w:val="22"/>
                <w:szCs w:val="22"/>
                <w:lang w:val="en-US"/>
              </w:rPr>
              <w:t>SCORM (ADL docs + dev-</w:t>
            </w:r>
            <w:r w:rsidRPr="00607460">
              <w:rPr>
                <w:rFonts w:cs="Arial"/>
                <w:sz w:val="22"/>
                <w:szCs w:val="22"/>
              </w:rPr>
              <w:t>гайды</w:t>
            </w:r>
            <w:r w:rsidRPr="00607460">
              <w:rPr>
                <w:rFonts w:cs="Arial"/>
                <w:sz w:val="22"/>
                <w:szCs w:val="22"/>
                <w:lang w:val="en-US"/>
              </w:rPr>
              <w:t>)</w:t>
            </w:r>
          </w:p>
        </w:tc>
        <w:tc>
          <w:tcPr>
            <w:tcW w:w="1203" w:type="dxa"/>
            <w:vAlign w:val="center"/>
            <w:hideMark/>
          </w:tcPr>
          <w:p w14:paraId="5093CD9E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>Стандарт/референс-модель</w:t>
            </w:r>
          </w:p>
        </w:tc>
        <w:tc>
          <w:tcPr>
            <w:tcW w:w="2737" w:type="dxa"/>
            <w:vAlign w:val="center"/>
            <w:hideMark/>
          </w:tcPr>
          <w:p w14:paraId="51441238" w14:textId="0C04C904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 xml:space="preserve">SCORM описывает 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launch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t xml:space="preserve">, коммуникацию 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LMS↔контент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t xml:space="preserve">, 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data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t xml:space="preserve"> 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model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t>; RTE книга фиксирует логику трекинга опыта с контент</w:t>
            </w:r>
            <w:r w:rsidRPr="00607460">
              <w:rPr>
                <w:rFonts w:cs="Arial"/>
                <w:sz w:val="22"/>
                <w:szCs w:val="22"/>
              </w:rPr>
              <w:noBreakHyphen/>
              <w:t>объектами (SCO/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asset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t xml:space="preserve">) </w:t>
            </w:r>
          </w:p>
        </w:tc>
        <w:tc>
          <w:tcPr>
            <w:tcW w:w="1318" w:type="dxa"/>
            <w:vAlign w:val="center"/>
            <w:hideMark/>
          </w:tcPr>
          <w:p w14:paraId="3B7BD6CB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>Показывает «классический подход» и ограничения традиционного трекинга</w:t>
            </w:r>
          </w:p>
        </w:tc>
        <w:tc>
          <w:tcPr>
            <w:tcW w:w="1740" w:type="dxa"/>
            <w:vAlign w:val="center"/>
            <w:hideMark/>
          </w:tcPr>
          <w:p w14:paraId="18EC0B88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>SCORM менее гибок для «вне LMS» и тонкой событийности; внедрение может не соответствовать вашей веб</w:t>
            </w:r>
            <w:r w:rsidRPr="00607460">
              <w:rPr>
                <w:rFonts w:cs="Arial"/>
                <w:sz w:val="22"/>
                <w:szCs w:val="22"/>
              </w:rPr>
              <w:noBreakHyphen/>
              <w:t>архитектуре</w:t>
            </w:r>
          </w:p>
        </w:tc>
        <w:tc>
          <w:tcPr>
            <w:tcW w:w="1940" w:type="dxa"/>
            <w:vAlign w:val="center"/>
            <w:hideMark/>
          </w:tcPr>
          <w:p w14:paraId="32831575" w14:textId="77777777" w:rsidR="00607460" w:rsidRPr="00607460" w:rsidRDefault="00607460" w:rsidP="00607460">
            <w:pPr>
              <w:spacing w:line="276" w:lineRule="auto"/>
              <w:rPr>
                <w:rFonts w:cs="Arial"/>
                <w:sz w:val="22"/>
                <w:szCs w:val="22"/>
              </w:rPr>
            </w:pPr>
            <w:r w:rsidRPr="00607460">
              <w:rPr>
                <w:rFonts w:cs="Arial"/>
                <w:sz w:val="22"/>
                <w:szCs w:val="22"/>
              </w:rPr>
              <w:t>В обзоре существующих подходов: почему нужен более событийный трекинг (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xAPI</w:t>
            </w:r>
            <w:proofErr w:type="spellEnd"/>
            <w:r w:rsidRPr="00607460">
              <w:rPr>
                <w:rFonts w:cs="Arial"/>
                <w:sz w:val="22"/>
                <w:szCs w:val="22"/>
              </w:rPr>
              <w:noBreakHyphen/>
              <w:t xml:space="preserve">подобный) для </w:t>
            </w:r>
            <w:proofErr w:type="spellStart"/>
            <w:r w:rsidRPr="00607460">
              <w:rPr>
                <w:rFonts w:cs="Arial"/>
                <w:sz w:val="22"/>
                <w:szCs w:val="22"/>
              </w:rPr>
              <w:t>микроинтерактивов</w:t>
            </w:r>
            <w:proofErr w:type="spellEnd"/>
          </w:p>
        </w:tc>
      </w:tr>
    </w:tbl>
    <w:p w14:paraId="0FD1B307" w14:textId="2A244827" w:rsidR="00607460" w:rsidRPr="00607460" w:rsidRDefault="00607460" w:rsidP="00607460">
      <w:pPr>
        <w:spacing w:line="276" w:lineRule="auto"/>
        <w:rPr>
          <w:rFonts w:cs="Arial"/>
          <w:sz w:val="28"/>
          <w:szCs w:val="28"/>
        </w:rPr>
      </w:pPr>
    </w:p>
    <w:p w14:paraId="7ACDC345" w14:textId="5731A1B1" w:rsidR="00607460" w:rsidRPr="00607460" w:rsidRDefault="00607460" w:rsidP="00607460">
      <w:pPr>
        <w:spacing w:line="276" w:lineRule="auto"/>
        <w:rPr>
          <w:rFonts w:cs="Arial"/>
          <w:b/>
          <w:bCs/>
          <w:sz w:val="28"/>
          <w:szCs w:val="28"/>
        </w:rPr>
      </w:pPr>
      <w:r w:rsidRPr="00607460">
        <w:rPr>
          <w:rFonts w:cs="Arial"/>
          <w:b/>
          <w:bCs/>
          <w:sz w:val="28"/>
          <w:szCs w:val="28"/>
        </w:rPr>
        <w:t xml:space="preserve">2) Сопоставление по ключевым понятиям </w:t>
      </w:r>
    </w:p>
    <w:p w14:paraId="42C922F4" w14:textId="77777777" w:rsidR="00607460" w:rsidRPr="00607460" w:rsidRDefault="00607460" w:rsidP="00607460">
      <w:pPr>
        <w:spacing w:line="276" w:lineRule="auto"/>
        <w:rPr>
          <w:rFonts w:cs="Arial"/>
          <w:b/>
          <w:bCs/>
          <w:sz w:val="28"/>
          <w:szCs w:val="28"/>
        </w:rPr>
      </w:pPr>
      <w:r w:rsidRPr="00607460">
        <w:rPr>
          <w:rFonts w:cs="Arial"/>
          <w:b/>
          <w:bCs/>
          <w:sz w:val="28"/>
          <w:szCs w:val="28"/>
        </w:rPr>
        <w:t>2.1. Что такое микрообучение: консенсус и различия в акцентах</w:t>
      </w:r>
    </w:p>
    <w:p w14:paraId="394ED244" w14:textId="0027A580" w:rsidR="00607460" w:rsidRPr="00607460" w:rsidRDefault="00607460" w:rsidP="00607460">
      <w:pPr>
        <w:spacing w:line="276" w:lineRule="auto"/>
        <w:rPr>
          <w:rFonts w:cs="Arial"/>
          <w:sz w:val="28"/>
          <w:szCs w:val="28"/>
        </w:rPr>
      </w:pPr>
      <w:r w:rsidRPr="00607460">
        <w:rPr>
          <w:rFonts w:cs="Arial"/>
          <w:sz w:val="28"/>
          <w:szCs w:val="28"/>
        </w:rPr>
        <w:t xml:space="preserve">Сходятся: </w:t>
      </w:r>
      <w:proofErr w:type="spellStart"/>
      <w:r w:rsidRPr="00607460">
        <w:rPr>
          <w:rFonts w:cs="Arial"/>
          <w:sz w:val="28"/>
          <w:szCs w:val="28"/>
        </w:rPr>
        <w:t>TechTarget</w:t>
      </w:r>
      <w:proofErr w:type="spellEnd"/>
      <w:r w:rsidRPr="00607460">
        <w:rPr>
          <w:rFonts w:cs="Arial"/>
          <w:sz w:val="28"/>
          <w:szCs w:val="28"/>
        </w:rPr>
        <w:t xml:space="preserve"> и научные обзоры (</w:t>
      </w:r>
      <w:proofErr w:type="spellStart"/>
      <w:r w:rsidRPr="00607460">
        <w:rPr>
          <w:rFonts w:cs="Arial"/>
          <w:sz w:val="28"/>
          <w:szCs w:val="28"/>
        </w:rPr>
        <w:t>Leong</w:t>
      </w:r>
      <w:proofErr w:type="spellEnd"/>
      <w:r w:rsidRPr="00607460">
        <w:rPr>
          <w:rFonts w:cs="Arial"/>
          <w:sz w:val="28"/>
          <w:szCs w:val="28"/>
        </w:rPr>
        <w:t xml:space="preserve"> </w:t>
      </w:r>
      <w:proofErr w:type="spellStart"/>
      <w:r w:rsidRPr="00607460">
        <w:rPr>
          <w:rFonts w:cs="Arial"/>
          <w:sz w:val="28"/>
          <w:szCs w:val="28"/>
        </w:rPr>
        <w:t>et</w:t>
      </w:r>
      <w:proofErr w:type="spellEnd"/>
      <w:r w:rsidRPr="00607460">
        <w:rPr>
          <w:rFonts w:cs="Arial"/>
          <w:sz w:val="28"/>
          <w:szCs w:val="28"/>
        </w:rPr>
        <w:t xml:space="preserve"> </w:t>
      </w:r>
      <w:proofErr w:type="spellStart"/>
      <w:r w:rsidRPr="00607460">
        <w:rPr>
          <w:rFonts w:cs="Arial"/>
          <w:sz w:val="28"/>
          <w:szCs w:val="28"/>
        </w:rPr>
        <w:t>al</w:t>
      </w:r>
      <w:proofErr w:type="spellEnd"/>
      <w:r w:rsidRPr="00607460">
        <w:rPr>
          <w:rFonts w:cs="Arial"/>
          <w:sz w:val="28"/>
          <w:szCs w:val="28"/>
        </w:rPr>
        <w:t xml:space="preserve">.; </w:t>
      </w:r>
      <w:proofErr w:type="spellStart"/>
      <w:r w:rsidRPr="00607460">
        <w:rPr>
          <w:rFonts w:cs="Arial"/>
          <w:sz w:val="28"/>
          <w:szCs w:val="28"/>
        </w:rPr>
        <w:t>Denojean</w:t>
      </w:r>
      <w:r w:rsidRPr="00607460">
        <w:rPr>
          <w:rFonts w:cs="Arial"/>
          <w:sz w:val="28"/>
          <w:szCs w:val="28"/>
        </w:rPr>
        <w:noBreakHyphen/>
        <w:t>Mairet</w:t>
      </w:r>
      <w:proofErr w:type="spellEnd"/>
      <w:r w:rsidRPr="00607460">
        <w:rPr>
          <w:rFonts w:cs="Arial"/>
          <w:sz w:val="28"/>
          <w:szCs w:val="28"/>
        </w:rPr>
        <w:t xml:space="preserve"> </w:t>
      </w:r>
      <w:proofErr w:type="spellStart"/>
      <w:r w:rsidRPr="00607460">
        <w:rPr>
          <w:rFonts w:cs="Arial"/>
          <w:sz w:val="28"/>
          <w:szCs w:val="28"/>
        </w:rPr>
        <w:t>et</w:t>
      </w:r>
      <w:proofErr w:type="spellEnd"/>
      <w:r w:rsidRPr="00607460">
        <w:rPr>
          <w:rFonts w:cs="Arial"/>
          <w:sz w:val="28"/>
          <w:szCs w:val="28"/>
        </w:rPr>
        <w:t xml:space="preserve"> </w:t>
      </w:r>
      <w:proofErr w:type="spellStart"/>
      <w:r w:rsidRPr="00607460">
        <w:rPr>
          <w:rFonts w:cs="Arial"/>
          <w:sz w:val="28"/>
          <w:szCs w:val="28"/>
        </w:rPr>
        <w:t>al</w:t>
      </w:r>
      <w:proofErr w:type="spellEnd"/>
      <w:r w:rsidRPr="00607460">
        <w:rPr>
          <w:rFonts w:cs="Arial"/>
          <w:sz w:val="28"/>
          <w:szCs w:val="28"/>
        </w:rPr>
        <w:t>.) трактуют микрообучение как обучение малыми единицами (</w:t>
      </w:r>
      <w:proofErr w:type="spellStart"/>
      <w:r w:rsidRPr="00607460">
        <w:rPr>
          <w:rFonts w:cs="Arial"/>
          <w:sz w:val="28"/>
          <w:szCs w:val="28"/>
        </w:rPr>
        <w:t>chunks</w:t>
      </w:r>
      <w:proofErr w:type="spellEnd"/>
      <w:r w:rsidRPr="00607460">
        <w:rPr>
          <w:rFonts w:cs="Arial"/>
          <w:sz w:val="28"/>
          <w:szCs w:val="28"/>
        </w:rPr>
        <w:t>/</w:t>
      </w:r>
      <w:proofErr w:type="spellStart"/>
      <w:r w:rsidRPr="00607460">
        <w:rPr>
          <w:rFonts w:cs="Arial"/>
          <w:sz w:val="28"/>
          <w:szCs w:val="28"/>
        </w:rPr>
        <w:t>units</w:t>
      </w:r>
      <w:proofErr w:type="spellEnd"/>
      <w:r w:rsidRPr="00607460">
        <w:rPr>
          <w:rFonts w:cs="Arial"/>
          <w:sz w:val="28"/>
          <w:szCs w:val="28"/>
        </w:rPr>
        <w:t>), применимое в цифровой среде, часто связанное с мобильным/онлайн</w:t>
      </w:r>
      <w:r w:rsidRPr="00607460">
        <w:rPr>
          <w:rFonts w:cs="Arial"/>
          <w:sz w:val="28"/>
          <w:szCs w:val="28"/>
        </w:rPr>
        <w:noBreakHyphen/>
        <w:t xml:space="preserve">контентом. </w:t>
      </w:r>
    </w:p>
    <w:p w14:paraId="1FE55C90" w14:textId="77777777" w:rsidR="00607460" w:rsidRPr="00607460" w:rsidRDefault="00607460" w:rsidP="00607460">
      <w:pPr>
        <w:spacing w:line="276" w:lineRule="auto"/>
        <w:rPr>
          <w:rFonts w:cs="Arial"/>
          <w:sz w:val="28"/>
          <w:szCs w:val="28"/>
        </w:rPr>
      </w:pPr>
      <w:r w:rsidRPr="00607460">
        <w:rPr>
          <w:rFonts w:cs="Arial"/>
          <w:sz w:val="28"/>
          <w:szCs w:val="28"/>
        </w:rPr>
        <w:t>Различия:</w:t>
      </w:r>
    </w:p>
    <w:p w14:paraId="3D1CBC55" w14:textId="0F2E5961" w:rsidR="00607460" w:rsidRPr="00607460" w:rsidRDefault="00607460" w:rsidP="00607460">
      <w:pPr>
        <w:numPr>
          <w:ilvl w:val="0"/>
          <w:numId w:val="13"/>
        </w:numPr>
        <w:spacing w:line="276" w:lineRule="auto"/>
        <w:rPr>
          <w:rFonts w:cs="Arial"/>
          <w:sz w:val="28"/>
          <w:szCs w:val="28"/>
        </w:rPr>
      </w:pPr>
      <w:r w:rsidRPr="00607460">
        <w:rPr>
          <w:rFonts w:cs="Arial"/>
          <w:sz w:val="28"/>
          <w:szCs w:val="28"/>
        </w:rPr>
        <w:t>Практико</w:t>
      </w:r>
      <w:r w:rsidRPr="00607460">
        <w:rPr>
          <w:rFonts w:cs="Arial"/>
          <w:sz w:val="28"/>
          <w:szCs w:val="28"/>
        </w:rPr>
        <w:noBreakHyphen/>
        <w:t xml:space="preserve">ориентированный источник </w:t>
      </w:r>
      <w:proofErr w:type="spellStart"/>
      <w:r w:rsidRPr="00607460">
        <w:rPr>
          <w:rFonts w:cs="Arial"/>
          <w:sz w:val="28"/>
          <w:szCs w:val="28"/>
        </w:rPr>
        <w:t>TechTarget</w:t>
      </w:r>
      <w:proofErr w:type="spellEnd"/>
      <w:r w:rsidRPr="00607460">
        <w:rPr>
          <w:rFonts w:cs="Arial"/>
          <w:sz w:val="28"/>
          <w:szCs w:val="28"/>
        </w:rPr>
        <w:t xml:space="preserve"> вводит «</w:t>
      </w:r>
      <w:proofErr w:type="spellStart"/>
      <w:r w:rsidRPr="00607460">
        <w:rPr>
          <w:rFonts w:cs="Arial"/>
          <w:sz w:val="28"/>
          <w:szCs w:val="28"/>
        </w:rPr>
        <w:t>операциональные</w:t>
      </w:r>
      <w:proofErr w:type="spellEnd"/>
      <w:r w:rsidRPr="00607460">
        <w:rPr>
          <w:rFonts w:cs="Arial"/>
          <w:sz w:val="28"/>
          <w:szCs w:val="28"/>
        </w:rPr>
        <w:t xml:space="preserve">» признаки (≈5 минут, 1 цель, библиотека, метаданные, удобство обновления), то есть фактически переводит понятие в требования к продукту. </w:t>
      </w:r>
    </w:p>
    <w:p w14:paraId="1271CF51" w14:textId="4DAD5F50" w:rsidR="00607460" w:rsidRPr="00607460" w:rsidRDefault="00607460" w:rsidP="00607460">
      <w:pPr>
        <w:numPr>
          <w:ilvl w:val="0"/>
          <w:numId w:val="13"/>
        </w:numPr>
        <w:spacing w:line="276" w:lineRule="auto"/>
        <w:rPr>
          <w:rFonts w:cs="Arial"/>
          <w:sz w:val="28"/>
          <w:szCs w:val="28"/>
        </w:rPr>
      </w:pPr>
      <w:proofErr w:type="spellStart"/>
      <w:r w:rsidRPr="00607460">
        <w:rPr>
          <w:rFonts w:cs="Arial"/>
          <w:sz w:val="28"/>
          <w:szCs w:val="28"/>
        </w:rPr>
        <w:t>Leong</w:t>
      </w:r>
      <w:proofErr w:type="spellEnd"/>
      <w:r w:rsidRPr="00607460">
        <w:rPr>
          <w:rFonts w:cs="Arial"/>
          <w:sz w:val="28"/>
          <w:szCs w:val="28"/>
        </w:rPr>
        <w:t xml:space="preserve"> </w:t>
      </w:r>
      <w:proofErr w:type="spellStart"/>
      <w:r w:rsidRPr="00607460">
        <w:rPr>
          <w:rFonts w:cs="Arial"/>
          <w:sz w:val="28"/>
          <w:szCs w:val="28"/>
        </w:rPr>
        <w:t>et</w:t>
      </w:r>
      <w:proofErr w:type="spellEnd"/>
      <w:r w:rsidRPr="00607460">
        <w:rPr>
          <w:rFonts w:cs="Arial"/>
          <w:sz w:val="28"/>
          <w:szCs w:val="28"/>
        </w:rPr>
        <w:t xml:space="preserve"> </w:t>
      </w:r>
      <w:proofErr w:type="spellStart"/>
      <w:r w:rsidRPr="00607460">
        <w:rPr>
          <w:rFonts w:cs="Arial"/>
          <w:sz w:val="28"/>
          <w:szCs w:val="28"/>
        </w:rPr>
        <w:t>al</w:t>
      </w:r>
      <w:proofErr w:type="spellEnd"/>
      <w:r w:rsidRPr="00607460">
        <w:rPr>
          <w:rFonts w:cs="Arial"/>
          <w:sz w:val="28"/>
          <w:szCs w:val="28"/>
        </w:rPr>
        <w:t xml:space="preserve">. не доказывают эффективность микрообучения, а показывают рост интереса в публикациях и запросах; это важно для актуальности, но не подменяет экспериментальные доказательства. </w:t>
      </w:r>
    </w:p>
    <w:p w14:paraId="332B0003" w14:textId="13E83106" w:rsidR="00607460" w:rsidRPr="00607460" w:rsidRDefault="00607460" w:rsidP="00607460">
      <w:pPr>
        <w:numPr>
          <w:ilvl w:val="0"/>
          <w:numId w:val="13"/>
        </w:numPr>
        <w:spacing w:line="276" w:lineRule="auto"/>
        <w:rPr>
          <w:rFonts w:cs="Arial"/>
          <w:sz w:val="28"/>
          <w:szCs w:val="28"/>
        </w:rPr>
      </w:pPr>
      <w:proofErr w:type="spellStart"/>
      <w:r w:rsidRPr="00607460">
        <w:rPr>
          <w:rFonts w:cs="Arial"/>
          <w:sz w:val="28"/>
          <w:szCs w:val="28"/>
        </w:rPr>
        <w:t>Denojean</w:t>
      </w:r>
      <w:r w:rsidRPr="00607460">
        <w:rPr>
          <w:rFonts w:cs="Arial"/>
          <w:sz w:val="28"/>
          <w:szCs w:val="28"/>
        </w:rPr>
        <w:noBreakHyphen/>
        <w:t>Mairet</w:t>
      </w:r>
      <w:proofErr w:type="spellEnd"/>
      <w:r w:rsidRPr="00607460">
        <w:rPr>
          <w:rFonts w:cs="Arial"/>
          <w:sz w:val="28"/>
          <w:szCs w:val="28"/>
        </w:rPr>
        <w:t xml:space="preserve"> </w:t>
      </w:r>
      <w:proofErr w:type="spellStart"/>
      <w:r w:rsidRPr="00607460">
        <w:rPr>
          <w:rFonts w:cs="Arial"/>
          <w:sz w:val="28"/>
          <w:szCs w:val="28"/>
        </w:rPr>
        <w:t>et</w:t>
      </w:r>
      <w:proofErr w:type="spellEnd"/>
      <w:r w:rsidRPr="00607460">
        <w:rPr>
          <w:rFonts w:cs="Arial"/>
          <w:sz w:val="28"/>
          <w:szCs w:val="28"/>
        </w:rPr>
        <w:t xml:space="preserve"> </w:t>
      </w:r>
      <w:proofErr w:type="spellStart"/>
      <w:r w:rsidRPr="00607460">
        <w:rPr>
          <w:rFonts w:cs="Arial"/>
          <w:sz w:val="28"/>
          <w:szCs w:val="28"/>
        </w:rPr>
        <w:t>al</w:t>
      </w:r>
      <w:proofErr w:type="spellEnd"/>
      <w:r w:rsidRPr="00607460">
        <w:rPr>
          <w:rFonts w:cs="Arial"/>
          <w:sz w:val="28"/>
          <w:szCs w:val="28"/>
        </w:rPr>
        <w:t xml:space="preserve">. подсвечивают «сложности интеграции» (контекст, вовлечённость, вызовы), что полезно для честной постановки проблемы: микроформат сам по себе не гарантирует результат. </w:t>
      </w:r>
    </w:p>
    <w:p w14:paraId="52F944AD" w14:textId="10687F4C" w:rsidR="00607460" w:rsidRPr="00607460" w:rsidRDefault="00607460" w:rsidP="00607460">
      <w:pPr>
        <w:spacing w:line="276" w:lineRule="auto"/>
        <w:rPr>
          <w:rFonts w:cs="Arial"/>
          <w:sz w:val="28"/>
          <w:szCs w:val="28"/>
        </w:rPr>
      </w:pPr>
      <w:r w:rsidRPr="00607460">
        <w:rPr>
          <w:rFonts w:cs="Arial"/>
          <w:sz w:val="28"/>
          <w:szCs w:val="28"/>
        </w:rPr>
        <w:lastRenderedPageBreak/>
        <w:t>Вывод для диссертации: определение микрообучения в §1.1 целесообразно фиксировать через прикладные признаки (</w:t>
      </w:r>
      <w:proofErr w:type="spellStart"/>
      <w:r w:rsidRPr="00607460">
        <w:rPr>
          <w:rFonts w:cs="Arial"/>
          <w:sz w:val="28"/>
          <w:szCs w:val="28"/>
        </w:rPr>
        <w:t>TechTarget</w:t>
      </w:r>
      <w:proofErr w:type="spellEnd"/>
      <w:r w:rsidRPr="00607460">
        <w:rPr>
          <w:rFonts w:cs="Arial"/>
          <w:sz w:val="28"/>
          <w:szCs w:val="28"/>
        </w:rPr>
        <w:t>) и подкреплять тем, что направление научно растёт и требует корректного дизайна/оценки (</w:t>
      </w:r>
      <w:proofErr w:type="spellStart"/>
      <w:r w:rsidRPr="00607460">
        <w:rPr>
          <w:rFonts w:cs="Arial"/>
          <w:sz w:val="28"/>
          <w:szCs w:val="28"/>
        </w:rPr>
        <w:t>Leong</w:t>
      </w:r>
      <w:proofErr w:type="spellEnd"/>
      <w:r w:rsidRPr="00607460">
        <w:rPr>
          <w:rFonts w:cs="Arial"/>
          <w:sz w:val="28"/>
          <w:szCs w:val="28"/>
        </w:rPr>
        <w:t xml:space="preserve">; </w:t>
      </w:r>
      <w:proofErr w:type="spellStart"/>
      <w:r w:rsidRPr="00607460">
        <w:rPr>
          <w:rFonts w:cs="Arial"/>
          <w:sz w:val="28"/>
          <w:szCs w:val="28"/>
        </w:rPr>
        <w:t>Denojean</w:t>
      </w:r>
      <w:r w:rsidRPr="00607460">
        <w:rPr>
          <w:rFonts w:cs="Arial"/>
          <w:sz w:val="28"/>
          <w:szCs w:val="28"/>
        </w:rPr>
        <w:noBreakHyphen/>
        <w:t>Mairet</w:t>
      </w:r>
      <w:proofErr w:type="spellEnd"/>
      <w:r w:rsidRPr="00607460">
        <w:rPr>
          <w:rFonts w:cs="Arial"/>
          <w:sz w:val="28"/>
          <w:szCs w:val="28"/>
        </w:rPr>
        <w:t xml:space="preserve">). </w:t>
      </w:r>
    </w:p>
    <w:p w14:paraId="5CBF220B" w14:textId="09D0929E" w:rsidR="00607460" w:rsidRPr="00607460" w:rsidRDefault="00607460" w:rsidP="00607460">
      <w:pPr>
        <w:spacing w:line="276" w:lineRule="auto"/>
        <w:rPr>
          <w:rFonts w:cs="Arial"/>
          <w:b/>
          <w:bCs/>
          <w:sz w:val="28"/>
          <w:szCs w:val="28"/>
        </w:rPr>
      </w:pPr>
      <w:r w:rsidRPr="00607460">
        <w:rPr>
          <w:rFonts w:cs="Arial"/>
          <w:b/>
          <w:bCs/>
          <w:sz w:val="28"/>
          <w:szCs w:val="28"/>
        </w:rPr>
        <w:t>2.</w:t>
      </w:r>
      <w:r w:rsidR="0021026E" w:rsidRPr="0021026E">
        <w:rPr>
          <w:rFonts w:cs="Arial"/>
          <w:b/>
          <w:bCs/>
          <w:sz w:val="28"/>
          <w:szCs w:val="28"/>
        </w:rPr>
        <w:t>2</w:t>
      </w:r>
      <w:r w:rsidRPr="00607460">
        <w:rPr>
          <w:rFonts w:cs="Arial"/>
          <w:b/>
          <w:bCs/>
          <w:sz w:val="28"/>
          <w:szCs w:val="28"/>
        </w:rPr>
        <w:t>. Автоматическая генерация тестов: что обещают обзоры и что они «не закрывают»</w:t>
      </w:r>
    </w:p>
    <w:p w14:paraId="2B89D8DD" w14:textId="5F38D732" w:rsidR="00607460" w:rsidRPr="00607460" w:rsidRDefault="00607460" w:rsidP="00607460">
      <w:pPr>
        <w:spacing w:line="276" w:lineRule="auto"/>
        <w:rPr>
          <w:rFonts w:cs="Arial"/>
          <w:sz w:val="28"/>
          <w:szCs w:val="28"/>
        </w:rPr>
      </w:pPr>
      <w:r w:rsidRPr="00607460">
        <w:rPr>
          <w:rFonts w:cs="Arial"/>
          <w:sz w:val="28"/>
          <w:szCs w:val="28"/>
        </w:rPr>
        <w:t>Сходятся</w:t>
      </w:r>
      <w:r w:rsidRPr="00607460">
        <w:rPr>
          <w:rFonts w:cs="Arial"/>
          <w:sz w:val="28"/>
          <w:szCs w:val="28"/>
          <w:lang w:val="en-US"/>
        </w:rPr>
        <w:t xml:space="preserve">: Mulla &amp; Gharpure (AQG review) </w:t>
      </w:r>
      <w:r w:rsidRPr="00607460">
        <w:rPr>
          <w:rFonts w:cs="Arial"/>
          <w:sz w:val="28"/>
          <w:szCs w:val="28"/>
        </w:rPr>
        <w:t>и</w:t>
      </w:r>
      <w:r w:rsidRPr="00607460">
        <w:rPr>
          <w:rFonts w:cs="Arial"/>
          <w:sz w:val="28"/>
          <w:szCs w:val="28"/>
          <w:lang w:val="en-US"/>
        </w:rPr>
        <w:t xml:space="preserve"> Guo et al. </w:t>
      </w:r>
      <w:r w:rsidRPr="00607460">
        <w:rPr>
          <w:rFonts w:cs="Arial"/>
          <w:sz w:val="28"/>
          <w:szCs w:val="28"/>
        </w:rPr>
        <w:t xml:space="preserve">(NQG </w:t>
      </w:r>
      <w:proofErr w:type="spellStart"/>
      <w:r w:rsidRPr="00607460">
        <w:rPr>
          <w:rFonts w:cs="Arial"/>
          <w:sz w:val="28"/>
          <w:szCs w:val="28"/>
        </w:rPr>
        <w:t>survey</w:t>
      </w:r>
      <w:proofErr w:type="spellEnd"/>
      <w:r w:rsidRPr="00607460">
        <w:rPr>
          <w:rFonts w:cs="Arial"/>
          <w:sz w:val="28"/>
          <w:szCs w:val="28"/>
        </w:rPr>
        <w:t xml:space="preserve">) совпадают в том, что генерация </w:t>
      </w:r>
      <w:proofErr w:type="gramStart"/>
      <w:r w:rsidRPr="00607460">
        <w:rPr>
          <w:rFonts w:cs="Arial"/>
          <w:sz w:val="28"/>
          <w:szCs w:val="28"/>
        </w:rPr>
        <w:t>вопросов  зрелая</w:t>
      </w:r>
      <w:proofErr w:type="gramEnd"/>
      <w:r w:rsidRPr="00607460">
        <w:rPr>
          <w:rFonts w:cs="Arial"/>
          <w:sz w:val="28"/>
          <w:szCs w:val="28"/>
        </w:rPr>
        <w:t xml:space="preserve"> исследовательская область с множеством подходов, датасетов и метрик, но качество и оценка остаются центральной проблемой. </w:t>
      </w:r>
    </w:p>
    <w:p w14:paraId="62515A18" w14:textId="77777777" w:rsidR="00607460" w:rsidRPr="00607460" w:rsidRDefault="00607460" w:rsidP="00607460">
      <w:pPr>
        <w:spacing w:line="276" w:lineRule="auto"/>
        <w:rPr>
          <w:rFonts w:cs="Arial"/>
          <w:sz w:val="28"/>
          <w:szCs w:val="28"/>
        </w:rPr>
      </w:pPr>
      <w:r w:rsidRPr="00607460">
        <w:rPr>
          <w:rFonts w:cs="Arial"/>
          <w:sz w:val="28"/>
          <w:szCs w:val="28"/>
        </w:rPr>
        <w:t>Различия:</w:t>
      </w:r>
    </w:p>
    <w:p w14:paraId="65FA3351" w14:textId="79236DD1" w:rsidR="00607460" w:rsidRPr="00607460" w:rsidRDefault="00607460" w:rsidP="00607460">
      <w:pPr>
        <w:numPr>
          <w:ilvl w:val="0"/>
          <w:numId w:val="16"/>
        </w:numPr>
        <w:spacing w:line="276" w:lineRule="auto"/>
        <w:rPr>
          <w:rFonts w:cs="Arial"/>
          <w:sz w:val="28"/>
          <w:szCs w:val="28"/>
        </w:rPr>
      </w:pPr>
      <w:proofErr w:type="spellStart"/>
      <w:r w:rsidRPr="00607460">
        <w:rPr>
          <w:rFonts w:cs="Arial"/>
          <w:sz w:val="28"/>
          <w:szCs w:val="28"/>
        </w:rPr>
        <w:t>Mulla</w:t>
      </w:r>
      <w:proofErr w:type="spellEnd"/>
      <w:r w:rsidRPr="00607460">
        <w:rPr>
          <w:rFonts w:cs="Arial"/>
          <w:sz w:val="28"/>
          <w:szCs w:val="28"/>
        </w:rPr>
        <w:t xml:space="preserve"> &amp; </w:t>
      </w:r>
      <w:proofErr w:type="spellStart"/>
      <w:r w:rsidRPr="00607460">
        <w:rPr>
          <w:rFonts w:cs="Arial"/>
          <w:sz w:val="28"/>
          <w:szCs w:val="28"/>
        </w:rPr>
        <w:t>Gharpure</w:t>
      </w:r>
      <w:proofErr w:type="spellEnd"/>
      <w:r w:rsidRPr="00607460">
        <w:rPr>
          <w:rFonts w:cs="Arial"/>
          <w:sz w:val="28"/>
          <w:szCs w:val="28"/>
        </w:rPr>
        <w:t xml:space="preserve"> дают более общий обзор (методологии/датасеты/метрики/применения). </w:t>
      </w:r>
    </w:p>
    <w:p w14:paraId="4A8F9A25" w14:textId="693D8BA7" w:rsidR="00607460" w:rsidRPr="00607460" w:rsidRDefault="00607460" w:rsidP="00607460">
      <w:pPr>
        <w:numPr>
          <w:ilvl w:val="0"/>
          <w:numId w:val="16"/>
        </w:numPr>
        <w:spacing w:line="276" w:lineRule="auto"/>
        <w:rPr>
          <w:rFonts w:cs="Arial"/>
          <w:sz w:val="28"/>
          <w:szCs w:val="28"/>
        </w:rPr>
      </w:pPr>
      <w:proofErr w:type="spellStart"/>
      <w:r w:rsidRPr="00607460">
        <w:rPr>
          <w:rFonts w:cs="Arial"/>
          <w:sz w:val="28"/>
          <w:szCs w:val="28"/>
        </w:rPr>
        <w:t>Guo</w:t>
      </w:r>
      <w:proofErr w:type="spellEnd"/>
      <w:r w:rsidRPr="00607460">
        <w:rPr>
          <w:rFonts w:cs="Arial"/>
          <w:sz w:val="28"/>
          <w:szCs w:val="28"/>
        </w:rPr>
        <w:t xml:space="preserve"> </w:t>
      </w:r>
      <w:proofErr w:type="spellStart"/>
      <w:r w:rsidRPr="00607460">
        <w:rPr>
          <w:rFonts w:cs="Arial"/>
          <w:sz w:val="28"/>
          <w:szCs w:val="28"/>
        </w:rPr>
        <w:t>et</w:t>
      </w:r>
      <w:proofErr w:type="spellEnd"/>
      <w:r w:rsidRPr="00607460">
        <w:rPr>
          <w:rFonts w:cs="Arial"/>
          <w:sz w:val="28"/>
          <w:szCs w:val="28"/>
        </w:rPr>
        <w:t xml:space="preserve"> </w:t>
      </w:r>
      <w:proofErr w:type="spellStart"/>
      <w:r w:rsidRPr="00607460">
        <w:rPr>
          <w:rFonts w:cs="Arial"/>
          <w:sz w:val="28"/>
          <w:szCs w:val="28"/>
        </w:rPr>
        <w:t>al</w:t>
      </w:r>
      <w:proofErr w:type="spellEnd"/>
      <w:r w:rsidRPr="00607460">
        <w:rPr>
          <w:rFonts w:cs="Arial"/>
          <w:sz w:val="28"/>
          <w:szCs w:val="28"/>
        </w:rPr>
        <w:t>. предлагают строгую классификацию по типу входа (</w:t>
      </w:r>
      <w:proofErr w:type="spellStart"/>
      <w:r w:rsidRPr="00607460">
        <w:rPr>
          <w:rFonts w:cs="Arial"/>
          <w:sz w:val="28"/>
          <w:szCs w:val="28"/>
        </w:rPr>
        <w:t>structured</w:t>
      </w:r>
      <w:proofErr w:type="spellEnd"/>
      <w:r w:rsidRPr="00607460">
        <w:rPr>
          <w:rFonts w:cs="Arial"/>
          <w:sz w:val="28"/>
          <w:szCs w:val="28"/>
        </w:rPr>
        <w:t>/</w:t>
      </w:r>
      <w:proofErr w:type="spellStart"/>
      <w:r w:rsidRPr="00607460">
        <w:rPr>
          <w:rFonts w:cs="Arial"/>
          <w:sz w:val="28"/>
          <w:szCs w:val="28"/>
        </w:rPr>
        <w:t>unstructured</w:t>
      </w:r>
      <w:proofErr w:type="spellEnd"/>
      <w:r w:rsidRPr="00607460">
        <w:rPr>
          <w:rFonts w:cs="Arial"/>
          <w:sz w:val="28"/>
          <w:szCs w:val="28"/>
        </w:rPr>
        <w:t>/</w:t>
      </w:r>
      <w:proofErr w:type="spellStart"/>
      <w:r w:rsidRPr="00607460">
        <w:rPr>
          <w:rFonts w:cs="Arial"/>
          <w:sz w:val="28"/>
          <w:szCs w:val="28"/>
        </w:rPr>
        <w:t>hybrid</w:t>
      </w:r>
      <w:proofErr w:type="spellEnd"/>
      <w:r w:rsidRPr="00607460">
        <w:rPr>
          <w:rFonts w:cs="Arial"/>
          <w:sz w:val="28"/>
          <w:szCs w:val="28"/>
        </w:rPr>
        <w:t xml:space="preserve">) и систематизируют исследовательские направления и перспективы. </w:t>
      </w:r>
    </w:p>
    <w:p w14:paraId="0219509E" w14:textId="77777777" w:rsidR="00607460" w:rsidRPr="00607460" w:rsidRDefault="00607460" w:rsidP="00607460">
      <w:pPr>
        <w:spacing w:line="276" w:lineRule="auto"/>
        <w:rPr>
          <w:rFonts w:cs="Arial"/>
          <w:sz w:val="28"/>
          <w:szCs w:val="28"/>
        </w:rPr>
      </w:pPr>
      <w:r w:rsidRPr="00607460">
        <w:rPr>
          <w:rFonts w:cs="Arial"/>
          <w:sz w:val="28"/>
          <w:szCs w:val="28"/>
        </w:rPr>
        <w:t>Практический разрыв (</w:t>
      </w:r>
      <w:proofErr w:type="spellStart"/>
      <w:r w:rsidRPr="00607460">
        <w:rPr>
          <w:rFonts w:cs="Arial"/>
          <w:sz w:val="28"/>
          <w:szCs w:val="28"/>
        </w:rPr>
        <w:t>gap</w:t>
      </w:r>
      <w:proofErr w:type="spellEnd"/>
      <w:r w:rsidRPr="00607460">
        <w:rPr>
          <w:rFonts w:cs="Arial"/>
          <w:sz w:val="28"/>
          <w:szCs w:val="28"/>
        </w:rPr>
        <w:t>) для вашей темы: оба источника в целом ориентированы на научные постановки задач и «универсальные» датасеты, а корпоративное обучение требует дополнительных гарантий:</w:t>
      </w:r>
    </w:p>
    <w:p w14:paraId="20366257" w14:textId="77777777" w:rsidR="00607460" w:rsidRPr="00607460" w:rsidRDefault="00607460" w:rsidP="00607460">
      <w:pPr>
        <w:numPr>
          <w:ilvl w:val="0"/>
          <w:numId w:val="17"/>
        </w:numPr>
        <w:spacing w:line="276" w:lineRule="auto"/>
        <w:rPr>
          <w:rFonts w:cs="Arial"/>
          <w:sz w:val="28"/>
          <w:szCs w:val="28"/>
        </w:rPr>
      </w:pPr>
      <w:r w:rsidRPr="00607460">
        <w:rPr>
          <w:rFonts w:cs="Arial"/>
          <w:sz w:val="28"/>
          <w:szCs w:val="28"/>
        </w:rPr>
        <w:t>соответствие вопросам конкретных целей/компетенций,</w:t>
      </w:r>
    </w:p>
    <w:p w14:paraId="61676C23" w14:textId="77777777" w:rsidR="00607460" w:rsidRPr="00607460" w:rsidRDefault="00607460" w:rsidP="00607460">
      <w:pPr>
        <w:numPr>
          <w:ilvl w:val="0"/>
          <w:numId w:val="17"/>
        </w:numPr>
        <w:spacing w:line="276" w:lineRule="auto"/>
        <w:rPr>
          <w:rFonts w:cs="Arial"/>
          <w:sz w:val="28"/>
          <w:szCs w:val="28"/>
        </w:rPr>
      </w:pPr>
      <w:r w:rsidRPr="00607460">
        <w:rPr>
          <w:rFonts w:cs="Arial"/>
          <w:sz w:val="28"/>
          <w:szCs w:val="28"/>
        </w:rPr>
        <w:t>управляемая сложность,</w:t>
      </w:r>
    </w:p>
    <w:p w14:paraId="57AC64F6" w14:textId="77777777" w:rsidR="00607460" w:rsidRPr="00607460" w:rsidRDefault="00607460" w:rsidP="00607460">
      <w:pPr>
        <w:numPr>
          <w:ilvl w:val="0"/>
          <w:numId w:val="17"/>
        </w:numPr>
        <w:spacing w:line="276" w:lineRule="auto"/>
        <w:rPr>
          <w:rFonts w:cs="Arial"/>
          <w:sz w:val="28"/>
          <w:szCs w:val="28"/>
        </w:rPr>
      </w:pPr>
      <w:r w:rsidRPr="00607460">
        <w:rPr>
          <w:rFonts w:cs="Arial"/>
          <w:sz w:val="28"/>
          <w:szCs w:val="28"/>
        </w:rPr>
        <w:t>прослеживаемость «вопрос ↔ источник ↔ правило/регламент»,</w:t>
      </w:r>
    </w:p>
    <w:p w14:paraId="6A87B157" w14:textId="454DB02F" w:rsidR="00093DA7" w:rsidRPr="0021026E" w:rsidRDefault="00607460" w:rsidP="0021026E">
      <w:pPr>
        <w:numPr>
          <w:ilvl w:val="0"/>
          <w:numId w:val="17"/>
        </w:numPr>
        <w:spacing w:line="276" w:lineRule="auto"/>
        <w:rPr>
          <w:rFonts w:cs="Arial"/>
          <w:sz w:val="28"/>
          <w:szCs w:val="28"/>
        </w:rPr>
      </w:pPr>
      <w:r w:rsidRPr="00607460">
        <w:rPr>
          <w:rFonts w:cs="Arial"/>
          <w:sz w:val="28"/>
          <w:szCs w:val="28"/>
        </w:rPr>
        <w:t>контуры модерации/редактирования и измерения качества вопроса по статистике ответов (</w:t>
      </w:r>
      <w:proofErr w:type="spellStart"/>
      <w:r w:rsidRPr="00607460">
        <w:rPr>
          <w:rFonts w:cs="Arial"/>
          <w:sz w:val="28"/>
          <w:szCs w:val="28"/>
        </w:rPr>
        <w:t>item</w:t>
      </w:r>
      <w:proofErr w:type="spellEnd"/>
      <w:r w:rsidRPr="00607460">
        <w:rPr>
          <w:rFonts w:cs="Arial"/>
          <w:sz w:val="28"/>
          <w:szCs w:val="28"/>
        </w:rPr>
        <w:t xml:space="preserve"> </w:t>
      </w:r>
      <w:proofErr w:type="spellStart"/>
      <w:r w:rsidRPr="00607460">
        <w:rPr>
          <w:rFonts w:cs="Arial"/>
          <w:sz w:val="28"/>
          <w:szCs w:val="28"/>
        </w:rPr>
        <w:t>analytics</w:t>
      </w:r>
      <w:proofErr w:type="spellEnd"/>
      <w:r w:rsidRPr="00607460">
        <w:rPr>
          <w:rFonts w:cs="Arial"/>
          <w:sz w:val="28"/>
          <w:szCs w:val="28"/>
        </w:rPr>
        <w:t>).</w:t>
      </w:r>
      <w:r w:rsidRPr="00607460">
        <w:rPr>
          <w:rFonts w:cs="Arial"/>
          <w:sz w:val="28"/>
          <w:szCs w:val="28"/>
        </w:rPr>
        <w:br/>
        <w:t>Эта часть чаще ложится уже на проектирование системы и вашу научно</w:t>
      </w:r>
      <w:r w:rsidRPr="00607460">
        <w:rPr>
          <w:rFonts w:cs="Arial"/>
          <w:sz w:val="28"/>
          <w:szCs w:val="28"/>
        </w:rPr>
        <w:noBreakHyphen/>
        <w:t xml:space="preserve">практическую новизну, а не закрывается готовыми обзорами.  </w:t>
      </w:r>
    </w:p>
    <w:sectPr w:rsidR="00093DA7" w:rsidRPr="002102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E6560" w14:textId="77777777" w:rsidR="00E43E14" w:rsidRDefault="00E43E14" w:rsidP="006F1A34">
      <w:pPr>
        <w:spacing w:after="0" w:line="240" w:lineRule="auto"/>
      </w:pPr>
      <w:r>
        <w:separator/>
      </w:r>
    </w:p>
  </w:endnote>
  <w:endnote w:type="continuationSeparator" w:id="0">
    <w:p w14:paraId="0E3D9D91" w14:textId="77777777" w:rsidR="00E43E14" w:rsidRDefault="00E43E14" w:rsidP="006F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7B30B" w14:textId="77777777" w:rsidR="00E43E14" w:rsidRDefault="00E43E14" w:rsidP="006F1A34">
      <w:pPr>
        <w:spacing w:after="0" w:line="240" w:lineRule="auto"/>
      </w:pPr>
      <w:r>
        <w:separator/>
      </w:r>
    </w:p>
  </w:footnote>
  <w:footnote w:type="continuationSeparator" w:id="0">
    <w:p w14:paraId="3A63DE17" w14:textId="77777777" w:rsidR="00E43E14" w:rsidRDefault="00E43E14" w:rsidP="006F1A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03C50"/>
    <w:multiLevelType w:val="multilevel"/>
    <w:tmpl w:val="2EEA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E2027"/>
    <w:multiLevelType w:val="multilevel"/>
    <w:tmpl w:val="6FA0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4139D"/>
    <w:multiLevelType w:val="multilevel"/>
    <w:tmpl w:val="4D621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3F7057"/>
    <w:multiLevelType w:val="multilevel"/>
    <w:tmpl w:val="FA1A5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924639"/>
    <w:multiLevelType w:val="multilevel"/>
    <w:tmpl w:val="5BC2A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EC2D51"/>
    <w:multiLevelType w:val="multilevel"/>
    <w:tmpl w:val="7358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976AE"/>
    <w:multiLevelType w:val="multilevel"/>
    <w:tmpl w:val="84EA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A690F"/>
    <w:multiLevelType w:val="multilevel"/>
    <w:tmpl w:val="89F4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651608"/>
    <w:multiLevelType w:val="multilevel"/>
    <w:tmpl w:val="F068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D973C5"/>
    <w:multiLevelType w:val="multilevel"/>
    <w:tmpl w:val="290A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1833AF"/>
    <w:multiLevelType w:val="multilevel"/>
    <w:tmpl w:val="EF32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0B6BB1"/>
    <w:multiLevelType w:val="multilevel"/>
    <w:tmpl w:val="50CC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7D5ABB"/>
    <w:multiLevelType w:val="multilevel"/>
    <w:tmpl w:val="FF6A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6F3BAB"/>
    <w:multiLevelType w:val="multilevel"/>
    <w:tmpl w:val="ABDE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D73EB3"/>
    <w:multiLevelType w:val="multilevel"/>
    <w:tmpl w:val="2CDA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C74278"/>
    <w:multiLevelType w:val="multilevel"/>
    <w:tmpl w:val="7DAC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684F89"/>
    <w:multiLevelType w:val="multilevel"/>
    <w:tmpl w:val="E0B2B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90620A"/>
    <w:multiLevelType w:val="multilevel"/>
    <w:tmpl w:val="BEE02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055564"/>
    <w:multiLevelType w:val="multilevel"/>
    <w:tmpl w:val="7082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580346">
    <w:abstractNumId w:val="4"/>
  </w:num>
  <w:num w:numId="2" w16cid:durableId="1797481571">
    <w:abstractNumId w:val="14"/>
  </w:num>
  <w:num w:numId="3" w16cid:durableId="1636058101">
    <w:abstractNumId w:val="15"/>
  </w:num>
  <w:num w:numId="4" w16cid:durableId="394400466">
    <w:abstractNumId w:val="8"/>
  </w:num>
  <w:num w:numId="5" w16cid:durableId="392001035">
    <w:abstractNumId w:val="9"/>
  </w:num>
  <w:num w:numId="6" w16cid:durableId="506405809">
    <w:abstractNumId w:val="0"/>
  </w:num>
  <w:num w:numId="7" w16cid:durableId="1651900795">
    <w:abstractNumId w:val="17"/>
  </w:num>
  <w:num w:numId="8" w16cid:durableId="958876462">
    <w:abstractNumId w:val="6"/>
  </w:num>
  <w:num w:numId="9" w16cid:durableId="1631746636">
    <w:abstractNumId w:val="16"/>
  </w:num>
  <w:num w:numId="10" w16cid:durableId="1379816172">
    <w:abstractNumId w:val="7"/>
  </w:num>
  <w:num w:numId="11" w16cid:durableId="1407023924">
    <w:abstractNumId w:val="13"/>
  </w:num>
  <w:num w:numId="12" w16cid:durableId="715816475">
    <w:abstractNumId w:val="3"/>
  </w:num>
  <w:num w:numId="13" w16cid:durableId="494347495">
    <w:abstractNumId w:val="5"/>
  </w:num>
  <w:num w:numId="14" w16cid:durableId="1254052635">
    <w:abstractNumId w:val="18"/>
  </w:num>
  <w:num w:numId="15" w16cid:durableId="2006669286">
    <w:abstractNumId w:val="1"/>
  </w:num>
  <w:num w:numId="16" w16cid:durableId="1766875644">
    <w:abstractNumId w:val="12"/>
  </w:num>
  <w:num w:numId="17" w16cid:durableId="1973053692">
    <w:abstractNumId w:val="11"/>
  </w:num>
  <w:num w:numId="18" w16cid:durableId="1802530656">
    <w:abstractNumId w:val="10"/>
  </w:num>
  <w:num w:numId="19" w16cid:durableId="16765659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D6"/>
    <w:rsid w:val="00093DA7"/>
    <w:rsid w:val="000C2467"/>
    <w:rsid w:val="0021026E"/>
    <w:rsid w:val="002A48C7"/>
    <w:rsid w:val="00303BD9"/>
    <w:rsid w:val="003D5AF7"/>
    <w:rsid w:val="00607460"/>
    <w:rsid w:val="006F1A34"/>
    <w:rsid w:val="00714273"/>
    <w:rsid w:val="0094799E"/>
    <w:rsid w:val="00997BD6"/>
    <w:rsid w:val="00E43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E165C"/>
  <w15:chartTrackingRefBased/>
  <w15:docId w15:val="{62ECD908-F3A2-44E5-84E0-91FD34C9A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7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97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7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7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7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7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7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7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7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7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97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7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7B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7B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7B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7B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7B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7B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7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7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7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7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7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7B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7B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7B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7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7B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7BD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F1A3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F1A34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6F1A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6F1A34"/>
  </w:style>
  <w:style w:type="paragraph" w:styleId="af0">
    <w:name w:val="footer"/>
    <w:basedOn w:val="a"/>
    <w:link w:val="af1"/>
    <w:uiPriority w:val="99"/>
    <w:unhideWhenUsed/>
    <w:rsid w:val="006F1A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6F1A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1408</Words>
  <Characters>8026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воложанин влад</dc:creator>
  <cp:keywords/>
  <dc:description/>
  <cp:lastModifiedBy>воложанин влад</cp:lastModifiedBy>
  <cp:revision>2</cp:revision>
  <cp:lastPrinted>2025-12-27T03:12:00Z</cp:lastPrinted>
  <dcterms:created xsi:type="dcterms:W3CDTF">2025-12-27T03:12:00Z</dcterms:created>
  <dcterms:modified xsi:type="dcterms:W3CDTF">2025-12-27T03:12:00Z</dcterms:modified>
</cp:coreProperties>
</file>