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Подборка интернет-ресурсов и библиография по теме выпускной квалификационной работы</w:t>
      </w:r>
    </w:p>
    <w:p w:rsidR="00000000" w:rsidDel="00000000" w:rsidP="00000000" w:rsidRDefault="00000000" w:rsidRPr="00000000" w14:paraId="00000002">
      <w:pPr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Тема ВКР: "Разработка веб-приложения для реализации микро обучения в корпоративном электронном обучении"</w:t>
      </w:r>
    </w:p>
    <w:p w:rsidR="00000000" w:rsidDel="00000000" w:rsidP="00000000" w:rsidRDefault="00000000" w:rsidRPr="00000000" w14:paraId="00000003">
      <w:pPr>
        <w:keepNext w:val="0"/>
        <w:keepLines w:val="0"/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Подборка интернет-ресурсов по теме исследования</w:t>
      </w:r>
    </w:p>
    <w:p w:rsidR="00000000" w:rsidDel="00000000" w:rsidP="00000000" w:rsidRDefault="00000000" w:rsidRPr="00000000" w14:paraId="00000004">
      <w:pPr>
        <w:keepNext w:val="0"/>
        <w:keepLines w:val="0"/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Научные электронные библиотеки и поисковые системы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КиберЛенинка -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https://cyberleninka.ru/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Электронная научная библиотека с открытым доступом к публикациям по информационным технологиям, педагогике, цифровому образованию и корпоративному обучению. Рекомендуется для поиска русскоязычных научных статей по микро обучению и электронному обучению персонала.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eLIBRARY.RU -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https://elibrary.ru/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Научная электронная библиотека для поиска российских научных публикаций, статей, сборников конференций и диссертационных исследований.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Scholar -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https://scholar.google.com/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Поисковая система научной литературы. Подходит для поиска публикаций по запросам "microlearning", "corporate e-learning", "workplace learning", "микро обучение персонала".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ERIC -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https://eric.ed.gov/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Научная база данных в области образования. Может использоваться для поиска исследований по цифровым образовательным технологиям, методикам обучения и результативности микро обучения.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ScienceDirect -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https://www.sciencedirect.com/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Научная платформа с публикациями по информационным системам, веб-технологиям, цифровому обучению и управлению знаниями.</w:t>
      </w:r>
    </w:p>
    <w:p w:rsidR="00000000" w:rsidDel="00000000" w:rsidP="00000000" w:rsidRDefault="00000000" w:rsidRPr="00000000" w14:paraId="0000000A">
      <w:pPr>
        <w:keepNext w:val="0"/>
        <w:keepLines w:val="0"/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 Научные публикации по микро обучению и корпоративному электронному обучению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Microlearning beyond boundaries: A systematic review and a novel framework for improving learning outcomes -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https://doi.org/10.1016/j.heliyon.2024.e41413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Систематический обзор исследований микро обучения. Полезен для определения сущности микро обучения, принципов построения коротких учебных материалов и подходов к оценке результатов обучения.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Tatarinov K. A., Bodyak D. A. Corporate Electronic Training -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https://cyberleninka.ru/article/n/korporativnoe-elektronnoe-obuchenie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Статья о корпоративном электронном обучении, его особенностях и использовании цифровых образовательных технологий в подготовке сотрудников организаций.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Cheng B. et al. Research on e-learning in the workplace 2000–2012: A bibliometric analysis of the literature -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https://doi.org/10.1016/j.edurev.2014.01.001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Библиометрический анализ исследований электронного обучения на рабочем месте. Может применяться для обзора научных направлений и определения места корпоративного электронного обучения в современной образовательной практике.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Noe R. A., Clarke A. D. M., Klein H. J. Learning in the Twenty-First-Century Workplace -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https://doi.org/10.1146/annurev-orgpsych-031413-091321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Обзор исследований обучения в современной рабочей среде. Полезен при анализе профессионального развития сотрудников, неформального обучения и обмена знаниями.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Systematic Literature Review of E-Learning Capabilities to Enhance Organizational Learning -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 https://doi.org/10.1007/s10796-020-10097-2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Систематический обзор возможностей электронного обучения для развития организационного обучения. Подходит для обоснования функциональных возможностей обучающей платформы.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Microlearning in organizations: patterns and future directions -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https://doi.org/10.1108/DLO-10-2024-0320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Исследование практик микро обучения в организациях и перспектив его развития. Может использоваться при разработке принципов организации микро уроков в корпоративной среде.</w:t>
      </w:r>
    </w:p>
    <w:p w:rsidR="00000000" w:rsidDel="00000000" w:rsidP="00000000" w:rsidRDefault="00000000" w:rsidRPr="00000000" w14:paraId="00000011">
      <w:pPr>
        <w:keepNext w:val="0"/>
        <w:keepLines w:val="0"/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1.3. Ресурсы для проектирования и разработки веб-приложения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MDN Web Docs -</w:t>
      </w:r>
      <w:hyperlink r:id="rId17">
        <w:r w:rsidDel="00000000" w:rsidR="00000000" w:rsidRPr="00000000">
          <w:rPr>
            <w:sz w:val="24"/>
            <w:szCs w:val="24"/>
            <w:rtl w:val="0"/>
          </w:rPr>
          <w:t xml:space="preserve"> https://developer.mozilla.org/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Справочные материалы и учебные руководства по HTML, CSS, JavaScript, веб-архитектуре и взаимодействию браузера с сервером. Используются при разработке клиентской части веб-приложения.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W3C - World Wide Web Consortium -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https://www.w3.org/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Материалы о веб-стандартах, доступности и совместимости веб-технологий. Рекомендуется для проверки соответствия интерфейса общепринятым требованиям.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WCAG 2.2 - Web Content Accessibility Guidelines -</w:t>
      </w:r>
      <w:hyperlink r:id="rId19">
        <w:r w:rsidDel="00000000" w:rsidR="00000000" w:rsidRPr="00000000">
          <w:rPr>
            <w:sz w:val="24"/>
            <w:szCs w:val="24"/>
            <w:rtl w:val="0"/>
          </w:rPr>
          <w:t xml:space="preserve"> https://www.w3.org/TR/WCAG22/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Рекомендации по доступности веб-контента. Полезны при проектировании интерфейса, которым сотрудники должны пользоваться с разных устройств и с учетом различных потребностей.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OWASP Top 10 -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https://owasp.org/www-project-top-ten/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Материалы о наиболее существенных рисках безопасности веб-приложений. Могут применяться при проектировании авторизации, разграничения прав доступа и защиты пользовательских данных.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PostgreSQL Documentation -</w:t>
      </w:r>
      <w:hyperlink r:id="rId21">
        <w:r w:rsidDel="00000000" w:rsidR="00000000" w:rsidRPr="00000000">
          <w:rPr>
            <w:sz w:val="24"/>
            <w:szCs w:val="24"/>
            <w:rtl w:val="0"/>
          </w:rPr>
          <w:t xml:space="preserve"> https://www.postgresql.org/docs/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Официальная документация системы управления базами данных PostgreSQL. Используется при проектировании структуры данных, хранении информации об учебных курсах, микро уроках, пользователях и результатах прохождения обучения.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Moodle Documentation -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https://docs.moodle.org/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Документация системы управления обучением Moodle. Полезна для анализа функций существующих образовательных платформ, организации курсов, тестирования и отслеживания результатов обучения.</w:t>
      </w:r>
    </w:p>
    <w:p w:rsidR="00000000" w:rsidDel="00000000" w:rsidP="00000000" w:rsidRDefault="00000000" w:rsidRPr="00000000" w14:paraId="00000018">
      <w:pPr>
        <w:keepNext w:val="0"/>
        <w:keepLines w:val="0"/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1.4. Дополнительные ресурсы по методике обучения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UNESCO Open Learning -</w:t>
      </w:r>
      <w:hyperlink r:id="rId23">
        <w:r w:rsidDel="00000000" w:rsidR="00000000" w:rsidRPr="00000000">
          <w:rPr>
            <w:sz w:val="24"/>
            <w:szCs w:val="24"/>
            <w:rtl w:val="0"/>
          </w:rPr>
          <w:t xml:space="preserve"> https://openlearning.unesco.org/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Материалы по открытому обучению и цифровым образовательным практикам.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United Nations - Online Learning Framework and Toolkit -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https://hr.un.org/en/online-learning-framework-and-toolkit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Практические материалы по организации онлайн-обучения, в том числе в профессиональной среде.</w:t>
      </w:r>
    </w:p>
    <w:p w:rsidR="00000000" w:rsidDel="00000000" w:rsidP="00000000" w:rsidRDefault="00000000" w:rsidRPr="00000000" w14:paraId="0000001B">
      <w:pPr>
        <w:keepNext w:val="0"/>
        <w:keepLines w:val="0"/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Направления использования источников в ВКР</w:t>
      </w:r>
    </w:p>
    <w:p w:rsidR="00000000" w:rsidDel="00000000" w:rsidP="00000000" w:rsidRDefault="00000000" w:rsidRPr="00000000" w14:paraId="0000001C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Подобранные материалы целесообразно использовать следующим образом: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первой главы - публикации по микро обучению, корпоративному электронному обучению и профессиональному развитию сотрудников.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второй главы - документацию Moodle и материалы о возможностях существующих обучающих платформ, чтобы определить функциональные требования к разрабатываемому приложению.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третьей главы - техническую документацию MDN, PostgreSQL, W3C и OWASP для обоснования решений по реализации, доступности и безопасности веб-приложения.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wasp.org/www-project-top-ten/" TargetMode="External"/><Relationship Id="rId11" Type="http://schemas.openxmlformats.org/officeDocument/2006/relationships/hyperlink" Target="https://doi.org/10.1016/j.heliyon.2024.e41413" TargetMode="External"/><Relationship Id="rId22" Type="http://schemas.openxmlformats.org/officeDocument/2006/relationships/hyperlink" Target="https://docs.moodle.org/" TargetMode="External"/><Relationship Id="rId10" Type="http://schemas.openxmlformats.org/officeDocument/2006/relationships/hyperlink" Target="https://www.sciencedirect.com/" TargetMode="External"/><Relationship Id="rId21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i.org/10.1016/j.edurev.2014.01.001" TargetMode="External"/><Relationship Id="rId24" Type="http://schemas.openxmlformats.org/officeDocument/2006/relationships/hyperlink" Target="https://hr.un.org/en/online-learning-framework-and-toolkit" TargetMode="External"/><Relationship Id="rId12" Type="http://schemas.openxmlformats.org/officeDocument/2006/relationships/hyperlink" Target="https://cyberleninka.ru/article/n/korporativnoe-elektronnoe-obuchenie" TargetMode="External"/><Relationship Id="rId23" Type="http://schemas.openxmlformats.org/officeDocument/2006/relationships/hyperlink" Target="https://openlearning.unesco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ric.ed.gov/" TargetMode="External"/><Relationship Id="rId15" Type="http://schemas.openxmlformats.org/officeDocument/2006/relationships/hyperlink" Target="https://doi.org/10.1007/s10796-020-10097-2" TargetMode="External"/><Relationship Id="rId14" Type="http://schemas.openxmlformats.org/officeDocument/2006/relationships/hyperlink" Target="https://doi.org/10.1146/annurev-orgpsych-031413-091321" TargetMode="External"/><Relationship Id="rId17" Type="http://schemas.openxmlformats.org/officeDocument/2006/relationships/hyperlink" Target="https://developer.mozilla.org/" TargetMode="External"/><Relationship Id="rId16" Type="http://schemas.openxmlformats.org/officeDocument/2006/relationships/hyperlink" Target="https://doi.org/10.1108/DLO-10-2024-0320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w3.org/TR/WCAG22/" TargetMode="External"/><Relationship Id="rId6" Type="http://schemas.openxmlformats.org/officeDocument/2006/relationships/hyperlink" Target="https://cyberleninka.ru/" TargetMode="External"/><Relationship Id="rId18" Type="http://schemas.openxmlformats.org/officeDocument/2006/relationships/hyperlink" Target="https://www.w3.org/" TargetMode="External"/><Relationship Id="rId7" Type="http://schemas.openxmlformats.org/officeDocument/2006/relationships/hyperlink" Target="https://elibrary.ru/" TargetMode="External"/><Relationship Id="rId8" Type="http://schemas.openxmlformats.org/officeDocument/2006/relationships/hyperlink" Target="https://scholar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