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line="480" w:lineRule="auto"/>
        <w:jc w:val="center"/>
      </w:pPr>
      <w:r>
        <w:rPr>
          <w:rFonts w:ascii="Times New Roman" w:hAnsi="Times New Roman" w:cs="Aptos" w:eastAsia="Aptos"/>
          <w:b/>
          <w:i w:val="0"/>
          <w:color w:val="000000"/>
          <w:sz w:val="24"/>
        </w:rPr>
        <w:t>Venezuela Dollarization: Monetary Architecture, Banking Liquidity, Fiscal Sustainability, External Financing, Legal Risk, and Institutional Readiness</w:t>
      </w:r>
    </w:p>
    <w:p>
      <w:pPr>
        <w:spacing w:before="240" w:line="480" w:lineRule="auto"/>
        <w:jc w:val="both"/>
      </w:pPr>
      <w:r>
        <w:rPr>
          <w:rFonts w:ascii="Times New Roman" w:hAnsi="Times New Roman" w:cs="Aptos" w:eastAsia="Aptos"/>
          <w:b/>
          <w:i w:val="0"/>
          <w:color w:val="000000"/>
          <w:sz w:val="24"/>
        </w:rPr>
        <w:t>A THESIS-GRADE HAEIS RESEARCH REPORT</w:t>
      </w:r>
    </w:p>
    <w:p>
      <w:pPr>
        <w:spacing w:line="480" w:lineRule="auto"/>
        <w:jc w:val="both"/>
      </w:pPr>
      <w:r>
        <w:rPr>
          <w:rFonts w:ascii="Times New Roman" w:hAnsi="Times New Roman" w:cs="Aptos" w:eastAsia="Aptos"/>
          <w:b/>
          <w:i w:val="0"/>
          <w:color w:val="000000"/>
          <w:sz w:val="24"/>
        </w:rPr>
        <w:t>Edition:</w:t>
      </w:r>
      <w:r>
        <w:rPr>
          <w:rFonts w:ascii="Times New Roman" w:hAnsi="Times New Roman" w:cs="Aptos" w:eastAsia="Aptos"/>
          <w:b w:val="0"/>
          <w:i w:val="0"/>
          <w:color w:val="000000"/>
          <w:sz w:val="24"/>
        </w:rPr>
        <w:t xml:space="preserve"> Expanded preliminary research thesis — source-bound and non-decision-grade</w:t>
      </w:r>
    </w:p>
    <w:p>
      <w:pPr>
        <w:spacing w:line="480" w:lineRule="auto"/>
        <w:jc w:val="both"/>
      </w:pPr>
      <w:r>
        <w:rPr>
          <w:rFonts w:ascii="Times New Roman" w:hAnsi="Times New Roman" w:cs="Aptos" w:eastAsia="Aptos"/>
          <w:b/>
          <w:i w:val="0"/>
          <w:color w:val="000000"/>
          <w:sz w:val="24"/>
        </w:rPr>
        <w:t>Date:</w:t>
      </w:r>
      <w:r>
        <w:rPr>
          <w:rFonts w:ascii="Times New Roman" w:hAnsi="Times New Roman" w:cs="Aptos" w:eastAsia="Aptos"/>
          <w:b w:val="0"/>
          <w:i w:val="0"/>
          <w:color w:val="000000"/>
          <w:sz w:val="24"/>
        </w:rPr>
        <w:t xml:space="preserve"> 25 August 2026</w:t>
      </w:r>
    </w:p>
    <w:p>
      <w:pPr>
        <w:spacing w:line="480" w:lineRule="auto"/>
        <w:jc w:val="both"/>
      </w:pPr>
      <w:r>
        <w:rPr>
          <w:rFonts w:ascii="Times New Roman" w:hAnsi="Times New Roman" w:cs="Aptos" w:eastAsia="Aptos"/>
          <w:b/>
          <w:i w:val="0"/>
          <w:color w:val="000000"/>
          <w:sz w:val="24"/>
        </w:rPr>
        <w:t>Prepared by:</w:t>
      </w:r>
      <w:r>
        <w:rPr>
          <w:rFonts w:ascii="Times New Roman" w:hAnsi="Times New Roman" w:cs="Aptos" w:eastAsia="Aptos"/>
          <w:b w:val="0"/>
          <w:i w:val="0"/>
          <w:color w:val="000000"/>
          <w:sz w:val="24"/>
        </w:rPr>
        <w:t xml:space="preserve"> Hanke Applied Economics Intelligence System (HAEIS)</w:t>
      </w:r>
    </w:p>
    <w:p>
      <w:pPr>
        <w:spacing w:line="480" w:lineRule="auto"/>
        <w:jc w:val="both"/>
      </w:pPr>
      <w:r>
        <w:rPr>
          <w:rFonts w:ascii="Times New Roman" w:hAnsi="Times New Roman" w:cs="Aptos" w:eastAsia="Aptos"/>
          <w:b/>
          <w:i w:val="0"/>
          <w:color w:val="000000"/>
          <w:sz w:val="24"/>
        </w:rPr>
        <w:t>Status:</w:t>
      </w:r>
      <w:r>
        <w:rPr>
          <w:rFonts w:ascii="Times New Roman" w:hAnsi="Times New Roman" w:cs="Aptos" w:eastAsia="Aptos"/>
          <w:b w:val="0"/>
          <w:i w:val="0"/>
          <w:color w:val="000000"/>
          <w:sz w:val="24"/>
        </w:rPr>
        <w:t xml:space="preserve"> UNVERIFIED / NON-DECISION-GRADE</w:t>
      </w:r>
    </w:p>
    <w:p>
      <w:pPr>
        <w:spacing w:after="160" w:line="480" w:lineRule="auto"/>
        <w:jc w:val="both"/>
      </w:pPr>
      <w:r>
        <w:rPr>
          <w:rFonts w:ascii="Times New Roman" w:hAnsi="Times New Roman" w:cs="Aptos" w:eastAsia="Aptos"/>
          <w:b w:val="0"/>
          <w:i/>
          <w:color w:val="505050"/>
          <w:sz w:val="24"/>
        </w:rPr>
        <w:t>This document is a research and review edition, not a final policy recommendation. It preserves unresolved data, disputed records, restricted documents, and blocked analytical gates. No current Venezuela statistic is invented, silently imputed, or promoted from metadata to fact.</w:t>
      </w:r>
    </w:p>
    <w:p>
      <w:pPr>
        <w:jc w:val="both"/>
      </w:pPr>
      <w:r>
        <w:br w:type="page"/>
      </w:r>
    </w:p>
    <w:p>
      <w:pPr>
        <w:spacing w:before="240" w:line="480" w:lineRule="auto"/>
        <w:jc w:val="both"/>
      </w:pPr>
      <w:r>
        <w:rPr>
          <w:rFonts w:ascii="Times New Roman" w:hAnsi="Times New Roman" w:cs="Aptos" w:eastAsia="Aptos"/>
          <w:b/>
          <w:i w:val="0"/>
          <w:color w:val="000000"/>
          <w:sz w:val="24"/>
        </w:rPr>
        <w:t>Abstract</w:t>
      </w:r>
    </w:p>
    <w:p>
      <w:pPr>
        <w:spacing w:line="480" w:lineRule="auto"/>
        <w:jc w:val="both"/>
      </w:pPr>
      <w:r>
        <w:rPr>
          <w:rFonts w:ascii="Times New Roman" w:hAnsi="Times New Roman" w:cs="Aptos" w:eastAsia="Aptos"/>
          <w:b w:val="0"/>
          <w:i w:val="0"/>
          <w:color w:val="000000"/>
          <w:sz w:val="24"/>
        </w:rPr>
        <w:t>This thesis examines whether official dollarization could improve Venezuela’s monetary stability and economic welfare, and under what conditions it could instead produce a banking liquidity crisis, credit contraction, recession, fiscal crisis, or balance-of-payments shock. The central argument is that dollarization must be analyzed as a simultaneous restructuring of the monetary system, the central bank, the commercial banking system, the sovereign balance sheet, the debt structure, the payment system, the external account, and the economic contract between the state, banks, businesses, and citizens. The report applies the Hanke Applied Economics Intelligence System (HAEIS), which distinguishes direct publication evidence, framework-based interpretation, system inference, calculation, historical evidence, external views, red-team challenges, blue-team responses, and unresolved propositions. It separates informal dollar use from partial dollarization, currency-board arrangements, official dollarization, synthetic dollar balances, stablecoin layers, and currency competition. It also distinguishes the physical-currency requirement from the monetary-base, M1, M2, and full-banking-system conversion requirements. The present edition does not issue a go/no-go decision. The evidence audit identifies material gaps in current BCV monetary aggregates, SUDEBAN banking data, liquid reserves, fiscal financing, net oil foreign-exchange inflows, current Republic and PDVSA obligations, remittances, external financing, and USD circulation. Historical and institutional evidence is therefore used for mechanism analysis and design constraints, not as a substitute for current observations. The principal research finding is conditional: dollarization could improve monetary credibility only if the conversion is supported by verified monetary statistics, solvent and liquid banks, a funded emergency-liquidity architecture, fiscal adjustment, a credible debt path, sufficient usable foreign exchange, operational payment-system readiness, and enforceable legal conversion rules. If those conditions are absent, the same reform could suppress monetary inflation while intensifying liquidity scarcity, credit compression, fiscal stress, and social dislocation.</w:t>
      </w:r>
    </w:p>
    <w:p>
      <w:pPr>
        <w:spacing w:line="480" w:lineRule="auto"/>
        <w:jc w:val="both"/>
      </w:pPr>
      <w:r>
        <w:rPr>
          <w:rFonts w:ascii="Times New Roman" w:hAnsi="Times New Roman" w:cs="Aptos" w:eastAsia="Aptos"/>
          <w:b/>
          <w:i w:val="0"/>
          <w:color w:val="000000"/>
          <w:sz w:val="24"/>
        </w:rPr>
        <w:t>Keywords:</w:t>
      </w:r>
      <w:r>
        <w:rPr>
          <w:rFonts w:ascii="Times New Roman" w:hAnsi="Times New Roman" w:cs="Aptos" w:eastAsia="Aptos"/>
          <w:b w:val="0"/>
          <w:i w:val="0"/>
          <w:color w:val="000000"/>
          <w:sz w:val="24"/>
        </w:rPr>
        <w:t xml:space="preserve"> Venezuela; dollarization; currency boards; monetary credibility; bank liquidity; lender of last resort; fiscal dominance; PDVSA; sovereign debt; balance of payments; Hanke; Golden Growth Rate; Credit Counterparts.</w:t>
      </w:r>
    </w:p>
    <w:p>
      <w:pPr>
        <w:jc w:val="both"/>
      </w:pPr>
      <w:r>
        <w:br w:type="page"/>
      </w:r>
    </w:p>
    <w:p>
      <w:pPr>
        <w:spacing w:before="240" w:line="480" w:lineRule="auto"/>
        <w:jc w:val="both"/>
      </w:pPr>
      <w:r>
        <w:rPr>
          <w:rFonts w:ascii="Times New Roman" w:hAnsi="Times New Roman" w:cs="Aptos" w:eastAsia="Aptos"/>
          <w:b/>
          <w:i w:val="0"/>
          <w:color w:val="000000"/>
          <w:sz w:val="24"/>
        </w:rPr>
        <w:t>Research Integrity Statement</w:t>
      </w:r>
    </w:p>
    <w:p>
      <w:pPr>
        <w:spacing w:line="480" w:lineRule="auto"/>
        <w:jc w:val="both"/>
      </w:pPr>
      <w:r>
        <w:rPr>
          <w:rFonts w:ascii="Times New Roman" w:hAnsi="Times New Roman" w:cs="Aptos" w:eastAsia="Aptos"/>
          <w:b w:val="0"/>
          <w:i w:val="0"/>
          <w:color w:val="000000"/>
          <w:sz w:val="24"/>
        </w:rPr>
        <w:t>This report is deliberately conservative. A source is not treated as evidence merely because it appears in a search result, source registry, case title, book catalogue, news story, or dataset description. A material number requires a source, date, unit, series or table identifier, publication or release date where available, retrieval timestamp, transformation history, confidence status, and a reproducible locator. Court judgments and arbitration records are evidence of what a tribunal or court recorded; they are not automatically current sovereign-debt balances, current reserves, or current PDVSA liabilities. The document uses the following observation statuses: `VERIFIED`, `PROVISIONAL`, `ESTIMATED`, `MODELED`, `IMPUTED`, `DISPUTED`, `STALE`, and `UNAVAILABLE`. The current report contains no unlabelled imputation. Where evidence conflicts, the disagreement remains visible rather than being averaged away. The report may be read before the evidence universe is complete, but it must not be cited as a decision-grade estimate of the current cost or feasibility of Venezuelan dollarization.</w:t>
      </w:r>
    </w:p>
    <w:p>
      <w:pPr>
        <w:jc w:val="both"/>
      </w:pPr>
      <w:r>
        <w:br w:type="page"/>
      </w:r>
    </w:p>
    <w:p>
      <w:pPr>
        <w:spacing w:before="240" w:line="480" w:lineRule="auto"/>
        <w:jc w:val="both"/>
      </w:pPr>
      <w:r>
        <w:rPr>
          <w:rFonts w:ascii="Times New Roman" w:hAnsi="Times New Roman" w:cs="Aptos" w:eastAsia="Aptos"/>
          <w:b/>
          <w:i w:val="0"/>
          <w:color w:val="000000"/>
          <w:sz w:val="24"/>
        </w:rPr>
        <w:t>Table of Contents</w:t>
      </w:r>
    </w:p>
    <w:p>
      <w:pPr>
        <w:pStyle w:val="ListBullet"/>
        <w:spacing w:line="480" w:lineRule="auto"/>
        <w:jc w:val="both"/>
      </w:pPr>
      <w:r>
        <w:rPr>
          <w:rFonts w:ascii="Times New Roman" w:hAnsi="Times New Roman" w:cs="Aptos" w:eastAsia="Aptos"/>
          <w:b w:val="0"/>
          <w:i w:val="0"/>
          <w:color w:val="000000"/>
          <w:sz w:val="24"/>
        </w:rPr>
        <w:t>1. Introduction and Research Question</w:t>
      </w:r>
    </w:p>
    <w:p>
      <w:pPr>
        <w:pStyle w:val="ListBullet"/>
        <w:spacing w:line="480" w:lineRule="auto"/>
        <w:jc w:val="both"/>
      </w:pPr>
      <w:r>
        <w:rPr>
          <w:rFonts w:ascii="Times New Roman" w:hAnsi="Times New Roman" w:cs="Aptos" w:eastAsia="Aptos"/>
          <w:b w:val="0"/>
          <w:i w:val="0"/>
          <w:color w:val="000000"/>
          <w:sz w:val="24"/>
        </w:rPr>
        <w:t>2. Literature Review and Hanke Framework</w:t>
      </w:r>
    </w:p>
    <w:p>
      <w:pPr>
        <w:pStyle w:val="ListBullet"/>
        <w:spacing w:line="480" w:lineRule="auto"/>
        <w:jc w:val="both"/>
      </w:pPr>
      <w:r>
        <w:rPr>
          <w:rFonts w:ascii="Times New Roman" w:hAnsi="Times New Roman" w:cs="Aptos" w:eastAsia="Aptos"/>
          <w:b w:val="0"/>
          <w:i w:val="0"/>
          <w:color w:val="000000"/>
          <w:sz w:val="24"/>
        </w:rPr>
        <w:t>3. Research Design and Evidence Architecture</w:t>
      </w:r>
    </w:p>
    <w:p>
      <w:pPr>
        <w:pStyle w:val="ListBullet"/>
        <w:spacing w:line="480" w:lineRule="auto"/>
        <w:jc w:val="both"/>
      </w:pPr>
      <w:r>
        <w:rPr>
          <w:rFonts w:ascii="Times New Roman" w:hAnsi="Times New Roman" w:cs="Aptos" w:eastAsia="Aptos"/>
          <w:b w:val="0"/>
          <w:i w:val="0"/>
          <w:color w:val="000000"/>
          <w:sz w:val="24"/>
        </w:rPr>
        <w:t>4. Venezuela: Structural and Historical Context</w:t>
      </w:r>
    </w:p>
    <w:p>
      <w:pPr>
        <w:pStyle w:val="ListBullet"/>
        <w:spacing w:line="480" w:lineRule="auto"/>
        <w:jc w:val="both"/>
      </w:pPr>
      <w:r>
        <w:rPr>
          <w:rFonts w:ascii="Times New Roman" w:hAnsi="Times New Roman" w:cs="Aptos" w:eastAsia="Aptos"/>
          <w:b w:val="0"/>
          <w:i w:val="0"/>
          <w:color w:val="000000"/>
          <w:sz w:val="24"/>
        </w:rPr>
        <w:t>5. Monetary Regimes and Dollarization Models</w:t>
      </w:r>
    </w:p>
    <w:p>
      <w:pPr>
        <w:pStyle w:val="ListBullet"/>
        <w:spacing w:line="480" w:lineRule="auto"/>
        <w:jc w:val="both"/>
      </w:pPr>
      <w:r>
        <w:rPr>
          <w:rFonts w:ascii="Times New Roman" w:hAnsi="Times New Roman" w:cs="Aptos" w:eastAsia="Aptos"/>
          <w:b w:val="0"/>
          <w:i w:val="0"/>
          <w:color w:val="000000"/>
          <w:sz w:val="24"/>
        </w:rPr>
        <w:t>6. Balance-Sheet and Funding Requirements</w:t>
      </w:r>
    </w:p>
    <w:p>
      <w:pPr>
        <w:pStyle w:val="ListBullet"/>
        <w:spacing w:line="480" w:lineRule="auto"/>
        <w:jc w:val="both"/>
      </w:pPr>
      <w:r>
        <w:rPr>
          <w:rFonts w:ascii="Times New Roman" w:hAnsi="Times New Roman" w:cs="Aptos" w:eastAsia="Aptos"/>
          <w:b w:val="0"/>
          <w:i w:val="0"/>
          <w:color w:val="000000"/>
          <w:sz w:val="24"/>
        </w:rPr>
        <w:t>7. Banking System, Credit, and Lender of Last Resort</w:t>
      </w:r>
    </w:p>
    <w:p>
      <w:pPr>
        <w:pStyle w:val="ListBullet"/>
        <w:spacing w:line="480" w:lineRule="auto"/>
        <w:jc w:val="both"/>
      </w:pPr>
      <w:r>
        <w:rPr>
          <w:rFonts w:ascii="Times New Roman" w:hAnsi="Times New Roman" w:cs="Aptos" w:eastAsia="Aptos"/>
          <w:b w:val="0"/>
          <w:i w:val="0"/>
          <w:color w:val="000000"/>
          <w:sz w:val="24"/>
        </w:rPr>
        <w:t>8. Fiscal, Oil, External, and Debt Constraints</w:t>
      </w:r>
    </w:p>
    <w:p>
      <w:pPr>
        <w:pStyle w:val="ListBullet"/>
        <w:spacing w:line="480" w:lineRule="auto"/>
        <w:jc w:val="both"/>
      </w:pPr>
      <w:r>
        <w:rPr>
          <w:rFonts w:ascii="Times New Roman" w:hAnsi="Times New Roman" w:cs="Aptos" w:eastAsia="Aptos"/>
          <w:b w:val="0"/>
          <w:i w:val="0"/>
          <w:color w:val="000000"/>
          <w:sz w:val="24"/>
        </w:rPr>
        <w:t>9. Households, Labor, and Distribution</w:t>
      </w:r>
    </w:p>
    <w:p>
      <w:pPr>
        <w:pStyle w:val="ListBullet"/>
        <w:spacing w:before="180" w:line="480" w:lineRule="auto"/>
        <w:jc w:val="both"/>
      </w:pPr>
      <w:r>
        <w:rPr>
          <w:rFonts w:ascii="Times New Roman" w:hAnsi="Times New Roman" w:cs="Aptos" w:eastAsia="Aptos"/>
          <w:b/>
          <w:i w:val="0"/>
          <w:color w:val="373737"/>
          <w:sz w:val="24"/>
        </w:rPr>
        <w:t>10. International Comparative Episodes</w:t>
      </w:r>
    </w:p>
    <w:p>
      <w:pPr>
        <w:pStyle w:val="ListBullet"/>
        <w:spacing w:before="180" w:line="480" w:lineRule="auto"/>
        <w:jc w:val="both"/>
      </w:pPr>
      <w:r>
        <w:rPr>
          <w:rFonts w:ascii="Times New Roman" w:hAnsi="Times New Roman" w:cs="Aptos" w:eastAsia="Aptos"/>
          <w:b/>
          <w:i w:val="0"/>
          <w:color w:val="373737"/>
          <w:sz w:val="24"/>
        </w:rPr>
        <w:t>11. Legal and Institutional Architecture</w:t>
      </w:r>
    </w:p>
    <w:p>
      <w:pPr>
        <w:pStyle w:val="ListBullet"/>
        <w:spacing w:before="180" w:line="480" w:lineRule="auto"/>
        <w:jc w:val="both"/>
      </w:pPr>
      <w:r>
        <w:rPr>
          <w:rFonts w:ascii="Times New Roman" w:hAnsi="Times New Roman" w:cs="Aptos" w:eastAsia="Aptos"/>
          <w:b/>
          <w:i w:val="0"/>
          <w:color w:val="373737"/>
          <w:sz w:val="24"/>
        </w:rPr>
        <w:t>12. Quantitative, Scenario, and Stress-Test Framework</w:t>
      </w:r>
    </w:p>
    <w:p>
      <w:pPr>
        <w:pStyle w:val="ListBullet"/>
        <w:spacing w:before="180" w:line="480" w:lineRule="auto"/>
        <w:jc w:val="both"/>
      </w:pPr>
      <w:r>
        <w:rPr>
          <w:rFonts w:ascii="Times New Roman" w:hAnsi="Times New Roman" w:cs="Aptos" w:eastAsia="Aptos"/>
          <w:b/>
          <w:i w:val="0"/>
          <w:color w:val="373737"/>
          <w:sz w:val="24"/>
        </w:rPr>
        <w:t>13. Economic Postures and Adversarial Review</w:t>
      </w:r>
    </w:p>
    <w:p>
      <w:pPr>
        <w:pStyle w:val="ListBullet"/>
        <w:spacing w:before="180" w:line="480" w:lineRule="auto"/>
        <w:jc w:val="both"/>
      </w:pPr>
      <w:r>
        <w:rPr>
          <w:rFonts w:ascii="Times New Roman" w:hAnsi="Times New Roman" w:cs="Aptos" w:eastAsia="Aptos"/>
          <w:b/>
          <w:i w:val="0"/>
          <w:color w:val="373737"/>
          <w:sz w:val="24"/>
        </w:rPr>
        <w:t>14. Findings, Conditions, and Decision Framework</w:t>
      </w:r>
    </w:p>
    <w:p>
      <w:pPr>
        <w:pStyle w:val="ListBullet"/>
        <w:spacing w:before="180" w:line="480" w:lineRule="auto"/>
        <w:jc w:val="both"/>
      </w:pPr>
      <w:r>
        <w:rPr>
          <w:rFonts w:ascii="Times New Roman" w:hAnsi="Times New Roman" w:cs="Aptos" w:eastAsia="Aptos"/>
          <w:b/>
          <w:i w:val="0"/>
          <w:color w:val="373737"/>
          <w:sz w:val="24"/>
        </w:rPr>
        <w:t>15. Limitations and Research Agenda</w:t>
      </w:r>
    </w:p>
    <w:p>
      <w:pPr>
        <w:pStyle w:val="ListBullet"/>
        <w:spacing w:line="480" w:lineRule="auto"/>
        <w:jc w:val="both"/>
      </w:pPr>
      <w:r>
        <w:rPr>
          <w:rFonts w:ascii="Times New Roman" w:hAnsi="Times New Roman" w:cs="Aptos" w:eastAsia="Aptos"/>
          <w:b w:val="0"/>
          <w:i w:val="0"/>
          <w:color w:val="000000"/>
          <w:sz w:val="24"/>
        </w:rPr>
        <w:t>References</w:t>
      </w:r>
    </w:p>
    <w:p>
      <w:pPr>
        <w:pStyle w:val="ListBullet"/>
        <w:spacing w:line="480" w:lineRule="auto"/>
        <w:jc w:val="both"/>
      </w:pPr>
      <w:r>
        <w:rPr>
          <w:rFonts w:ascii="Times New Roman" w:hAnsi="Times New Roman" w:cs="Aptos" w:eastAsia="Aptos"/>
          <w:b w:val="0"/>
          <w:i w:val="0"/>
          <w:color w:val="000000"/>
          <w:sz w:val="24"/>
        </w:rPr>
        <w:t>Appendix A. Source and Evidence Register</w:t>
      </w:r>
    </w:p>
    <w:p>
      <w:pPr>
        <w:pStyle w:val="ListBullet"/>
        <w:spacing w:line="480" w:lineRule="auto"/>
        <w:jc w:val="both"/>
      </w:pPr>
      <w:r>
        <w:rPr>
          <w:rFonts w:ascii="Times New Roman" w:hAnsi="Times New Roman" w:cs="Aptos" w:eastAsia="Aptos"/>
          <w:b w:val="0"/>
          <w:i w:val="0"/>
          <w:color w:val="000000"/>
          <w:sz w:val="24"/>
        </w:rPr>
        <w:t>Appendix B. Venezuela Legal and Claims Index</w:t>
      </w:r>
    </w:p>
    <w:p>
      <w:pPr>
        <w:pStyle w:val="ListBullet"/>
        <w:spacing w:line="480" w:lineRule="auto"/>
        <w:jc w:val="both"/>
      </w:pPr>
      <w:r>
        <w:rPr>
          <w:rFonts w:ascii="Times New Roman" w:hAnsi="Times New Roman" w:cs="Aptos" w:eastAsia="Aptos"/>
          <w:b w:val="0"/>
          <w:i w:val="0"/>
          <w:color w:val="000000"/>
          <w:sz w:val="24"/>
        </w:rPr>
        <w:t>Appendix C. Critical Variable Inventory</w:t>
      </w:r>
    </w:p>
    <w:p>
      <w:pPr>
        <w:pStyle w:val="ListBullet"/>
        <w:spacing w:line="480" w:lineRule="auto"/>
        <w:jc w:val="both"/>
      </w:pPr>
      <w:r>
        <w:rPr>
          <w:rFonts w:ascii="Times New Roman" w:hAnsi="Times New Roman" w:cs="Aptos" w:eastAsia="Aptos"/>
          <w:b w:val="0"/>
          <w:i w:val="0"/>
          <w:color w:val="000000"/>
          <w:sz w:val="24"/>
        </w:rPr>
        <w:t>Appendix D. Formula and Indicator Register</w:t>
      </w:r>
    </w:p>
    <w:p>
      <w:pPr>
        <w:pStyle w:val="ListBullet"/>
        <w:spacing w:line="480" w:lineRule="auto"/>
        <w:jc w:val="both"/>
      </w:pPr>
      <w:r>
        <w:rPr>
          <w:rFonts w:ascii="Times New Roman" w:hAnsi="Times New Roman" w:cs="Aptos" w:eastAsia="Aptos"/>
          <w:b w:val="0"/>
          <w:i w:val="0"/>
          <w:color w:val="000000"/>
          <w:sz w:val="24"/>
        </w:rPr>
        <w:t>Appendix E. Machine-Validated Report Index</w:t>
      </w:r>
    </w:p>
    <w:p>
      <w:pPr>
        <w:jc w:val="both"/>
      </w:pPr>
      <w:r>
        <w:br w:type="page"/>
      </w:r>
    </w:p>
    <w:p>
      <w:pPr>
        <w:spacing w:before="240" w:line="480" w:lineRule="auto"/>
        <w:jc w:val="both"/>
      </w:pPr>
      <w:r>
        <w:rPr>
          <w:rFonts w:ascii="Times New Roman" w:hAnsi="Times New Roman" w:cs="Aptos" w:eastAsia="Aptos"/>
          <w:b/>
          <w:i w:val="0"/>
          <w:color w:val="000000"/>
          <w:sz w:val="24"/>
        </w:rPr>
        <w:t>1. Introduction and Research Question</w:t>
      </w:r>
    </w:p>
    <w:p>
      <w:pPr>
        <w:spacing w:before="240" w:line="480" w:lineRule="auto"/>
        <w:jc w:val="both"/>
      </w:pPr>
      <w:r>
        <w:rPr>
          <w:rFonts w:ascii="Times New Roman" w:hAnsi="Times New Roman" w:cs="Aptos" w:eastAsia="Aptos"/>
          <w:b/>
          <w:i w:val="0"/>
          <w:color w:val="000000"/>
          <w:sz w:val="24"/>
        </w:rPr>
        <w:t>1.1 PROBLEM STATEMENT</w:t>
      </w:r>
    </w:p>
    <w:p>
      <w:pPr>
        <w:spacing w:line="480" w:lineRule="auto"/>
        <w:jc w:val="both"/>
      </w:pPr>
      <w:r>
        <w:rPr>
          <w:rFonts w:ascii="Times New Roman" w:hAnsi="Times New Roman" w:cs="Aptos" w:eastAsia="Aptos"/>
          <w:b w:val="0"/>
          <w:i w:val="0"/>
          <w:color w:val="000000"/>
          <w:sz w:val="24"/>
        </w:rPr>
        <w:t>Venezuela’s monetary question cannot be reduced to whether the dollar is more credible than the bolívar. The policy choice changes the instruments available to the state, the liquidity regime of banks, the currency denomination of contracts, the distribution of adjustment costs, and the way external shocks pass through the economy. A technically feasible currency conversion can still be financially infeasible, legally incomplete, politically unstable, or socially damaging. The research question is therefore: under what monetary, fiscal, banking, reserve, external-sector, legal, institutional, political, and social conditions would official dollarization improve welfare, and under what conditions would it create a banking crisis, credit contraction, recession, fiscal crisis, or balance-of-payments shock?</w:t>
      </w:r>
    </w:p>
    <w:p>
      <w:pPr>
        <w:spacing w:before="240" w:line="480" w:lineRule="auto"/>
        <w:jc w:val="both"/>
      </w:pPr>
      <w:r>
        <w:rPr>
          <w:rFonts w:ascii="Times New Roman" w:hAnsi="Times New Roman" w:cs="Aptos" w:eastAsia="Aptos"/>
          <w:b/>
          <w:i w:val="0"/>
          <w:color w:val="000000"/>
          <w:sz w:val="24"/>
        </w:rPr>
        <w:t>1.2 RESEARCH OBJECTIVES</w:t>
      </w:r>
    </w:p>
    <w:p>
      <w:pPr>
        <w:pStyle w:val="ListBullet"/>
        <w:spacing w:line="480" w:lineRule="auto"/>
        <w:jc w:val="both"/>
      </w:pPr>
      <w:r>
        <w:rPr>
          <w:rFonts w:ascii="Times New Roman" w:hAnsi="Times New Roman" w:cs="Aptos" w:eastAsia="Aptos"/>
          <w:b w:val="0"/>
          <w:i w:val="0"/>
          <w:color w:val="000000"/>
          <w:sz w:val="24"/>
        </w:rPr>
        <w:t>reconstruct the relevant Hanke and Hanke/Greenwood frameworks without impersonating Hanke;</w:t>
      </w:r>
    </w:p>
    <w:p>
      <w:pPr>
        <w:pStyle w:val="ListBullet"/>
        <w:spacing w:line="480" w:lineRule="auto"/>
        <w:jc w:val="both"/>
      </w:pPr>
      <w:r>
        <w:rPr>
          <w:rFonts w:ascii="Times New Roman" w:hAnsi="Times New Roman" w:cs="Aptos" w:eastAsia="Aptos"/>
          <w:b w:val="0"/>
          <w:i w:val="0"/>
          <w:color w:val="000000"/>
          <w:sz w:val="24"/>
        </w:rPr>
        <w:t>separate observed facts from estimates, models, historical analogies, and unresolved claims;</w:t>
      </w:r>
    </w:p>
    <w:p>
      <w:pPr>
        <w:pStyle w:val="ListBullet"/>
        <w:spacing w:line="480" w:lineRule="auto"/>
        <w:jc w:val="both"/>
      </w:pPr>
      <w:r>
        <w:rPr>
          <w:rFonts w:ascii="Times New Roman" w:hAnsi="Times New Roman" w:cs="Aptos" w:eastAsia="Aptos"/>
          <w:b w:val="0"/>
          <w:i w:val="0"/>
          <w:color w:val="000000"/>
          <w:sz w:val="24"/>
        </w:rPr>
        <w:t>model physical-currency, monetary-base, M1, M2, gradual, parallel, and currency-board conversion requirements separately;</w:t>
      </w:r>
    </w:p>
    <w:p>
      <w:pPr>
        <w:pStyle w:val="ListBullet"/>
        <w:spacing w:line="480" w:lineRule="auto"/>
        <w:jc w:val="both"/>
      </w:pPr>
      <w:r>
        <w:rPr>
          <w:rFonts w:ascii="Times New Roman" w:hAnsi="Times New Roman" w:cs="Aptos" w:eastAsia="Aptos"/>
          <w:b w:val="0"/>
          <w:i w:val="0"/>
          <w:color w:val="000000"/>
          <w:sz w:val="24"/>
        </w:rPr>
        <w:t>evaluate bank liquidity, credit creation, fiscal financing, oil-linked external liquidity, sovereign and PDVSA debt, and legal implementation;</w:t>
      </w:r>
    </w:p>
    <w:p>
      <w:pPr>
        <w:pStyle w:val="ListBullet"/>
        <w:spacing w:line="480" w:lineRule="auto"/>
        <w:jc w:val="both"/>
      </w:pPr>
      <w:r>
        <w:rPr>
          <w:rFonts w:ascii="Times New Roman" w:hAnsi="Times New Roman" w:cs="Aptos" w:eastAsia="Aptos"/>
          <w:b w:val="0"/>
          <w:i w:val="0"/>
          <w:color w:val="000000"/>
          <w:sz w:val="24"/>
        </w:rPr>
        <w:t>compare immediate dollarization with currency-board, dual-currency, managed-float, hard-peg, currency-basket, and non-dollarization reforms;</w:t>
      </w:r>
    </w:p>
    <w:p>
      <w:pPr>
        <w:pStyle w:val="ListBullet"/>
        <w:spacing w:line="480" w:lineRule="auto"/>
        <w:jc w:val="both"/>
      </w:pPr>
      <w:r>
        <w:rPr>
          <w:rFonts w:ascii="Times New Roman" w:hAnsi="Times New Roman" w:cs="Aptos" w:eastAsia="Aptos"/>
          <w:b w:val="0"/>
          <w:i w:val="0"/>
          <w:color w:val="000000"/>
          <w:sz w:val="24"/>
        </w:rPr>
        <w:t>subject every major proposition to independent economic postures and repeated red-team review;</w:t>
      </w:r>
    </w:p>
    <w:p>
      <w:pPr>
        <w:spacing w:before="240" w:line="480" w:lineRule="auto"/>
        <w:jc w:val="both"/>
      </w:pPr>
      <w:r>
        <w:rPr>
          <w:rFonts w:ascii="Times New Roman" w:hAnsi="Times New Roman" w:cs="Aptos" w:eastAsia="Aptos"/>
          <w:b/>
          <w:i w:val="0"/>
          <w:color w:val="000000"/>
          <w:sz w:val="24"/>
        </w:rPr>
        <w:t>1.3 CONTRIBUTION</w:t>
      </w:r>
    </w:p>
    <w:p>
      <w:pPr>
        <w:spacing w:line="480" w:lineRule="auto"/>
        <w:jc w:val="both"/>
      </w:pPr>
      <w:r>
        <w:rPr>
          <w:rFonts w:ascii="Times New Roman" w:hAnsi="Times New Roman" w:cs="Aptos" w:eastAsia="Aptos"/>
          <w:b w:val="0"/>
          <w:i w:val="0"/>
          <w:color w:val="000000"/>
          <w:sz w:val="24"/>
        </w:rPr>
        <w:t>The contribution is institutional rather than rhetorical. HAEIS joins source provenance, economic accounting, reproducible formulas, legal-record evidence, historical comparison, scenario analysis, and adversarial review in one auditable workflow. The system is designed to reach three possible outcomes: supported, supported with conditions, or not supported in this case. It is not programmed to prove dollarization, Hanke, or the status quo correct.</w:t>
      </w:r>
    </w:p>
    <w:p>
      <w:pPr>
        <w:jc w:val="both"/>
      </w:pPr>
      <w:r>
        <w:br w:type="page"/>
      </w:r>
    </w:p>
    <w:p>
      <w:pPr>
        <w:spacing w:before="240" w:line="480" w:lineRule="auto"/>
        <w:jc w:val="both"/>
      </w:pPr>
      <w:r>
        <w:rPr>
          <w:rFonts w:ascii="Times New Roman" w:hAnsi="Times New Roman" w:cs="Aptos" w:eastAsia="Aptos"/>
          <w:b/>
          <w:i w:val="0"/>
          <w:color w:val="000000"/>
          <w:sz w:val="24"/>
        </w:rPr>
        <w:t>2. Literature Review and Hanke Framework</w:t>
      </w:r>
    </w:p>
    <w:p>
      <w:pPr>
        <w:spacing w:before="240" w:line="480" w:lineRule="auto"/>
        <w:jc w:val="both"/>
      </w:pPr>
      <w:r>
        <w:rPr>
          <w:rFonts w:ascii="Times New Roman" w:hAnsi="Times New Roman" w:cs="Aptos" w:eastAsia="Aptos"/>
          <w:b/>
          <w:i w:val="0"/>
          <w:color w:val="000000"/>
          <w:sz w:val="24"/>
        </w:rPr>
        <w:t>2.1 SCOPE OF THE HANKE CORPUS</w:t>
      </w:r>
    </w:p>
    <w:p>
      <w:pPr>
        <w:spacing w:line="480" w:lineRule="auto"/>
        <w:jc w:val="both"/>
      </w:pPr>
      <w:r>
        <w:rPr>
          <w:rFonts w:ascii="Times New Roman" w:hAnsi="Times New Roman" w:cs="Aptos" w:eastAsia="Aptos"/>
          <w:b w:val="0"/>
          <w:i w:val="0"/>
          <w:color w:val="000000"/>
          <w:sz w:val="24"/>
        </w:rPr>
        <w:t>The corpus separates metadata from verified text. Commercial book metadata can establish that a title exists and identify its analytical role, but it cannot authorize a quotation, page reference, or precise attribution without the underlying text. Publicly accessible books and papers are retained with access scope, local hash, source URL, and verification status.</w:t>
      </w:r>
    </w:p>
    <w:p>
      <w:pPr>
        <w:spacing w:before="240" w:line="480" w:lineRule="auto"/>
        <w:jc w:val="both"/>
      </w:pPr>
      <w:r>
        <w:rPr>
          <w:rFonts w:ascii="Times New Roman" w:hAnsi="Times New Roman" w:cs="Aptos" w:eastAsia="Aptos"/>
          <w:b/>
          <w:i w:val="0"/>
          <w:color w:val="000000"/>
          <w:sz w:val="24"/>
        </w:rPr>
        <w:t>2.2 MAJOR BOOKS AND ANALYTICAL ROLES</w:t>
      </w:r>
    </w:p>
    <w:tbl>
      <w:tblPr>
        <w:tblStyle w:val="TableGrid"/>
        <w:tblW w:type="auto" w:w="0"/>
        <w:jc w:val="center"/>
        <w:tblLook w:firstColumn="1" w:firstRow="1" w:lastColumn="0" w:lastRow="0" w:noHBand="0" w:noVBand="1" w:val="04A0"/>
      </w:tblPr>
      <w:tblGrid>
        <w:gridCol w:w="3130"/>
        <w:gridCol w:w="3130"/>
        <w:gridCol w:w="3130"/>
      </w:tblGrid>
      <w:tr>
        <w:trPr>
          <w:tblHeader w:val="true"/>
        </w:trPr>
        <w:tc>
          <w:tcPr>
            <w:tcW w:type="dxa" w:w="3130"/>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Work</w:t>
            </w:r>
          </w:p>
        </w:tc>
        <w:tc>
          <w:tcPr>
            <w:tcW w:type="dxa" w:w="3130"/>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Analytical role</w:t>
            </w:r>
          </w:p>
        </w:tc>
        <w:tc>
          <w:tcPr>
            <w:tcW w:type="dxa" w:w="3130"/>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Evidence status</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Making Money Work: How to Rewrite the Rules of Our Financial System (2025)</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bank money; monetary architecture; commercial-bank money creation</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METADATA_VERIFIED</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Capital, Interest, and Waiting: Controversies, Puzzles, and New Additions to Capital Theory (2024)</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capital theory; interest; time preference and waiting</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METADATA_VERIFIED</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Public Debt Sustainability: International Perspectives (2022)</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sovereign debt; fiscal sustainability; debt rules</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METADATA_VERIFIED</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Currency Boards for Developing Countries: A Handbook (2015)</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orthodox currency boards; reserve backing; convertibility; transition design</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METADATA_VERIFIED</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Juntas Monetarias para países en desarrollo: Dinero, inflación y estabilidad económica (2015)</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Spanish currency-board corpus; monetary stability; developing-country reform</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TEXT_VERIFIED_WITH_ACCESS_SCOPE</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Russian Currency and Finance: A Currency Board Approach to Reform (1993)</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transition economies; ruble reform; currency-board proposal</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METADATA_VERIFIED</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Currency Reform for a Market-Oriented Cuba (1992)</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socialist-to-market transition; currency reform; institutional design</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METADATA_VERIFIED</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Alternative Monetary Regimes for Jamaica (1995)</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regime comparison; currency board; dollarization; monetary alternatives</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TEXT_VERIFIED_WITH_ACCESS_SCOPE</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Monetary Policy and Currency Boards: Latin America and Caribbean Countries Examples, Vol. 2 (2023)</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Hanke-Krus hyperinflation methodology; Venezuela monetary reform; currency boards; Latin America and Caribbean case studies</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TEXT_VERIFIED_WITH_LICENSE</w:t>
            </w:r>
          </w:p>
        </w:tc>
      </w:tr>
    </w:tbl>
    <w:p/>
    <w:p>
      <w:pPr>
        <w:spacing w:line="480" w:lineRule="auto"/>
        <w:jc w:val="both"/>
      </w:pPr>
      <w:r>
        <w:rPr>
          <w:rFonts w:ascii="Times New Roman" w:hAnsi="Times New Roman" w:cs="Aptos" w:eastAsia="Aptos"/>
          <w:b w:val="0"/>
          <w:i w:val="0"/>
          <w:color w:val="000000"/>
          <w:sz w:val="24"/>
        </w:rPr>
        <w:t>The corpus includes recent books on bank money, monetary architecture, capital theory, and public-debt sustainability, as well as the currency-board, Spanish-language currency-board, Russian transition, Cuba, and Jamaica materials. The report uses these works as a structured research map. It does not convert unacquired commercial books into direct evidence.</w:t>
      </w:r>
    </w:p>
    <w:p>
      <w:pPr>
        <w:spacing w:before="240" w:line="480" w:lineRule="auto"/>
        <w:jc w:val="both"/>
      </w:pPr>
      <w:r>
        <w:rPr>
          <w:rFonts w:ascii="Times New Roman" w:hAnsi="Times New Roman" w:cs="Aptos" w:eastAsia="Aptos"/>
          <w:b/>
          <w:i w:val="0"/>
          <w:color w:val="000000"/>
          <w:sz w:val="24"/>
        </w:rPr>
        <w:t>2.3 CURRENCY-BOARD AND HARD-MONEY PROPOSITIONS</w:t>
      </w:r>
    </w:p>
    <w:p>
      <w:pPr>
        <w:spacing w:line="480" w:lineRule="auto"/>
        <w:jc w:val="both"/>
      </w:pPr>
      <w:r>
        <w:rPr>
          <w:rFonts w:ascii="Times New Roman" w:hAnsi="Times New Roman" w:cs="Aptos" w:eastAsia="Aptos"/>
          <w:b w:val="0"/>
          <w:i w:val="0"/>
          <w:color w:val="000000"/>
          <w:sz w:val="24"/>
        </w:rPr>
        <w:t>The Hanke-oriented framework emphasizes monetary credibility, convertibility, reserve backing, hard budget constraints, and the reduction of discretionary monetary financing. These propositions are analytically relevant to Venezuela because the central policy problem includes currency substitution, inflation expectations, fiscal dominance, and the credibility of the monetary authority. They do not by themselves establish that any particular conversion rate, reserve stock, banking structure, or fiscal path is feasible.</w:t>
      </w:r>
    </w:p>
    <w:p>
      <w:pPr>
        <w:spacing w:before="240" w:line="480" w:lineRule="auto"/>
        <w:jc w:val="both"/>
      </w:pPr>
      <w:r>
        <w:rPr>
          <w:rFonts w:ascii="Times New Roman" w:hAnsi="Times New Roman" w:cs="Aptos" w:eastAsia="Aptos"/>
          <w:b/>
          <w:i w:val="0"/>
          <w:color w:val="000000"/>
          <w:sz w:val="24"/>
        </w:rPr>
        <w:t>2.4 HANKE/GREENWOOD MONETARY-FLOW FRAMEWORK</w:t>
      </w:r>
    </w:p>
    <w:p>
      <w:pPr>
        <w:spacing w:line="480" w:lineRule="auto"/>
        <w:jc w:val="both"/>
      </w:pPr>
      <w:r>
        <w:rPr>
          <w:rFonts w:ascii="Times New Roman" w:hAnsi="Times New Roman" w:cs="Aptos" w:eastAsia="Aptos"/>
          <w:b w:val="0"/>
          <w:i w:val="0"/>
          <w:color w:val="000000"/>
          <w:sz w:val="24"/>
        </w:rPr>
        <w:t>The Hanke/Greenwood Golden Growth Rate and Credit Counterparts papers are treated as the basis for a monetary-flow agent. The indexed corpus contains SAE 232 for the United States, SAE 233 for the United Kingdom, and SAE 234 for the Eurozone. Their use in Venezuela is a framework transfer and must be labeled `HANKE-FRAMEWORK` or `SYSTEM-INFERENCE` unless a Venezuela-specific verified application supports the proposition.</w:t>
      </w:r>
    </w:p>
    <w:p>
      <w:pPr>
        <w:pStyle w:val="ListBullet"/>
        <w:spacing w:line="480" w:lineRule="auto"/>
        <w:jc w:val="both"/>
      </w:pPr>
      <w:r>
        <w:rPr>
          <w:rFonts w:ascii="Times New Roman" w:hAnsi="Times New Roman" w:cs="Aptos" w:eastAsia="Aptos"/>
          <w:b/>
          <w:i w:val="0"/>
          <w:color w:val="000000"/>
          <w:sz w:val="24"/>
        </w:rPr>
        <w:t>SAE-232 — United States: A Golden Growth Rate and Credit Counterparts Analysis</w:t>
      </w:r>
      <w:r>
        <w:rPr>
          <w:rFonts w:ascii="Times New Roman" w:hAnsi="Times New Roman" w:cs="Aptos" w:eastAsia="Aptos"/>
          <w:b w:val="0"/>
          <w:i w:val="0"/>
          <w:color w:val="000000"/>
          <w:sz w:val="24"/>
        </w:rPr>
        <w:t xml:space="preserve"> (Steve H. Hanke, John Greenwood, Qiqin Sun; Studies in Applied Economics No. 232, April 2023; status: VERIFIED_WITH_PAGE_ANCHORS).</w:t>
      </w:r>
    </w:p>
    <w:p>
      <w:pPr>
        <w:pStyle w:val="ListBullet"/>
        <w:spacing w:line="480" w:lineRule="auto"/>
        <w:jc w:val="both"/>
      </w:pPr>
      <w:r>
        <w:rPr>
          <w:rFonts w:ascii="Times New Roman" w:hAnsi="Times New Roman" w:cs="Aptos" w:eastAsia="Aptos"/>
          <w:b/>
          <w:i w:val="0"/>
          <w:color w:val="000000"/>
          <w:sz w:val="24"/>
        </w:rPr>
        <w:t>SAE-233 — United Kingdom: A Golden Growth Rate and Credit Counterparts Analysis</w:t>
      </w:r>
      <w:r>
        <w:rPr>
          <w:rFonts w:ascii="Times New Roman" w:hAnsi="Times New Roman" w:cs="Aptos" w:eastAsia="Aptos"/>
          <w:b w:val="0"/>
          <w:i w:val="0"/>
          <w:color w:val="000000"/>
          <w:sz w:val="24"/>
        </w:rPr>
        <w:t xml:space="preserve"> (Steve H. Hanke, John Greenwood, Mike Hyo Jae An; Studies in Applied Economics No. 233, April 2023; status: VERIFIED_WITH_PAGE_ANCHORS).</w:t>
      </w:r>
    </w:p>
    <w:p>
      <w:pPr>
        <w:pStyle w:val="ListBullet"/>
        <w:spacing w:line="480" w:lineRule="auto"/>
        <w:jc w:val="both"/>
      </w:pPr>
      <w:r>
        <w:rPr>
          <w:rFonts w:ascii="Times New Roman" w:hAnsi="Times New Roman" w:cs="Aptos" w:eastAsia="Aptos"/>
          <w:b/>
          <w:i w:val="0"/>
          <w:color w:val="000000"/>
          <w:sz w:val="24"/>
        </w:rPr>
        <w:t>SAE-234 — The Eurozone: A Golden Growth Rate and Credit Counterparts Analysis</w:t>
      </w:r>
      <w:r>
        <w:rPr>
          <w:rFonts w:ascii="Times New Roman" w:hAnsi="Times New Roman" w:cs="Aptos" w:eastAsia="Aptos"/>
          <w:b w:val="0"/>
          <w:i w:val="0"/>
          <w:color w:val="000000"/>
          <w:sz w:val="24"/>
        </w:rPr>
        <w:t xml:space="preserve"> (Steve H. Hanke, John Greenwood, Jingxing Zou; Studies in Applied Economics No. 234, April 2023; status: VERIFIED_WITH_PAGE_ANCHORS).</w:t>
      </w:r>
    </w:p>
    <w:p>
      <w:pPr>
        <w:spacing w:before="240" w:line="480" w:lineRule="auto"/>
        <w:jc w:val="both"/>
      </w:pPr>
      <w:r>
        <w:rPr>
          <w:rFonts w:ascii="Times New Roman" w:hAnsi="Times New Roman" w:cs="Aptos" w:eastAsia="Aptos"/>
          <w:b/>
          <w:i w:val="0"/>
          <w:color w:val="000000"/>
          <w:sz w:val="24"/>
        </w:rPr>
        <w:t>2.5 COMPETING LITERATURE</w:t>
      </w:r>
    </w:p>
    <w:p>
      <w:pPr>
        <w:spacing w:line="480" w:lineRule="auto"/>
        <w:jc w:val="both"/>
      </w:pPr>
      <w:r>
        <w:rPr>
          <w:rFonts w:ascii="Times New Roman" w:hAnsi="Times New Roman" w:cs="Aptos" w:eastAsia="Aptos"/>
          <w:b w:val="0"/>
          <w:i w:val="0"/>
          <w:color w:val="000000"/>
          <w:sz w:val="24"/>
        </w:rPr>
        <w:t>The report places the Hanke framework beside monetarist, Keynesian, New Keynesian, Austrian, supply-side, IMF-style stabilization, central-banker, banking-risk, sovereign-debt, development-economics, and political-economy perspectives. The purpose is not to produce a synthetic consensus that erases disagreement. It is to identify the assumptions that drive different conclusions and specify what evidence would falsify each position.</w:t>
      </w:r>
    </w:p>
    <w:p>
      <w:pPr>
        <w:jc w:val="both"/>
      </w:pPr>
      <w:r>
        <w:br w:type="page"/>
      </w:r>
    </w:p>
    <w:p>
      <w:pPr>
        <w:spacing w:before="240" w:line="480" w:lineRule="auto"/>
        <w:jc w:val="both"/>
      </w:pPr>
      <w:r>
        <w:rPr>
          <w:rFonts w:ascii="Times New Roman" w:hAnsi="Times New Roman" w:cs="Aptos" w:eastAsia="Aptos"/>
          <w:b/>
          <w:i w:val="0"/>
          <w:color w:val="000000"/>
          <w:sz w:val="24"/>
        </w:rPr>
        <w:t>3. Research Design and Evidence Architecture</w:t>
      </w:r>
    </w:p>
    <w:p>
      <w:pPr>
        <w:spacing w:before="240" w:line="480" w:lineRule="auto"/>
        <w:jc w:val="both"/>
      </w:pPr>
      <w:r>
        <w:rPr>
          <w:rFonts w:ascii="Times New Roman" w:hAnsi="Times New Roman" w:cs="Aptos" w:eastAsia="Aptos"/>
          <w:b/>
          <w:i w:val="0"/>
          <w:color w:val="000000"/>
          <w:sz w:val="24"/>
        </w:rPr>
        <w:t>3.1 EVIDENCE HIERARCHY</w:t>
      </w:r>
    </w:p>
    <w:p>
      <w:pPr>
        <w:spacing w:line="480" w:lineRule="auto"/>
        <w:jc w:val="both"/>
      </w:pPr>
      <w:r>
        <w:rPr>
          <w:rFonts w:ascii="Times New Roman" w:hAnsi="Times New Roman" w:cs="Aptos" w:eastAsia="Aptos"/>
          <w:b w:val="0"/>
          <w:i w:val="0"/>
          <w:color w:val="000000"/>
          <w:sz w:val="24"/>
        </w:rPr>
        <w:t>Evidence is ranked from original data and primary publications, through official institutions, peer-reviewed research, high-quality research institutions, reputable journalism, secondary commentary, and unverified sources. Discovery is not verification. A Google-dork result is an acquisition lead; it is not a fact.</w:t>
      </w:r>
    </w:p>
    <w:p>
      <w:pPr>
        <w:spacing w:before="240" w:line="480" w:lineRule="auto"/>
        <w:jc w:val="both"/>
      </w:pPr>
      <w:r>
        <w:rPr>
          <w:rFonts w:ascii="Times New Roman" w:hAnsi="Times New Roman" w:cs="Aptos" w:eastAsia="Aptos"/>
          <w:b/>
          <w:i w:val="0"/>
          <w:color w:val="000000"/>
          <w:sz w:val="24"/>
        </w:rPr>
        <w:t>3.2 OBSERVATION CONTRACT</w:t>
      </w:r>
    </w:p>
    <w:tbl>
      <w:tblPr>
        <w:tblStyle w:val="TableGrid"/>
        <w:tblW w:type="auto" w:w="0"/>
        <w:jc w:val="center"/>
        <w:tblLook w:firstColumn="1" w:firstRow="1" w:lastColumn="0" w:lastRow="0" w:noHBand="0" w:noVBand="1" w:val="04A0"/>
      </w:tblPr>
      <w:tblGrid>
        <w:gridCol w:w="4694"/>
        <w:gridCol w:w="4694"/>
      </w:tblGrid>
      <w:tr>
        <w:trPr>
          <w:tblHeader w:val="true"/>
        </w:trPr>
        <w:tc>
          <w:tcPr>
            <w:tcW w:type="dxa" w:w="469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Required field</w:t>
            </w:r>
          </w:p>
        </w:tc>
        <w:tc>
          <w:tcPr>
            <w:tcW w:type="dxa" w:w="469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Purpose</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Variable, value, unit</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Prevents unlabelled numeric claims</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Observation, publication, retrieval dates</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Preserves timing and vintage</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Source URL, source ID, series/table ID</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Reproducibility</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Frequency and methodology</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Comparability</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Transformation and confidence</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Prevents silent conversion</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Verification and revision status</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Keeps uncertainty visible</w:t>
            </w:r>
          </w:p>
        </w:tc>
      </w:tr>
    </w:tbl>
    <w:p/>
    <w:p>
      <w:pPr>
        <w:spacing w:before="240" w:line="480" w:lineRule="auto"/>
        <w:jc w:val="both"/>
      </w:pPr>
      <w:r>
        <w:rPr>
          <w:rFonts w:ascii="Times New Roman" w:hAnsi="Times New Roman" w:cs="Aptos" w:eastAsia="Aptos"/>
          <w:b/>
          <w:i w:val="0"/>
          <w:color w:val="000000"/>
          <w:sz w:val="24"/>
        </w:rPr>
        <w:t>3.3 LEGAL-RECORD METHOD</w:t>
      </w:r>
    </w:p>
    <w:p>
      <w:pPr>
        <w:spacing w:line="480" w:lineRule="auto"/>
        <w:jc w:val="both"/>
      </w:pPr>
      <w:r>
        <w:rPr>
          <w:rFonts w:ascii="Times New Roman" w:hAnsi="Times New Roman" w:cs="Aptos" w:eastAsia="Aptos"/>
          <w:b w:val="0"/>
          <w:i w:val="0"/>
          <w:color w:val="000000"/>
          <w:sz w:val="24"/>
        </w:rPr>
        <w:t>Court and arbitration records are read as records, not merely indexed as metadata. The evidence extraction schema captures claimants, respondents, tribunal, procedural posture, claims, counterclaims, awards or judgments, interest, enforcement, memoranda, exhibits, page or paragraph locators, local artifact hash, and overlap status. Amounts are separated into claimed amount, awarded amount, judgment amount, bond principal, payment amount, escrow amount, and enforcement exposure. These categories must not be summed without a defined accounting basis.</w:t>
      </w:r>
    </w:p>
    <w:p>
      <w:pPr>
        <w:spacing w:before="240" w:line="480" w:lineRule="auto"/>
        <w:jc w:val="both"/>
      </w:pPr>
      <w:r>
        <w:rPr>
          <w:rFonts w:ascii="Times New Roman" w:hAnsi="Times New Roman" w:cs="Aptos" w:eastAsia="Aptos"/>
          <w:b/>
          <w:i w:val="0"/>
          <w:color w:val="000000"/>
          <w:sz w:val="24"/>
        </w:rPr>
        <w:t>3.4 REDENOMINATION AND CURRENCY NORMALIZATION</w:t>
      </w:r>
    </w:p>
    <w:p>
      <w:pPr>
        <w:spacing w:line="480" w:lineRule="auto"/>
        <w:jc w:val="both"/>
      </w:pPr>
      <w:r>
        <w:rPr>
          <w:rFonts w:ascii="Times New Roman" w:hAnsi="Times New Roman" w:cs="Aptos" w:eastAsia="Aptos"/>
          <w:b w:val="0"/>
          <w:i w:val="0"/>
          <w:color w:val="000000"/>
          <w:sz w:val="24"/>
        </w:rPr>
        <w:t>Historical Venezuelan monetary values cannot be compared directly across bolívar, bolívar fuerte, bolívar soberano, and bolívar digital denominations. The canonical transformation system retains the original denomination, current-equivalent denomination, USD equivalent where defensible, and real-price equivalent where appropriate.</w:t>
      </w:r>
    </w:p>
    <w:p>
      <w:pPr>
        <w:spacing w:before="240" w:line="480" w:lineRule="auto"/>
        <w:jc w:val="both"/>
      </w:pPr>
      <w:r>
        <w:rPr>
          <w:rFonts w:ascii="Times New Roman" w:hAnsi="Times New Roman" w:cs="Aptos" w:eastAsia="Aptos"/>
          <w:b/>
          <w:i w:val="0"/>
          <w:color w:val="000000"/>
          <w:sz w:val="24"/>
        </w:rPr>
        <w:t>3.5 REPRODUCIBILITY</w:t>
      </w:r>
    </w:p>
    <w:p>
      <w:pPr>
        <w:spacing w:line="480" w:lineRule="auto"/>
        <w:jc w:val="both"/>
      </w:pPr>
      <w:r>
        <w:rPr>
          <w:rFonts w:ascii="Times New Roman" w:hAnsi="Times New Roman" w:cs="Aptos" w:eastAsia="Aptos"/>
          <w:b w:val="0"/>
          <w:i w:val="0"/>
          <w:color w:val="000000"/>
          <w:sz w:val="24"/>
        </w:rPr>
        <w:t>Raw documents are immutable. Transformations occur in code. Derived datasets preserve source IDs and status labels. Tests check units, duplicates, dates, redenomination errors, magnitude errors, conflicting sources, and stale observations. The report’s current production gate remains blocked where critical current data are absent or unresolved.</w:t>
      </w:r>
    </w:p>
    <w:p>
      <w:pPr>
        <w:jc w:val="both"/>
      </w:pPr>
      <w:r>
        <w:br w:type="page"/>
      </w:r>
    </w:p>
    <w:p>
      <w:pPr>
        <w:spacing w:before="240" w:line="480" w:lineRule="auto"/>
        <w:jc w:val="both"/>
      </w:pPr>
      <w:r>
        <w:rPr>
          <w:rFonts w:ascii="Times New Roman" w:hAnsi="Times New Roman" w:cs="Aptos" w:eastAsia="Aptos"/>
          <w:b/>
          <w:i w:val="0"/>
          <w:color w:val="000000"/>
          <w:sz w:val="24"/>
        </w:rPr>
        <w:t>4. Venezuela: Structural and Historical Context</w:t>
      </w:r>
    </w:p>
    <w:p>
      <w:pPr>
        <w:spacing w:before="240" w:line="480" w:lineRule="auto"/>
        <w:jc w:val="both"/>
      </w:pPr>
      <w:r>
        <w:rPr>
          <w:rFonts w:ascii="Times New Roman" w:hAnsi="Times New Roman" w:cs="Aptos" w:eastAsia="Aptos"/>
          <w:b/>
          <w:i w:val="0"/>
          <w:color w:val="000000"/>
          <w:sz w:val="24"/>
        </w:rPr>
        <w:t>4.1 SCOPE OF THE BASELINE</w:t>
      </w:r>
    </w:p>
    <w:p>
      <w:pPr>
        <w:spacing w:line="480" w:lineRule="auto"/>
        <w:jc w:val="both"/>
      </w:pPr>
      <w:r>
        <w:rPr>
          <w:rFonts w:ascii="Times New Roman" w:hAnsi="Times New Roman" w:cs="Aptos" w:eastAsia="Aptos"/>
          <w:b w:val="0"/>
          <w:i w:val="0"/>
          <w:color w:val="000000"/>
          <w:sz w:val="24"/>
        </w:rPr>
        <w:t>A thesis-quality baseline must cover nominal and real GDP, GDP per capita, oil and non-oil activity, public and private sectors, productivity, capital stock, infrastructure, labor-market structure, informality, migration, and household purchasing power. The current HAEIS intake provides bounded historical context from verified World Bank and IMF artifacts, but not a complete current institutional baseline.</w:t>
      </w:r>
    </w:p>
    <w:p>
      <w:pPr>
        <w:spacing w:before="240" w:line="480" w:lineRule="auto"/>
        <w:jc w:val="both"/>
      </w:pPr>
      <w:r>
        <w:rPr>
          <w:rFonts w:ascii="Times New Roman" w:hAnsi="Times New Roman" w:cs="Aptos" w:eastAsia="Aptos"/>
          <w:b/>
          <w:i w:val="0"/>
          <w:color w:val="000000"/>
          <w:sz w:val="24"/>
        </w:rPr>
        <w:t>4.2 HISTORICAL CONTRACTION AND MONETARY BREAKDOWN</w:t>
      </w:r>
    </w:p>
    <w:p>
      <w:pPr>
        <w:spacing w:line="480" w:lineRule="auto"/>
        <w:jc w:val="both"/>
      </w:pPr>
      <w:r>
        <w:rPr>
          <w:rFonts w:ascii="Times New Roman" w:hAnsi="Times New Roman" w:cs="Aptos" w:eastAsia="Aptos"/>
          <w:b w:val="0"/>
          <w:i w:val="0"/>
          <w:color w:val="000000"/>
          <w:sz w:val="24"/>
        </w:rPr>
        <w:t>The narrative must distinguish oil-sector disruption, nationalization and investment effects, exchange controls, fiscal financing, supply destruction, sanctions, COVID-era disruption, and later stabilization. A single-cause explanation is not accepted. The final data chapter should present a 1998–2026 real-GDP index and annotate regime changes only after the underlying series and vintage are verified.</w:t>
      </w:r>
    </w:p>
    <w:p>
      <w:pPr>
        <w:spacing w:before="240" w:line="480" w:lineRule="auto"/>
        <w:jc w:val="both"/>
      </w:pPr>
      <w:r>
        <w:rPr>
          <w:rFonts w:ascii="Times New Roman" w:hAnsi="Times New Roman" w:cs="Aptos" w:eastAsia="Aptos"/>
          <w:b/>
          <w:i w:val="0"/>
          <w:color w:val="000000"/>
          <w:sz w:val="24"/>
        </w:rPr>
        <w:t>4.3 DE FACTO DOLLAR USE</w:t>
      </w:r>
    </w:p>
    <w:p>
      <w:pPr>
        <w:spacing w:line="480" w:lineRule="auto"/>
        <w:jc w:val="both"/>
      </w:pPr>
      <w:r>
        <w:rPr>
          <w:rFonts w:ascii="Times New Roman" w:hAnsi="Times New Roman" w:cs="Aptos" w:eastAsia="Aptos"/>
          <w:b w:val="0"/>
          <w:i w:val="0"/>
          <w:color w:val="000000"/>
          <w:sz w:val="24"/>
        </w:rPr>
        <w:t>Private use of USD prices, cash, deposits, or contracts is not equivalent to official dollarization. De facto dollarization can coexist with a domestic monetary base, domestic bank-credit creation, local tax obligations, and a central bank that retains formal powers. The distinction is central to estimating actual USD circulation and the effects of an official conversion.</w:t>
      </w:r>
    </w:p>
    <w:p>
      <w:pPr>
        <w:jc w:val="both"/>
      </w:pPr>
      <w:r>
        <w:br w:type="page"/>
      </w:r>
    </w:p>
    <w:p>
      <w:pPr>
        <w:spacing w:before="240" w:line="480" w:lineRule="auto"/>
        <w:jc w:val="both"/>
      </w:pPr>
      <w:r>
        <w:rPr>
          <w:rFonts w:ascii="Times New Roman" w:hAnsi="Times New Roman" w:cs="Aptos" w:eastAsia="Aptos"/>
          <w:b/>
          <w:i w:val="0"/>
          <w:color w:val="000000"/>
          <w:sz w:val="24"/>
        </w:rPr>
        <w:t>5. Monetary Regimes and Dollarization Models</w:t>
      </w:r>
    </w:p>
    <w:p>
      <w:pPr>
        <w:spacing w:before="240" w:line="480" w:lineRule="auto"/>
        <w:jc w:val="both"/>
      </w:pPr>
      <w:r>
        <w:rPr>
          <w:rFonts w:ascii="Times New Roman" w:hAnsi="Times New Roman" w:cs="Aptos" w:eastAsia="Aptos"/>
          <w:b/>
          <w:i w:val="0"/>
          <w:color w:val="000000"/>
          <w:sz w:val="24"/>
        </w:rPr>
        <w:t>5.1 DEFINITIONS</w:t>
      </w:r>
    </w:p>
    <w:tbl>
      <w:tblPr>
        <w:tblStyle w:val="TableGrid"/>
        <w:tblW w:type="auto" w:w="0"/>
        <w:jc w:val="center"/>
        <w:tblLook w:firstColumn="1" w:firstRow="1" w:lastColumn="0" w:lastRow="0" w:noHBand="0" w:noVBand="1" w:val="04A0"/>
      </w:tblPr>
      <w:tblGrid>
        <w:gridCol w:w="3130"/>
        <w:gridCol w:w="3130"/>
        <w:gridCol w:w="3130"/>
      </w:tblGrid>
      <w:tr>
        <w:trPr>
          <w:tblHeader w:val="true"/>
        </w:trPr>
        <w:tc>
          <w:tcPr>
            <w:tcW w:type="dxa" w:w="3130"/>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Regime</w:t>
            </w:r>
          </w:p>
        </w:tc>
        <w:tc>
          <w:tcPr>
            <w:tcW w:type="dxa" w:w="3130"/>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Core feature</w:t>
            </w:r>
          </w:p>
        </w:tc>
        <w:tc>
          <w:tcPr>
            <w:tcW w:type="dxa" w:w="3130"/>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Main constraint</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Informal dollarization</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Private USD use; local currency remains legal tender</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Fragmented monetary and payment system</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Partial dollarization</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USD and bolívar coexist legally</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Conversion and settlement complexity</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Currency board</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Fixed parity with defined reserve and legal rules</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Reserve and fiscal discipline</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Official dollarization</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USD becomes the monetary unit and legal tender</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Loss of domestic monetary issuance</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Synthetic dollarization</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USD-denominated digital balances without equivalent cash</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Settlement and backing risk</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Stablecoin layer</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Tokenized dollar claims</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Regulatory, reserve, and run risk</w:t>
            </w:r>
          </w:p>
        </w:tc>
      </w:tr>
    </w:tbl>
    <w:p/>
    <w:p>
      <w:pPr>
        <w:spacing w:before="240" w:line="480" w:lineRule="auto"/>
        <w:jc w:val="both"/>
      </w:pPr>
      <w:r>
        <w:rPr>
          <w:rFonts w:ascii="Times New Roman" w:hAnsi="Times New Roman" w:cs="Aptos" w:eastAsia="Aptos"/>
          <w:b/>
          <w:i w:val="0"/>
          <w:color w:val="000000"/>
          <w:sz w:val="24"/>
        </w:rPr>
        <w:t>5.2 SIX MANDATORY CONVERSION MODELS</w:t>
      </w:r>
    </w:p>
    <w:p>
      <w:pPr>
        <w:pStyle w:val="ListBullet"/>
        <w:spacing w:line="480" w:lineRule="auto"/>
        <w:jc w:val="both"/>
      </w:pPr>
      <w:r>
        <w:rPr>
          <w:rFonts w:ascii="Times New Roman" w:hAnsi="Times New Roman" w:cs="Aptos" w:eastAsia="Aptos"/>
          <w:b w:val="0"/>
          <w:i w:val="0"/>
          <w:color w:val="000000"/>
          <w:sz w:val="24"/>
        </w:rPr>
        <w:t>Model A — physical currency replacement;</w:t>
      </w:r>
    </w:p>
    <w:p>
      <w:pPr>
        <w:pStyle w:val="ListBullet"/>
        <w:spacing w:line="480" w:lineRule="auto"/>
        <w:jc w:val="both"/>
      </w:pPr>
      <w:r>
        <w:rPr>
          <w:rFonts w:ascii="Times New Roman" w:hAnsi="Times New Roman" w:cs="Aptos" w:eastAsia="Aptos"/>
          <w:b w:val="0"/>
          <w:i w:val="0"/>
          <w:color w:val="000000"/>
          <w:sz w:val="24"/>
        </w:rPr>
        <w:t>Model B — monetary-base conversion;</w:t>
      </w:r>
    </w:p>
    <w:p>
      <w:pPr>
        <w:pStyle w:val="ListBullet"/>
        <w:spacing w:line="480" w:lineRule="auto"/>
        <w:jc w:val="both"/>
      </w:pPr>
      <w:r>
        <w:rPr>
          <w:rFonts w:ascii="Times New Roman" w:hAnsi="Times New Roman" w:cs="Aptos" w:eastAsia="Aptos"/>
          <w:b w:val="0"/>
          <w:i w:val="0"/>
          <w:color w:val="000000"/>
          <w:sz w:val="24"/>
        </w:rPr>
        <w:t>Model C — full banking-system conversion;</w:t>
      </w:r>
    </w:p>
    <w:p>
      <w:pPr>
        <w:pStyle w:val="ListBullet"/>
        <w:spacing w:line="480" w:lineRule="auto"/>
        <w:jc w:val="both"/>
      </w:pPr>
      <w:r>
        <w:rPr>
          <w:rFonts w:ascii="Times New Roman" w:hAnsi="Times New Roman" w:cs="Aptos" w:eastAsia="Aptos"/>
          <w:b w:val="0"/>
          <w:i w:val="0"/>
          <w:color w:val="000000"/>
          <w:sz w:val="24"/>
        </w:rPr>
        <w:t>Model D — gradual dollarization;</w:t>
      </w:r>
    </w:p>
    <w:p>
      <w:pPr>
        <w:pStyle w:val="ListBullet"/>
        <w:spacing w:line="480" w:lineRule="auto"/>
        <w:jc w:val="both"/>
      </w:pPr>
      <w:r>
        <w:rPr>
          <w:rFonts w:ascii="Times New Roman" w:hAnsi="Times New Roman" w:cs="Aptos" w:eastAsia="Aptos"/>
          <w:b w:val="0"/>
          <w:i w:val="0"/>
          <w:color w:val="000000"/>
          <w:sz w:val="24"/>
        </w:rPr>
        <w:t>Model E — parallel currency regime;</w:t>
      </w:r>
    </w:p>
    <w:p>
      <w:pPr>
        <w:pStyle w:val="ListBullet"/>
        <w:spacing w:line="480" w:lineRule="auto"/>
        <w:jc w:val="both"/>
      </w:pPr>
      <w:r>
        <w:rPr>
          <w:rFonts w:ascii="Times New Roman" w:hAnsi="Times New Roman" w:cs="Aptos" w:eastAsia="Aptos"/>
          <w:b w:val="0"/>
          <w:i w:val="0"/>
          <w:color w:val="000000"/>
          <w:sz w:val="24"/>
        </w:rPr>
        <w:t>Model F — currency-board transition;</w:t>
      </w:r>
    </w:p>
    <w:p>
      <w:pPr>
        <w:spacing w:line="480" w:lineRule="auto"/>
        <w:jc w:val="both"/>
      </w:pPr>
      <w:r>
        <w:rPr>
          <w:rFonts w:ascii="Times New Roman" w:hAnsi="Times New Roman" w:cs="Aptos" w:eastAsia="Aptos"/>
          <w:b w:val="0"/>
          <w:i w:val="0"/>
          <w:color w:val="000000"/>
          <w:sz w:val="24"/>
        </w:rPr>
        <w:t>The models cannot be collapsed into a single “dollar requirement.” M2 is a stock of deposits and other monetary liabilities, not a quantity of physical notes that must be purchased one-for-one. The banking model requires a separate treatment of deposits, reserves, loans, foreign assets, and emergency liquidity.</w:t>
      </w:r>
    </w:p>
    <w:p>
      <w:pPr>
        <w:spacing w:before="240" w:line="480" w:lineRule="auto"/>
        <w:jc w:val="both"/>
      </w:pPr>
      <w:r>
        <w:rPr>
          <w:rFonts w:ascii="Times New Roman" w:hAnsi="Times New Roman" w:cs="Aptos" w:eastAsia="Aptos"/>
          <w:b/>
          <w:i w:val="0"/>
          <w:color w:val="000000"/>
          <w:sz w:val="24"/>
        </w:rPr>
        <w:t>5.3 CONVERSION-RATE ALTERNATIVES</w:t>
      </w:r>
    </w:p>
    <w:p>
      <w:pPr>
        <w:spacing w:line="480" w:lineRule="auto"/>
        <w:jc w:val="both"/>
      </w:pPr>
      <w:r>
        <w:rPr>
          <w:rFonts w:ascii="Times New Roman" w:hAnsi="Times New Roman" w:cs="Aptos" w:eastAsia="Aptos"/>
          <w:b w:val="0"/>
          <w:i w:val="0"/>
          <w:color w:val="000000"/>
          <w:sz w:val="24"/>
        </w:rPr>
        <w:t>Candidate rates must be modeled through monetary-base, M1, M2, purchasing-power-parity, real-effective-exchange-rate, market-FX, parallel-market, external-balance, reserve-backed, and fiscal-consistency approaches. The output should be a low/base/high range with distributional and banking effects, not a falsely precise point estimate.</w:t>
      </w:r>
    </w:p>
    <w:p>
      <w:pPr>
        <w:jc w:val="both"/>
      </w:pPr>
      <w:r>
        <w:br w:type="page"/>
      </w:r>
    </w:p>
    <w:p>
      <w:pPr>
        <w:spacing w:before="240" w:line="480" w:lineRule="auto"/>
        <w:jc w:val="both"/>
      </w:pPr>
      <w:r>
        <w:rPr>
          <w:rFonts w:ascii="Times New Roman" w:hAnsi="Times New Roman" w:cs="Aptos" w:eastAsia="Aptos"/>
          <w:b/>
          <w:i w:val="0"/>
          <w:color w:val="000000"/>
          <w:sz w:val="24"/>
        </w:rPr>
        <w:t>6. Balance-Sheet and Funding Requirements</w:t>
      </w:r>
    </w:p>
    <w:p>
      <w:pPr>
        <w:spacing w:before="240" w:line="480" w:lineRule="auto"/>
        <w:jc w:val="both"/>
      </w:pPr>
      <w:r>
        <w:rPr>
          <w:rFonts w:ascii="Times New Roman" w:hAnsi="Times New Roman" w:cs="Aptos" w:eastAsia="Aptos"/>
          <w:b/>
          <w:i w:val="0"/>
          <w:color w:val="000000"/>
          <w:sz w:val="24"/>
        </w:rPr>
        <w:t>6.1 ACCOUNTING IDENTITIES</w:t>
      </w:r>
    </w:p>
    <w:p>
      <w:pPr>
        <w:spacing w:line="480" w:lineRule="auto"/>
        <w:jc w:val="both"/>
      </w:pPr>
      <w:r>
        <w:rPr>
          <w:rFonts w:ascii="Times New Roman" w:hAnsi="Times New Roman" w:cs="Aptos" w:eastAsia="Aptos"/>
          <w:b w:val="0"/>
          <w:i w:val="0"/>
          <w:color w:val="000000"/>
          <w:sz w:val="24"/>
        </w:rPr>
        <w:t>The basic physical-currency requirement is `USD required = VES currency in circulation / conversion rate`. The monetary-base requirement is `VES monetary base / conversion rate`. For M1, `M1 = currency + demand deposits`. For M2, `M2 = M1 + savings + time deposits`. These identities do not determine whether the conversion is financially feasible; they define the objects that must be measured.</w:t>
      </w:r>
    </w:p>
    <w:p>
      <w:pPr>
        <w:spacing w:before="240" w:line="480" w:lineRule="auto"/>
        <w:jc w:val="both"/>
      </w:pPr>
      <w:r>
        <w:rPr>
          <w:rFonts w:ascii="Times New Roman" w:hAnsi="Times New Roman" w:cs="Aptos" w:eastAsia="Aptos"/>
          <w:b/>
          <w:i w:val="0"/>
          <w:color w:val="000000"/>
          <w:sz w:val="24"/>
        </w:rPr>
        <w:t>6.2 FUNDING PACKAGE</w:t>
      </w:r>
    </w:p>
    <w:p>
      <w:pPr>
        <w:spacing w:line="480" w:lineRule="auto"/>
        <w:jc w:val="both"/>
      </w:pPr>
      <w:r>
        <w:rPr>
          <w:rFonts w:ascii="Times New Roman" w:hAnsi="Times New Roman" w:cs="Aptos" w:eastAsia="Aptos"/>
          <w:b w:val="0"/>
          <w:i w:val="0"/>
          <w:color w:val="000000"/>
          <w:sz w:val="24"/>
        </w:rPr>
        <w:t>A complete transition-financing package includes physical cash, bank reserves, a liquidity stabilization fund, deposit insurance, bank recapitalization, a government operating buffer, payment-system conversion, and contingency financing. The funding gap is `dollarization requirement − available liquid reserves`, but the requirement must be defined before the gap is calculated.</w:t>
      </w:r>
    </w:p>
    <w:p>
      <w:pPr>
        <w:spacing w:before="240" w:line="480" w:lineRule="auto"/>
        <w:jc w:val="both"/>
      </w:pPr>
      <w:r>
        <w:rPr>
          <w:rFonts w:ascii="Times New Roman" w:hAnsi="Times New Roman" w:cs="Aptos" w:eastAsia="Aptos"/>
          <w:b/>
          <w:i w:val="0"/>
          <w:color w:val="000000"/>
          <w:sz w:val="24"/>
        </w:rPr>
        <w:t>6.3 RESERVES</w:t>
      </w:r>
    </w:p>
    <w:p>
      <w:pPr>
        <w:spacing w:line="480" w:lineRule="auto"/>
        <w:jc w:val="both"/>
      </w:pPr>
      <w:r>
        <w:rPr>
          <w:rFonts w:ascii="Times New Roman" w:hAnsi="Times New Roman" w:cs="Aptos" w:eastAsia="Aptos"/>
          <w:b w:val="0"/>
          <w:i w:val="0"/>
          <w:color w:val="000000"/>
          <w:sz w:val="24"/>
        </w:rPr>
        <w:t>Gross international reserves, liquid foreign exchange, gold, SDRs, foreign securities, deposits abroad, pledged assets, sanctions constraints, and litigation exposure must be separated. Gold can be valuable without being immediately deployable as settlement liquidity. Reserve coverage is therefore calculated against the relevant dollarization object and not against an undifferentiated reserve headline.</w:t>
      </w:r>
    </w:p>
    <w:p>
      <w:pPr>
        <w:spacing w:before="240" w:line="480" w:lineRule="auto"/>
        <w:jc w:val="both"/>
      </w:pPr>
      <w:r>
        <w:rPr>
          <w:rFonts w:ascii="Times New Roman" w:hAnsi="Times New Roman" w:cs="Aptos" w:eastAsia="Aptos"/>
          <w:b/>
          <w:i w:val="0"/>
          <w:color w:val="000000"/>
          <w:sz w:val="24"/>
        </w:rPr>
        <w:t>6.4 CURRENT FINDING</w:t>
      </w:r>
    </w:p>
    <w:p>
      <w:pPr>
        <w:spacing w:line="480" w:lineRule="auto"/>
        <w:jc w:val="both"/>
      </w:pPr>
      <w:r>
        <w:rPr>
          <w:rFonts w:ascii="Times New Roman" w:hAnsi="Times New Roman" w:cs="Aptos" w:eastAsia="Aptos"/>
          <w:b w:val="0"/>
          <w:i w:val="0"/>
          <w:color w:val="000000"/>
          <w:sz w:val="24"/>
        </w:rPr>
        <w:t>The current evidence bundle does not support a decision-grade value for BCV monetary base, M1, M2, liquid reserves, or USD circulation. The correct status is `UNAVAILABLE`, not a fabricated funding estimate.</w:t>
      </w:r>
    </w:p>
    <w:p>
      <w:pPr>
        <w:jc w:val="both"/>
      </w:pPr>
      <w:r>
        <w:br w:type="page"/>
      </w:r>
    </w:p>
    <w:p>
      <w:pPr>
        <w:spacing w:before="240" w:line="480" w:lineRule="auto"/>
        <w:jc w:val="both"/>
      </w:pPr>
      <w:r>
        <w:rPr>
          <w:rFonts w:ascii="Times New Roman" w:hAnsi="Times New Roman" w:cs="Aptos" w:eastAsia="Aptos"/>
          <w:b/>
          <w:i w:val="0"/>
          <w:color w:val="000000"/>
          <w:sz w:val="24"/>
        </w:rPr>
        <w:t>7. Banking System, Credit, and Lender of Last Resort</w:t>
      </w:r>
    </w:p>
    <w:p>
      <w:pPr>
        <w:spacing w:before="240" w:line="480" w:lineRule="auto"/>
        <w:jc w:val="both"/>
      </w:pPr>
      <w:r>
        <w:rPr>
          <w:rFonts w:ascii="Times New Roman" w:hAnsi="Times New Roman" w:cs="Aptos" w:eastAsia="Aptos"/>
          <w:b/>
          <w:i w:val="0"/>
          <w:color w:val="000000"/>
          <w:sz w:val="24"/>
        </w:rPr>
        <w:t>7.1 BANKING BALANCE SHEET</w:t>
      </w:r>
    </w:p>
    <w:p>
      <w:pPr>
        <w:spacing w:line="480" w:lineRule="auto"/>
        <w:jc w:val="both"/>
      </w:pPr>
      <w:r>
        <w:rPr>
          <w:rFonts w:ascii="Times New Roman" w:hAnsi="Times New Roman" w:cs="Aptos" w:eastAsia="Aptos"/>
          <w:b w:val="0"/>
          <w:i w:val="0"/>
          <w:color w:val="000000"/>
          <w:sz w:val="24"/>
        </w:rPr>
        <w:t>The aggregate and bank-level models separate loans, securities, reserves, FX assets, deposits, wholesale funding, central-bank funding, other liabilities, and equity. Where bank-level evidence is unavailable, the report remains at system level and does not accuse a specific bank of insolvency.</w:t>
      </w:r>
    </w:p>
    <w:p>
      <w:pPr>
        <w:spacing w:before="240" w:line="480" w:lineRule="auto"/>
        <w:jc w:val="both"/>
      </w:pPr>
      <w:r>
        <w:rPr>
          <w:rFonts w:ascii="Times New Roman" w:hAnsi="Times New Roman" w:cs="Aptos" w:eastAsia="Aptos"/>
          <w:b/>
          <w:i w:val="0"/>
          <w:color w:val="000000"/>
          <w:sz w:val="24"/>
        </w:rPr>
        <w:t>7.2 CONVERSION RISK</w:t>
      </w:r>
    </w:p>
    <w:p>
      <w:pPr>
        <w:spacing w:line="480" w:lineRule="auto"/>
        <w:jc w:val="both"/>
      </w:pPr>
      <w:r>
        <w:rPr>
          <w:rFonts w:ascii="Times New Roman" w:hAnsi="Times New Roman" w:cs="Aptos" w:eastAsia="Aptos"/>
          <w:b w:val="0"/>
          <w:i w:val="0"/>
          <w:color w:val="000000"/>
          <w:sz w:val="24"/>
        </w:rPr>
        <w:t>Dollarization can convert liabilities and assets at different effective rates, creating a conversion gap. A bank can be solvent under one conversion and undercapitalized under another. Liquidity and solvency are not synonyms. A bank can hold positive capital but still fail a deposit run if liquid assets are insufficient.</w:t>
      </w:r>
    </w:p>
    <w:p>
      <w:pPr>
        <w:spacing w:before="240" w:line="480" w:lineRule="auto"/>
        <w:jc w:val="both"/>
      </w:pPr>
      <w:r>
        <w:rPr>
          <w:rFonts w:ascii="Times New Roman" w:hAnsi="Times New Roman" w:cs="Aptos" w:eastAsia="Aptos"/>
          <w:b/>
          <w:i w:val="0"/>
          <w:color w:val="000000"/>
          <w:sz w:val="24"/>
        </w:rPr>
        <w:t>7.3 CREDIT CONTRACTION</w:t>
      </w:r>
    </w:p>
    <w:p>
      <w:pPr>
        <w:spacing w:line="480" w:lineRule="auto"/>
        <w:jc w:val="both"/>
      </w:pPr>
      <w:r>
        <w:rPr>
          <w:rFonts w:ascii="Times New Roman" w:hAnsi="Times New Roman" w:cs="Aptos" w:eastAsia="Aptos"/>
          <w:b w:val="0"/>
          <w:i w:val="0"/>
          <w:color w:val="000000"/>
          <w:sz w:val="24"/>
        </w:rPr>
        <w:t>The causal chain tested is: deposits → bank liquidity → loanable funds → credit → investment → employment → GDP. Stress cases include no contraction, 10%, 20%, 30%, 40%, and 50% reductions in credit. These are modeled scenarios, not forecasts.</w:t>
      </w:r>
    </w:p>
    <w:p>
      <w:pPr>
        <w:spacing w:before="240" w:line="480" w:lineRule="auto"/>
        <w:jc w:val="both"/>
      </w:pPr>
      <w:r>
        <w:rPr>
          <w:rFonts w:ascii="Times New Roman" w:hAnsi="Times New Roman" w:cs="Aptos" w:eastAsia="Aptos"/>
          <w:b/>
          <w:i w:val="0"/>
          <w:color w:val="000000"/>
          <w:sz w:val="24"/>
        </w:rPr>
        <w:t>7.4 LENDER OF LAST RESORT</w:t>
      </w:r>
    </w:p>
    <w:p>
      <w:pPr>
        <w:spacing w:line="480" w:lineRule="auto"/>
        <w:jc w:val="both"/>
      </w:pPr>
      <w:r>
        <w:rPr>
          <w:rFonts w:ascii="Times New Roman" w:hAnsi="Times New Roman" w:cs="Aptos" w:eastAsia="Aptos"/>
          <w:b w:val="0"/>
          <w:i w:val="0"/>
          <w:color w:val="000000"/>
          <w:sz w:val="24"/>
        </w:rPr>
        <w:t>A dollarized system cannot rely on unlimited domestic base-money creation. Alternatives include a fiscal liquidity fund, multilateral facilities, foreign credit lines, private interbank liquidity, deposit insurance, reserve requirements, and oil-linked stabilization mechanisms. Each alternative has funding, collateral, governance, and political constraints.</w:t>
      </w:r>
    </w:p>
    <w:p>
      <w:pPr>
        <w:spacing w:before="240" w:line="480" w:lineRule="auto"/>
        <w:jc w:val="both"/>
      </w:pPr>
      <w:r>
        <w:rPr>
          <w:rFonts w:ascii="Times New Roman" w:hAnsi="Times New Roman" w:cs="Aptos" w:eastAsia="Aptos"/>
          <w:b/>
          <w:i w:val="0"/>
          <w:color w:val="000000"/>
          <w:sz w:val="24"/>
        </w:rPr>
        <w:t>7.5 BANK-RUN STRESS GRID</w:t>
      </w:r>
    </w:p>
    <w:tbl>
      <w:tblPr>
        <w:tblStyle w:val="TableGrid"/>
        <w:tblW w:type="auto" w:w="0"/>
        <w:jc w:val="center"/>
        <w:tblLook w:firstColumn="1" w:firstRow="1" w:lastColumn="0" w:lastRow="0" w:noHBand="0" w:noVBand="1" w:val="04A0"/>
      </w:tblPr>
      <w:tblGrid>
        <w:gridCol w:w="4694"/>
        <w:gridCol w:w="4694"/>
      </w:tblGrid>
      <w:tr>
        <w:trPr>
          <w:tblHeader w:val="true"/>
        </w:trPr>
        <w:tc>
          <w:tcPr>
            <w:tcW w:type="dxa" w:w="469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Withdrawal</w:t>
            </w:r>
          </w:p>
        </w:tc>
        <w:tc>
          <w:tcPr>
            <w:tcW w:type="dxa" w:w="469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Required analysis</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5%</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Liquid assets exhausted; emergency liquidity; credit contraction; GDP sensitivity</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Liquid assets exhausted; emergency liquidity; credit contraction; GDP sensitivity</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15%</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Liquid assets exhausted; emergency liquidity; credit contraction; GDP sensitivity</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Liquid assets exhausted; emergency liquidity; credit contraction; GDP sensitivity</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25%</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Liquid assets exhausted; emergency liquidity; credit contraction; GDP sensitivity</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30%</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Liquid assets exhausted; emergency liquidity; credit contraction; GDP sensitivity</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40%</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Liquid assets exhausted; emergency liquidity; credit contraction; GDP sensitivity</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50%</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Liquid assets exhausted; emergency liquidity; credit contraction; GDP sensitivity</w:t>
            </w:r>
          </w:p>
        </w:tc>
      </w:tr>
    </w:tbl>
    <w:p/>
    <w:p>
      <w:pPr>
        <w:jc w:val="both"/>
      </w:pPr>
      <w:r>
        <w:br w:type="page"/>
      </w:r>
    </w:p>
    <w:p>
      <w:pPr>
        <w:spacing w:before="240" w:line="480" w:lineRule="auto"/>
        <w:jc w:val="both"/>
      </w:pPr>
      <w:r>
        <w:rPr>
          <w:rFonts w:ascii="Times New Roman" w:hAnsi="Times New Roman" w:cs="Aptos" w:eastAsia="Aptos"/>
          <w:b/>
          <w:i w:val="0"/>
          <w:color w:val="000000"/>
          <w:sz w:val="24"/>
        </w:rPr>
        <w:t>8. Fiscal, Oil, External, and Debt Constraints</w:t>
      </w:r>
    </w:p>
    <w:p>
      <w:pPr>
        <w:spacing w:before="240" w:line="480" w:lineRule="auto"/>
        <w:jc w:val="both"/>
      </w:pPr>
      <w:r>
        <w:rPr>
          <w:rFonts w:ascii="Times New Roman" w:hAnsi="Times New Roman" w:cs="Aptos" w:eastAsia="Aptos"/>
          <w:b/>
          <w:i w:val="0"/>
          <w:color w:val="000000"/>
          <w:sz w:val="24"/>
        </w:rPr>
        <w:t>8.1 FISCAL DOMINANCE</w:t>
      </w:r>
    </w:p>
    <w:p>
      <w:pPr>
        <w:spacing w:line="480" w:lineRule="auto"/>
        <w:jc w:val="both"/>
      </w:pPr>
      <w:r>
        <w:rPr>
          <w:rFonts w:ascii="Times New Roman" w:hAnsi="Times New Roman" w:cs="Aptos" w:eastAsia="Aptos"/>
          <w:b w:val="0"/>
          <w:i w:val="0"/>
          <w:color w:val="000000"/>
          <w:sz w:val="24"/>
        </w:rPr>
        <w:t>Dollarization removes or sharply limits domestic monetary financing. It does not remove the fiscal deficit. Revenue, spending, primary balance, interest burden, arrears, contingent liabilities, and debt rollover must be modeled in a common unit and time period.</w:t>
      </w:r>
    </w:p>
    <w:p>
      <w:pPr>
        <w:spacing w:before="240" w:line="480" w:lineRule="auto"/>
        <w:jc w:val="both"/>
      </w:pPr>
      <w:r>
        <w:rPr>
          <w:rFonts w:ascii="Times New Roman" w:hAnsi="Times New Roman" w:cs="Aptos" w:eastAsia="Aptos"/>
          <w:b/>
          <w:i w:val="0"/>
          <w:color w:val="000000"/>
          <w:sz w:val="24"/>
        </w:rPr>
        <w:t>8.2 SEIGNIORAGE</w:t>
      </w:r>
    </w:p>
    <w:p>
      <w:pPr>
        <w:spacing w:line="480" w:lineRule="auto"/>
        <w:jc w:val="both"/>
      </w:pPr>
      <w:r>
        <w:rPr>
          <w:rFonts w:ascii="Times New Roman" w:hAnsi="Times New Roman" w:cs="Aptos" w:eastAsia="Aptos"/>
          <w:b w:val="0"/>
          <w:i w:val="0"/>
          <w:color w:val="000000"/>
          <w:sz w:val="24"/>
        </w:rPr>
        <w:t>The report estimates historical monetary-creation revenue only where the monetary base and price-level inputs are verified. Foregone seigniorage under dollarization must be replaced by taxes, spending restraint, external financing, asset sales, or higher growth.</w:t>
      </w:r>
    </w:p>
    <w:p>
      <w:pPr>
        <w:spacing w:before="240" w:line="480" w:lineRule="auto"/>
        <w:jc w:val="both"/>
      </w:pPr>
      <w:r>
        <w:rPr>
          <w:rFonts w:ascii="Times New Roman" w:hAnsi="Times New Roman" w:cs="Aptos" w:eastAsia="Aptos"/>
          <w:b/>
          <w:i w:val="0"/>
          <w:color w:val="000000"/>
          <w:sz w:val="24"/>
        </w:rPr>
        <w:t>8.3 OIL AND USABLE SOVEREIGN FX</w:t>
      </w:r>
    </w:p>
    <w:p>
      <w:pPr>
        <w:spacing w:line="480" w:lineRule="auto"/>
        <w:jc w:val="both"/>
      </w:pPr>
      <w:r>
        <w:rPr>
          <w:rFonts w:ascii="Times New Roman" w:hAnsi="Times New Roman" w:cs="Aptos" w:eastAsia="Aptos"/>
          <w:b w:val="0"/>
          <w:i w:val="0"/>
          <w:color w:val="000000"/>
          <w:sz w:val="24"/>
        </w:rPr>
        <w:t>Gross oil revenue is not equal to government FX. The net-flow model subtracts lifting costs, transport, discounts, joint-venture shares, royalties, taxes, domestic consumption, debt payments, and operating obligations. Oil price and production grids are stress inputs, not predictions.</w:t>
      </w:r>
    </w:p>
    <w:p>
      <w:pPr>
        <w:spacing w:before="240" w:line="480" w:lineRule="auto"/>
        <w:jc w:val="both"/>
      </w:pPr>
      <w:r>
        <w:rPr>
          <w:rFonts w:ascii="Times New Roman" w:hAnsi="Times New Roman" w:cs="Aptos" w:eastAsia="Aptos"/>
          <w:b/>
          <w:i w:val="0"/>
          <w:color w:val="000000"/>
          <w:sz w:val="24"/>
        </w:rPr>
        <w:t>8.4 DEBT AND PDVSA</w:t>
      </w:r>
    </w:p>
    <w:p>
      <w:pPr>
        <w:spacing w:line="480" w:lineRule="auto"/>
        <w:jc w:val="both"/>
      </w:pPr>
      <w:r>
        <w:rPr>
          <w:rFonts w:ascii="Times New Roman" w:hAnsi="Times New Roman" w:cs="Aptos" w:eastAsia="Aptos"/>
          <w:b w:val="0"/>
          <w:i w:val="0"/>
          <w:color w:val="000000"/>
          <w:sz w:val="24"/>
        </w:rPr>
        <w:t>Court and arbitration records can establish awards, judgments, defaults, security interests, payment events, and enforcement exposure. They do not by themselves establish the current consolidated debt stock. Debt analysis therefore keeps Republic debt, PDVSA debt, bilateral obligations, arbitration awards, commercial claims, arrears, and enforcement claims in separate ledgers.</w:t>
      </w:r>
    </w:p>
    <w:p>
      <w:pPr>
        <w:spacing w:before="240" w:line="480" w:lineRule="auto"/>
        <w:jc w:val="both"/>
      </w:pPr>
      <w:r>
        <w:rPr>
          <w:rFonts w:ascii="Times New Roman" w:hAnsi="Times New Roman" w:cs="Aptos" w:eastAsia="Aptos"/>
          <w:b/>
          <w:i w:val="0"/>
          <w:color w:val="000000"/>
          <w:sz w:val="24"/>
        </w:rPr>
        <w:t>8.5 BALANCE OF PAYMENTS</w:t>
      </w:r>
    </w:p>
    <w:p>
      <w:pPr>
        <w:spacing w:line="480" w:lineRule="auto"/>
        <w:jc w:val="both"/>
      </w:pPr>
      <w:r>
        <w:rPr>
          <w:rFonts w:ascii="Times New Roman" w:hAnsi="Times New Roman" w:cs="Aptos" w:eastAsia="Aptos"/>
          <w:b w:val="0"/>
          <w:i w:val="0"/>
          <w:color w:val="000000"/>
          <w:sz w:val="24"/>
        </w:rPr>
        <w:t>Under a dollarized regime, external deficits can tighten domestic liquidity directly. The dollar-flow waterfall tracks oil exports, non-oil exports, remittances, FDI, tourism, borrowing, imports, debt service, profit repatriation, capital flight, travel, and services.</w:t>
      </w:r>
    </w:p>
    <w:p>
      <w:pPr>
        <w:jc w:val="both"/>
      </w:pPr>
      <w:r>
        <w:br w:type="page"/>
      </w:r>
    </w:p>
    <w:p>
      <w:pPr>
        <w:spacing w:before="240" w:line="480" w:lineRule="auto"/>
        <w:jc w:val="both"/>
      </w:pPr>
      <w:r>
        <w:rPr>
          <w:rFonts w:ascii="Times New Roman" w:hAnsi="Times New Roman" w:cs="Aptos" w:eastAsia="Aptos"/>
          <w:b/>
          <w:i w:val="0"/>
          <w:color w:val="000000"/>
          <w:sz w:val="24"/>
        </w:rPr>
        <w:t>9. Households, Labor, and Distribution</w:t>
      </w:r>
    </w:p>
    <w:p>
      <w:pPr>
        <w:spacing w:line="480" w:lineRule="auto"/>
        <w:jc w:val="both"/>
      </w:pPr>
      <w:r>
        <w:rPr>
          <w:rFonts w:ascii="Times New Roman" w:hAnsi="Times New Roman" w:cs="Aptos" w:eastAsia="Aptos"/>
          <w:b w:val="0"/>
          <w:i w:val="0"/>
          <w:color w:val="000000"/>
          <w:sz w:val="24"/>
        </w:rPr>
        <w:t>Dollarization redistributes wealth through the conversion rate, contract rules, wage formation, debt conversion, deposit conversion, and access to bank liquidity. Potential beneficiaries include existing USD earners, exporters, savers, and importers. Potentially exposed groups include bolívar-income households, public employees, pensioners, debtors, SMEs dependent on domestic credit, and people outside the formal banking system. Pension scenarios use monthly benefits of $30, $50, $70, $100, $150, and $200, but the fiscal cost cannot be calculated without a verified beneficiary count and budget coverage. Public-wage scenarios must separate teachers, health workers, police, military, civil servants, and SOE employees where reliable payroll data exist. Distributional analysis must be stratified by income decile, USD exposure, remittance receipt, formal or informal employment, region, and bank access. A nominal conversion that stabilizes prices can still reduce real activity if credit and public wages adjust abruptly.</w:t>
      </w:r>
    </w:p>
    <w:p>
      <w:pPr>
        <w:jc w:val="both"/>
      </w:pPr>
      <w:r>
        <w:br w:type="page"/>
      </w:r>
    </w:p>
    <w:p>
      <w:pPr>
        <w:spacing w:before="180" w:line="480" w:lineRule="auto"/>
        <w:jc w:val="both"/>
      </w:pPr>
      <w:r>
        <w:rPr>
          <w:rFonts w:ascii="Times New Roman" w:hAnsi="Times New Roman" w:cs="Aptos" w:eastAsia="Aptos"/>
          <w:b/>
          <w:i w:val="0"/>
          <w:color w:val="373737"/>
          <w:sz w:val="24"/>
        </w:rPr>
        <w:t>10. International Comparative Episodes</w:t>
      </w:r>
    </w:p>
    <w:p>
      <w:pPr>
        <w:spacing w:before="180" w:line="480" w:lineRule="auto"/>
        <w:jc w:val="both"/>
      </w:pPr>
      <w:r>
        <w:rPr>
          <w:rFonts w:ascii="Times New Roman" w:hAnsi="Times New Roman" w:cs="Aptos" w:eastAsia="Aptos"/>
          <w:b/>
          <w:i w:val="0"/>
          <w:color w:val="373737"/>
          <w:sz w:val="24"/>
        </w:rPr>
        <w:t>10.1 COMPARATIVE METHOD</w:t>
      </w:r>
    </w:p>
    <w:p>
      <w:pPr>
        <w:spacing w:line="480" w:lineRule="auto"/>
        <w:jc w:val="both"/>
      </w:pPr>
      <w:r>
        <w:rPr>
          <w:rFonts w:ascii="Times New Roman" w:hAnsi="Times New Roman" w:cs="Aptos" w:eastAsia="Aptos"/>
          <w:b w:val="0"/>
          <w:i w:val="0"/>
          <w:color w:val="000000"/>
          <w:sz w:val="24"/>
        </w:rPr>
        <w:t>Comparisons are used to test mechanisms, not to claim that Venezuela will repeat another country. Each case must record pre-reform inflation, monetary regime, banking conditions, reserves, fiscal balance, debt, external accounts, legal structure, transition sequence, and five- and ten-year outcomes. Before-and-after comparisons do not establish causality by themselves.</w:t>
      </w:r>
    </w:p>
    <w:tbl>
      <w:tblPr>
        <w:tblStyle w:val="TableGrid"/>
        <w:tblW w:type="auto" w:w="0"/>
        <w:jc w:val="center"/>
        <w:tblLook w:firstColumn="1" w:firstRow="1" w:lastColumn="0" w:lastRow="0" w:noHBand="0" w:noVBand="1" w:val="04A0"/>
      </w:tblPr>
      <w:tblGrid>
        <w:gridCol w:w="3130"/>
        <w:gridCol w:w="3130"/>
        <w:gridCol w:w="3130"/>
      </w:tblGrid>
      <w:tr>
        <w:trPr>
          <w:tblHeader w:val="true"/>
        </w:trPr>
        <w:tc>
          <w:tcPr>
            <w:tcW w:type="dxa" w:w="3130"/>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Case</w:t>
            </w:r>
          </w:p>
        </w:tc>
        <w:tc>
          <w:tcPr>
            <w:tcW w:type="dxa" w:w="3130"/>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Main analytical use</w:t>
            </w:r>
          </w:p>
        </w:tc>
        <w:tc>
          <w:tcPr>
            <w:tcW w:type="dxa" w:w="3130"/>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Caution</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Ecuador</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Banking crisis followed by official dollarization</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Different size, institutions, and external financing</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Panama</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Dollarized banking and payment architecture</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Long institutional history; not a direct transition analogue</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El Salvador</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Dollarization, remittances, and fiscal constraints</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Remittance and institutional differences</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Zimbabwe</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Currency collapse and multicurrency stabilization</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Extreme supply and political conditions</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Argentina 1989–90</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Hyperinflation and currency credibility</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Convertibility was not full dollarization</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Argentina 2001–02</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Debt, banking freeze, and regime collapse</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Important warning against treating pegs as dollarization</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Montenegro and Kosovo</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Unilateral currency adoption</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Small open economies and distinct legal settings</w:t>
            </w:r>
          </w:p>
        </w:tc>
      </w:tr>
    </w:tbl>
    <w:p/>
    <w:p>
      <w:pPr>
        <w:spacing w:before="180" w:line="480" w:lineRule="auto"/>
        <w:jc w:val="both"/>
      </w:pPr>
      <w:r>
        <w:rPr>
          <w:rFonts w:ascii="Times New Roman" w:hAnsi="Times New Roman" w:cs="Aptos" w:eastAsia="Aptos"/>
          <w:b/>
          <w:i w:val="0"/>
          <w:color w:val="373737"/>
          <w:sz w:val="24"/>
        </w:rPr>
        <w:t>10.2 HISTORICAL EVIDENCE RULE</w:t>
      </w:r>
    </w:p>
    <w:p>
      <w:pPr>
        <w:spacing w:line="480" w:lineRule="auto"/>
        <w:jc w:val="both"/>
      </w:pPr>
      <w:r>
        <w:rPr>
          <w:rFonts w:ascii="Times New Roman" w:hAnsi="Times New Roman" w:cs="Aptos" w:eastAsia="Aptos"/>
          <w:b w:val="0"/>
          <w:i w:val="0"/>
          <w:color w:val="000000"/>
          <w:sz w:val="24"/>
        </w:rPr>
        <w:t>The historical case universe remains a staged intake. A case is not “verified” merely because an index lists it. Full verification requires the underlying judgment, award, official report, or primary dataset to be acquired and read with locators.</w:t>
      </w:r>
    </w:p>
    <w:p>
      <w:pPr>
        <w:jc w:val="both"/>
      </w:pPr>
      <w:r>
        <w:br w:type="page"/>
      </w:r>
    </w:p>
    <w:p>
      <w:pPr>
        <w:spacing w:before="180" w:line="480" w:lineRule="auto"/>
        <w:jc w:val="both"/>
      </w:pPr>
      <w:r>
        <w:rPr>
          <w:rFonts w:ascii="Times New Roman" w:hAnsi="Times New Roman" w:cs="Aptos" w:eastAsia="Aptos"/>
          <w:b/>
          <w:i w:val="0"/>
          <w:color w:val="373737"/>
          <w:sz w:val="24"/>
        </w:rPr>
        <w:t>11. Legal and Institutional Architecture</w:t>
      </w:r>
    </w:p>
    <w:p>
      <w:pPr>
        <w:spacing w:line="480" w:lineRule="auto"/>
        <w:jc w:val="both"/>
      </w:pPr>
      <w:r>
        <w:rPr>
          <w:rFonts w:ascii="Times New Roman" w:hAnsi="Times New Roman" w:cs="Aptos" w:eastAsia="Aptos"/>
          <w:b w:val="0"/>
          <w:i w:val="0"/>
          <w:color w:val="000000"/>
          <w:sz w:val="24"/>
        </w:rPr>
        <w:t>The legal workstream examines the Venezuelan Constitution, Article 318, BCV law, banking law, tax law, labor law, contract law, public-debt law, foreign-exchange rules, sanctions constraints, and payment-system authority. Every conclusion must distinguish fact, interpretation, and unresolved legal question. A transition statute would need rules for wages, deposits, loans, mortgages, pensions, taxes, government bonds, commercial contracts, accounting, payment systems, and disputes. The future BCV role could include banking supervision, reserve management, payments oversight, statistics, macroprudential regulation, financial stability, and resolution support, while monetary issuance and conventional lender-of-last-resort power would be constrained or removed. Legal readiness is not an administrative detail. If contract conversion, bank resolution, reserve ownership, or payment settlement is unclear, a technically sound balance-sheet conversion can still fail operationally.</w:t>
      </w:r>
    </w:p>
    <w:p>
      <w:pPr>
        <w:jc w:val="both"/>
      </w:pPr>
      <w:r>
        <w:br w:type="page"/>
      </w:r>
    </w:p>
    <w:p>
      <w:pPr>
        <w:spacing w:before="180" w:line="480" w:lineRule="auto"/>
        <w:jc w:val="both"/>
      </w:pPr>
      <w:r>
        <w:rPr>
          <w:rFonts w:ascii="Times New Roman" w:hAnsi="Times New Roman" w:cs="Aptos" w:eastAsia="Aptos"/>
          <w:b/>
          <w:i w:val="0"/>
          <w:color w:val="373737"/>
          <w:sz w:val="24"/>
        </w:rPr>
        <w:t>12. Quantitative, Scenario, and Stress-Test Framework</w:t>
      </w:r>
    </w:p>
    <w:p>
      <w:pPr>
        <w:spacing w:before="180" w:line="480" w:lineRule="auto"/>
        <w:jc w:val="both"/>
      </w:pPr>
      <w:r>
        <w:rPr>
          <w:rFonts w:ascii="Times New Roman" w:hAnsi="Times New Roman" w:cs="Aptos" w:eastAsia="Aptos"/>
          <w:b/>
          <w:i w:val="0"/>
          <w:color w:val="373737"/>
          <w:sz w:val="24"/>
        </w:rPr>
        <w:t>12.1 DETERMINISTIC FORMULAS</w:t>
      </w:r>
    </w:p>
    <w:p>
      <w:pPr>
        <w:pStyle w:val="ListBullet"/>
        <w:spacing w:line="480" w:lineRule="auto"/>
        <w:jc w:val="both"/>
      </w:pPr>
      <w:r>
        <w:rPr>
          <w:rFonts w:ascii="Times New Roman" w:hAnsi="Times New Roman" w:cs="Aptos" w:eastAsia="Aptos"/>
          <w:b w:val="0"/>
          <w:i w:val="0"/>
          <w:color w:val="000000"/>
          <w:sz w:val="24"/>
        </w:rPr>
        <w:t>inflation and compound inflation;</w:t>
      </w:r>
    </w:p>
    <w:p>
      <w:pPr>
        <w:pStyle w:val="ListBullet"/>
        <w:spacing w:line="480" w:lineRule="auto"/>
        <w:jc w:val="both"/>
      </w:pPr>
      <w:r>
        <w:rPr>
          <w:rFonts w:ascii="Times New Roman" w:hAnsi="Times New Roman" w:cs="Aptos" w:eastAsia="Aptos"/>
          <w:b w:val="0"/>
          <w:i w:val="0"/>
          <w:color w:val="000000"/>
          <w:sz w:val="24"/>
        </w:rPr>
        <w:t>monetary growth and velocity;</w:t>
      </w:r>
    </w:p>
    <w:p>
      <w:pPr>
        <w:pStyle w:val="ListBullet"/>
        <w:spacing w:line="480" w:lineRule="auto"/>
        <w:jc w:val="both"/>
      </w:pPr>
      <w:r>
        <w:rPr>
          <w:rFonts w:ascii="Times New Roman" w:hAnsi="Times New Roman" w:cs="Aptos" w:eastAsia="Aptos"/>
          <w:b w:val="0"/>
          <w:i w:val="0"/>
          <w:color w:val="000000"/>
          <w:sz w:val="24"/>
        </w:rPr>
        <w:t>parallel-market premium;</w:t>
      </w:r>
    </w:p>
    <w:p>
      <w:pPr>
        <w:pStyle w:val="ListBullet"/>
        <w:spacing w:line="480" w:lineRule="auto"/>
        <w:jc w:val="both"/>
      </w:pPr>
      <w:r>
        <w:rPr>
          <w:rFonts w:ascii="Times New Roman" w:hAnsi="Times New Roman" w:cs="Aptos" w:eastAsia="Aptos"/>
          <w:b w:val="0"/>
          <w:i w:val="0"/>
          <w:color w:val="000000"/>
          <w:sz w:val="24"/>
        </w:rPr>
        <w:t>reserve coverage;</w:t>
      </w:r>
    </w:p>
    <w:p>
      <w:pPr>
        <w:pStyle w:val="ListBullet"/>
        <w:spacing w:line="480" w:lineRule="auto"/>
        <w:jc w:val="both"/>
      </w:pPr>
      <w:r>
        <w:rPr>
          <w:rFonts w:ascii="Times New Roman" w:hAnsi="Times New Roman" w:cs="Aptos" w:eastAsia="Aptos"/>
          <w:b w:val="0"/>
          <w:i w:val="0"/>
          <w:color w:val="000000"/>
          <w:sz w:val="24"/>
        </w:rPr>
        <w:t>monetary-base, M1, and M2 conversion;</w:t>
      </w:r>
    </w:p>
    <w:p>
      <w:pPr>
        <w:pStyle w:val="ListBullet"/>
        <w:spacing w:line="480" w:lineRule="auto"/>
        <w:jc w:val="both"/>
      </w:pPr>
      <w:r>
        <w:rPr>
          <w:rFonts w:ascii="Times New Roman" w:hAnsi="Times New Roman" w:cs="Aptos" w:eastAsia="Aptos"/>
          <w:b w:val="0"/>
          <w:i w:val="0"/>
          <w:color w:val="000000"/>
          <w:sz w:val="24"/>
        </w:rPr>
        <w:t>money multiplier and credit growth;</w:t>
      </w:r>
    </w:p>
    <w:p>
      <w:pPr>
        <w:pStyle w:val="ListBullet"/>
        <w:spacing w:line="480" w:lineRule="auto"/>
        <w:jc w:val="both"/>
      </w:pPr>
      <w:r>
        <w:rPr>
          <w:rFonts w:ascii="Times New Roman" w:hAnsi="Times New Roman" w:cs="Aptos" w:eastAsia="Aptos"/>
          <w:b w:val="0"/>
          <w:i w:val="0"/>
          <w:color w:val="000000"/>
          <w:sz w:val="24"/>
        </w:rPr>
        <w:t>debt-to-GDP and interest-to-revenue;</w:t>
      </w:r>
    </w:p>
    <w:p>
      <w:pPr>
        <w:pStyle w:val="ListBullet"/>
        <w:spacing w:line="480" w:lineRule="auto"/>
        <w:jc w:val="both"/>
      </w:pPr>
      <w:r>
        <w:rPr>
          <w:rFonts w:ascii="Times New Roman" w:hAnsi="Times New Roman" w:cs="Aptos" w:eastAsia="Aptos"/>
          <w:b w:val="0"/>
          <w:i w:val="0"/>
          <w:color w:val="000000"/>
          <w:sz w:val="24"/>
        </w:rPr>
        <w:t>fiscal deficit-to-GDP;</w:t>
      </w:r>
    </w:p>
    <w:p>
      <w:pPr>
        <w:pStyle w:val="ListBullet"/>
        <w:spacing w:line="480" w:lineRule="auto"/>
        <w:jc w:val="both"/>
      </w:pPr>
      <w:r>
        <w:rPr>
          <w:rFonts w:ascii="Times New Roman" w:hAnsi="Times New Roman" w:cs="Aptos" w:eastAsia="Aptos"/>
          <w:b w:val="0"/>
          <w:i w:val="0"/>
          <w:color w:val="000000"/>
          <w:sz w:val="24"/>
        </w:rPr>
        <w:t>real interest and real credit growth;</w:t>
      </w:r>
    </w:p>
    <w:p>
      <w:pPr>
        <w:pStyle w:val="ListBullet"/>
        <w:spacing w:line="480" w:lineRule="auto"/>
        <w:jc w:val="both"/>
      </w:pPr>
      <w:r>
        <w:rPr>
          <w:rFonts w:ascii="Times New Roman" w:hAnsi="Times New Roman" w:cs="Aptos" w:eastAsia="Aptos"/>
          <w:b w:val="0"/>
          <w:i w:val="0"/>
          <w:color w:val="000000"/>
          <w:sz w:val="24"/>
        </w:rPr>
        <w:t>deposit dollarization and bank-capital ratios;</w:t>
      </w:r>
    </w:p>
    <w:p>
      <w:pPr>
        <w:pStyle w:val="ListBullet"/>
        <w:spacing w:line="480" w:lineRule="auto"/>
        <w:jc w:val="both"/>
      </w:pPr>
      <w:r>
        <w:rPr>
          <w:rFonts w:ascii="Times New Roman" w:hAnsi="Times New Roman" w:cs="Aptos" w:eastAsia="Aptos"/>
          <w:b w:val="0"/>
          <w:i w:val="0"/>
          <w:color w:val="000000"/>
          <w:sz w:val="24"/>
        </w:rPr>
        <w:t>stress losses and liquidity gaps;</w:t>
      </w:r>
    </w:p>
    <w:p>
      <w:pPr>
        <w:spacing w:before="180" w:line="480" w:lineRule="auto"/>
        <w:jc w:val="both"/>
      </w:pPr>
      <w:r>
        <w:rPr>
          <w:rFonts w:ascii="Times New Roman" w:hAnsi="Times New Roman" w:cs="Aptos" w:eastAsia="Aptos"/>
          <w:b/>
          <w:i w:val="0"/>
          <w:color w:val="373737"/>
          <w:sz w:val="24"/>
        </w:rPr>
        <w:t>12.2 SCENARIO LIBRARY</w:t>
      </w:r>
    </w:p>
    <w:p>
      <w:pPr>
        <w:pStyle w:val="ListBullet"/>
        <w:spacing w:line="480" w:lineRule="auto"/>
        <w:jc w:val="both"/>
      </w:pPr>
      <w:r>
        <w:rPr>
          <w:rFonts w:ascii="Times New Roman" w:hAnsi="Times New Roman" w:cs="Aptos" w:eastAsia="Aptos"/>
          <w:b w:val="0"/>
          <w:i w:val="0"/>
          <w:color w:val="000000"/>
          <w:sz w:val="24"/>
        </w:rPr>
        <w:t>baseline</w:t>
      </w:r>
    </w:p>
    <w:p>
      <w:pPr>
        <w:pStyle w:val="ListBullet"/>
        <w:spacing w:line="480" w:lineRule="auto"/>
        <w:jc w:val="both"/>
      </w:pPr>
      <w:r>
        <w:rPr>
          <w:rFonts w:ascii="Times New Roman" w:hAnsi="Times New Roman" w:cs="Aptos" w:eastAsia="Aptos"/>
          <w:b w:val="0"/>
          <w:i w:val="0"/>
          <w:color w:val="000000"/>
          <w:sz w:val="24"/>
        </w:rPr>
        <w:t>successful dollarization</w:t>
      </w:r>
    </w:p>
    <w:p>
      <w:pPr>
        <w:pStyle w:val="ListBullet"/>
        <w:spacing w:line="480" w:lineRule="auto"/>
        <w:jc w:val="both"/>
      </w:pPr>
      <w:r>
        <w:rPr>
          <w:rFonts w:ascii="Times New Roman" w:hAnsi="Times New Roman" w:cs="Aptos" w:eastAsia="Aptos"/>
          <w:b w:val="0"/>
          <w:i w:val="0"/>
          <w:color w:val="000000"/>
          <w:sz w:val="24"/>
        </w:rPr>
        <w:t>failed dollarization</w:t>
      </w:r>
    </w:p>
    <w:p>
      <w:pPr>
        <w:pStyle w:val="ListBullet"/>
        <w:spacing w:line="480" w:lineRule="auto"/>
        <w:jc w:val="both"/>
      </w:pPr>
      <w:r>
        <w:rPr>
          <w:rFonts w:ascii="Times New Roman" w:hAnsi="Times New Roman" w:cs="Aptos" w:eastAsia="Aptos"/>
          <w:b w:val="0"/>
          <w:i w:val="0"/>
          <w:color w:val="000000"/>
          <w:sz w:val="24"/>
        </w:rPr>
        <w:t>banking crisis</w:t>
      </w:r>
    </w:p>
    <w:p>
      <w:pPr>
        <w:pStyle w:val="ListBullet"/>
        <w:spacing w:line="480" w:lineRule="auto"/>
        <w:jc w:val="both"/>
      </w:pPr>
      <w:r>
        <w:rPr>
          <w:rFonts w:ascii="Times New Roman" w:hAnsi="Times New Roman" w:cs="Aptos" w:eastAsia="Aptos"/>
          <w:b w:val="0"/>
          <w:i w:val="0"/>
          <w:color w:val="000000"/>
          <w:sz w:val="24"/>
        </w:rPr>
        <w:t>credit crunch</w:t>
      </w:r>
    </w:p>
    <w:p>
      <w:pPr>
        <w:pStyle w:val="ListBullet"/>
        <w:spacing w:line="480" w:lineRule="auto"/>
        <w:jc w:val="both"/>
      </w:pPr>
      <w:r>
        <w:rPr>
          <w:rFonts w:ascii="Times New Roman" w:hAnsi="Times New Roman" w:cs="Aptos" w:eastAsia="Aptos"/>
          <w:b w:val="0"/>
          <w:i w:val="0"/>
          <w:color w:val="000000"/>
          <w:sz w:val="24"/>
        </w:rPr>
        <w:t>oil collapse</w:t>
      </w:r>
    </w:p>
    <w:p>
      <w:pPr>
        <w:pStyle w:val="ListBullet"/>
        <w:spacing w:line="480" w:lineRule="auto"/>
        <w:jc w:val="both"/>
      </w:pPr>
      <w:r>
        <w:rPr>
          <w:rFonts w:ascii="Times New Roman" w:hAnsi="Times New Roman" w:cs="Aptos" w:eastAsia="Aptos"/>
          <w:b w:val="0"/>
          <w:i w:val="0"/>
          <w:color w:val="000000"/>
          <w:sz w:val="24"/>
        </w:rPr>
        <w:t>high oil revenue</w:t>
      </w:r>
    </w:p>
    <w:p>
      <w:pPr>
        <w:pStyle w:val="ListBullet"/>
        <w:spacing w:line="480" w:lineRule="auto"/>
        <w:jc w:val="both"/>
      </w:pPr>
      <w:r>
        <w:rPr>
          <w:rFonts w:ascii="Times New Roman" w:hAnsi="Times New Roman" w:cs="Aptos" w:eastAsia="Aptos"/>
          <w:b w:val="0"/>
          <w:i w:val="0"/>
          <w:color w:val="000000"/>
          <w:sz w:val="24"/>
        </w:rPr>
        <w:t>massive FDI</w:t>
      </w:r>
    </w:p>
    <w:p>
      <w:pPr>
        <w:pStyle w:val="ListBullet"/>
        <w:spacing w:line="480" w:lineRule="auto"/>
        <w:jc w:val="both"/>
      </w:pPr>
      <w:r>
        <w:rPr>
          <w:rFonts w:ascii="Times New Roman" w:hAnsi="Times New Roman" w:cs="Aptos" w:eastAsia="Aptos"/>
          <w:b w:val="0"/>
          <w:i w:val="0"/>
          <w:color w:val="000000"/>
          <w:sz w:val="24"/>
        </w:rPr>
        <w:t>capital return</w:t>
      </w:r>
    </w:p>
    <w:p>
      <w:pPr>
        <w:pStyle w:val="ListBullet"/>
        <w:spacing w:line="480" w:lineRule="auto"/>
        <w:jc w:val="both"/>
      </w:pPr>
      <w:r>
        <w:rPr>
          <w:rFonts w:ascii="Times New Roman" w:hAnsi="Times New Roman" w:cs="Aptos" w:eastAsia="Aptos"/>
          <w:b w:val="0"/>
          <w:i w:val="0"/>
          <w:color w:val="000000"/>
          <w:sz w:val="24"/>
        </w:rPr>
        <w:t>capital flight</w:t>
      </w:r>
    </w:p>
    <w:p>
      <w:pPr>
        <w:pStyle w:val="ListBullet"/>
        <w:spacing w:line="480" w:lineRule="auto"/>
        <w:jc w:val="both"/>
      </w:pPr>
      <w:r>
        <w:rPr>
          <w:rFonts w:ascii="Times New Roman" w:hAnsi="Times New Roman" w:cs="Aptos" w:eastAsia="Aptos"/>
          <w:b w:val="0"/>
          <w:i w:val="0"/>
          <w:color w:val="000000"/>
          <w:sz w:val="24"/>
        </w:rPr>
        <w:t>debt restructuring</w:t>
      </w:r>
    </w:p>
    <w:p>
      <w:pPr>
        <w:pStyle w:val="ListBullet"/>
        <w:spacing w:line="480" w:lineRule="auto"/>
        <w:jc w:val="both"/>
      </w:pPr>
      <w:r>
        <w:rPr>
          <w:rFonts w:ascii="Times New Roman" w:hAnsi="Times New Roman" w:cs="Aptos" w:eastAsia="Aptos"/>
          <w:b w:val="0"/>
          <w:i w:val="0"/>
          <w:color w:val="000000"/>
          <w:sz w:val="24"/>
        </w:rPr>
        <w:t>sanctions relief</w:t>
      </w:r>
    </w:p>
    <w:p>
      <w:pPr>
        <w:pStyle w:val="ListBullet"/>
        <w:spacing w:line="480" w:lineRule="auto"/>
        <w:jc w:val="both"/>
      </w:pPr>
      <w:r>
        <w:rPr>
          <w:rFonts w:ascii="Times New Roman" w:hAnsi="Times New Roman" w:cs="Aptos" w:eastAsia="Aptos"/>
          <w:b w:val="0"/>
          <w:i w:val="0"/>
          <w:color w:val="000000"/>
          <w:sz w:val="24"/>
        </w:rPr>
        <w:t>sanctions tightening</w:t>
      </w:r>
    </w:p>
    <w:p>
      <w:pPr>
        <w:pStyle w:val="ListBullet"/>
        <w:spacing w:line="480" w:lineRule="auto"/>
        <w:jc w:val="both"/>
      </w:pPr>
      <w:r>
        <w:rPr>
          <w:rFonts w:ascii="Times New Roman" w:hAnsi="Times New Roman" w:cs="Aptos" w:eastAsia="Aptos"/>
          <w:b w:val="0"/>
          <w:i w:val="0"/>
          <w:color w:val="000000"/>
          <w:sz w:val="24"/>
        </w:rPr>
        <w:t>dual-currency transition</w:t>
      </w:r>
    </w:p>
    <w:p>
      <w:pPr>
        <w:pStyle w:val="ListBullet"/>
        <w:spacing w:line="480" w:lineRule="auto"/>
        <w:jc w:val="both"/>
      </w:pPr>
      <w:r>
        <w:rPr>
          <w:rFonts w:ascii="Times New Roman" w:hAnsi="Times New Roman" w:cs="Aptos" w:eastAsia="Aptos"/>
          <w:b w:val="0"/>
          <w:i w:val="0"/>
          <w:color w:val="000000"/>
          <w:sz w:val="24"/>
        </w:rPr>
        <w:t>currency board</w:t>
      </w:r>
    </w:p>
    <w:p>
      <w:pPr>
        <w:pStyle w:val="ListBullet"/>
        <w:spacing w:line="480" w:lineRule="auto"/>
        <w:jc w:val="both"/>
      </w:pPr>
      <w:r>
        <w:rPr>
          <w:rFonts w:ascii="Times New Roman" w:hAnsi="Times New Roman" w:cs="Aptos" w:eastAsia="Aptos"/>
          <w:b w:val="0"/>
          <w:i w:val="0"/>
          <w:color w:val="000000"/>
          <w:sz w:val="24"/>
        </w:rPr>
        <w:t>monetary reform without dollarization</w:t>
      </w:r>
    </w:p>
    <w:p>
      <w:pPr>
        <w:spacing w:line="480" w:lineRule="auto"/>
        <w:jc w:val="both"/>
      </w:pPr>
      <w:r>
        <w:rPr>
          <w:rFonts w:ascii="Times New Roman" w:hAnsi="Times New Roman" w:cs="Aptos" w:eastAsia="Aptos"/>
          <w:b w:val="0"/>
          <w:i w:val="0"/>
          <w:color w:val="000000"/>
          <w:sz w:val="24"/>
        </w:rPr>
        <w:t>Each scenario carries explicit assumptions and year-1, year-3, year-5, and year-10 outputs for GDP, inflation, credit, employment, reserves, debt, fiscal deficit, poverty, and investment only where inputs support those outputs. Modeled probabilities are labeled model-implied probabilities under specified assumptions, not objective truth.</w:t>
      </w:r>
    </w:p>
    <w:p>
      <w:pPr>
        <w:spacing w:before="180" w:line="480" w:lineRule="auto"/>
        <w:jc w:val="both"/>
      </w:pPr>
      <w:r>
        <w:rPr>
          <w:rFonts w:ascii="Times New Roman" w:hAnsi="Times New Roman" w:cs="Aptos" w:eastAsia="Aptos"/>
          <w:b/>
          <w:i w:val="0"/>
          <w:color w:val="373737"/>
          <w:sz w:val="24"/>
        </w:rPr>
        <w:t>12.3 ADVANCED MODELS</w:t>
      </w:r>
    </w:p>
    <w:p>
      <w:pPr>
        <w:spacing w:line="480" w:lineRule="auto"/>
        <w:jc w:val="both"/>
      </w:pPr>
      <w:r>
        <w:rPr>
          <w:rFonts w:ascii="Times New Roman" w:hAnsi="Times New Roman" w:cs="Aptos" w:eastAsia="Aptos"/>
          <w:b w:val="0"/>
          <w:i w:val="0"/>
          <w:color w:val="000000"/>
          <w:sz w:val="24"/>
        </w:rPr>
        <w:t>The architecture includes a Venezuela-specific DSGE design, VAR/SVAR feasibility checks, Monte Carlo engine, system-dynamics loops, and an agent-based transition model. These are prototypes until calibrated to verified data. The architecture does not permit a model to override a missing-data gate.</w:t>
      </w:r>
    </w:p>
    <w:p>
      <w:pPr>
        <w:jc w:val="both"/>
      </w:pPr>
      <w:r>
        <w:br w:type="page"/>
      </w:r>
    </w:p>
    <w:p>
      <w:pPr>
        <w:spacing w:before="180" w:line="480" w:lineRule="auto"/>
        <w:jc w:val="both"/>
      </w:pPr>
      <w:r>
        <w:rPr>
          <w:rFonts w:ascii="Times New Roman" w:hAnsi="Times New Roman" w:cs="Aptos" w:eastAsia="Aptos"/>
          <w:b/>
          <w:i w:val="0"/>
          <w:color w:val="373737"/>
          <w:sz w:val="24"/>
        </w:rPr>
        <w:t>13. Economic Postures and Adversarial Review</w:t>
      </w:r>
    </w:p>
    <w:tbl>
      <w:tblPr>
        <w:tblStyle w:val="TableGrid"/>
        <w:tblW w:type="auto" w:w="0"/>
        <w:jc w:val="center"/>
        <w:tblLook w:firstColumn="1" w:firstRow="1" w:lastColumn="0" w:lastRow="0" w:noHBand="0" w:noVBand="1" w:val="04A0"/>
      </w:tblPr>
      <w:tblGrid>
        <w:gridCol w:w="4694"/>
        <w:gridCol w:w="4694"/>
      </w:tblGrid>
      <w:tr>
        <w:trPr>
          <w:tblHeader w:val="true"/>
        </w:trPr>
        <w:tc>
          <w:tcPr>
            <w:tcW w:type="dxa" w:w="469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Posture</w:t>
            </w:r>
          </w:p>
        </w:tc>
        <w:tc>
          <w:tcPr>
            <w:tcW w:type="dxa" w:w="469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Primary question</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Hanke / hard money</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What does the documented framework imply?</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Monetarist</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What does money growth and expectations imply?</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Keynesian</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What are the demand, employment, and multiplier effects?</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New Keynesian</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How do credibility, nominal rigidity, and expectations interact?</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Austrian</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What are the credit, capital-structure, and intervention distortions?</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IMF-style</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Are reserves, fiscal sustainability, banks, and debt viable?</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Central banker</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What happens when conventional liquidity tools disappear?</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Banking-risk</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What happens to deposits, capital, reserves, and credit?</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Citizen</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What happens to wages, pensions, savings, and access?</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Business</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What happens to working capital, imports, investment, and contracts?</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Investor</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What happens to sovereign, FX, capital-control, and repatriation risk?</w:t>
            </w:r>
          </w:p>
        </w:tc>
      </w:tr>
    </w:tbl>
    <w:p/>
    <w:p>
      <w:pPr>
        <w:spacing w:line="480" w:lineRule="auto"/>
        <w:jc w:val="both"/>
      </w:pPr>
      <w:r>
        <w:rPr>
          <w:rFonts w:ascii="Times New Roman" w:hAnsi="Times New Roman" w:cs="Aptos" w:eastAsia="Aptos"/>
          <w:b w:val="0"/>
          <w:i w:val="0"/>
          <w:color w:val="000000"/>
          <w:sz w:val="24"/>
        </w:rPr>
        <w:t>The Red Team must steelman the strongest Hanke argument before attacking it. The Blue Team must steelman the strongest opposing argument before defending a modified proposal. A second Red Team pass tests whether the defense resolved the risk or merely restated the claim. Current status: the evidence gates remain unresolved for a production policy conclusion. The proper result is an evidence and readiness assessment, not a recommendation disguised as certainty.</w:t>
      </w:r>
    </w:p>
    <w:p>
      <w:pPr>
        <w:jc w:val="both"/>
      </w:pPr>
      <w:r>
        <w:br w:type="page"/>
      </w:r>
    </w:p>
    <w:p>
      <w:pPr>
        <w:spacing w:before="180" w:line="480" w:lineRule="auto"/>
        <w:jc w:val="both"/>
      </w:pPr>
      <w:r>
        <w:rPr>
          <w:rFonts w:ascii="Times New Roman" w:hAnsi="Times New Roman" w:cs="Aptos" w:eastAsia="Aptos"/>
          <w:b/>
          <w:i w:val="0"/>
          <w:color w:val="373737"/>
          <w:sz w:val="24"/>
        </w:rPr>
        <w:t>14. Findings, Conditions, and Decision Framework</w:t>
      </w:r>
    </w:p>
    <w:p>
      <w:pPr>
        <w:spacing w:before="180" w:line="480" w:lineRule="auto"/>
        <w:jc w:val="both"/>
      </w:pPr>
      <w:r>
        <w:rPr>
          <w:rFonts w:ascii="Times New Roman" w:hAnsi="Times New Roman" w:cs="Aptos" w:eastAsia="Aptos"/>
          <w:b/>
          <w:i w:val="0"/>
          <w:color w:val="373737"/>
          <w:sz w:val="24"/>
        </w:rPr>
        <w:t>14.1 FINDINGS SUPPORTED BY THE PRESENT ARCHITECTURE</w:t>
      </w:r>
    </w:p>
    <w:p>
      <w:pPr>
        <w:pStyle w:val="ListBullet"/>
        <w:spacing w:line="480" w:lineRule="auto"/>
        <w:jc w:val="both"/>
      </w:pPr>
      <w:r>
        <w:rPr>
          <w:rFonts w:ascii="Times New Roman" w:hAnsi="Times New Roman" w:cs="Aptos" w:eastAsia="Aptos"/>
          <w:b w:val="0"/>
          <w:i w:val="0"/>
          <w:color w:val="000000"/>
          <w:sz w:val="24"/>
        </w:rPr>
        <w:t>Dollarization is an institutional and balance-sheet reform, not a banknote exchange.</w:t>
      </w:r>
    </w:p>
    <w:p>
      <w:pPr>
        <w:pStyle w:val="ListBullet"/>
        <w:spacing w:line="480" w:lineRule="auto"/>
        <w:jc w:val="both"/>
      </w:pPr>
      <w:r>
        <w:rPr>
          <w:rFonts w:ascii="Times New Roman" w:hAnsi="Times New Roman" w:cs="Aptos" w:eastAsia="Aptos"/>
          <w:b w:val="0"/>
          <w:i w:val="0"/>
          <w:color w:val="000000"/>
          <w:sz w:val="24"/>
        </w:rPr>
        <w:t>M2 cannot be equated with physical USD required.</w:t>
      </w:r>
    </w:p>
    <w:p>
      <w:pPr>
        <w:pStyle w:val="ListBullet"/>
        <w:spacing w:line="480" w:lineRule="auto"/>
        <w:jc w:val="both"/>
      </w:pPr>
      <w:r>
        <w:rPr>
          <w:rFonts w:ascii="Times New Roman" w:hAnsi="Times New Roman" w:cs="Aptos" w:eastAsia="Aptos"/>
          <w:b w:val="0"/>
          <w:i w:val="0"/>
          <w:color w:val="000000"/>
          <w:sz w:val="24"/>
        </w:rPr>
        <w:t>Banking liquidity and solvency must be analyzed separately.</w:t>
      </w:r>
    </w:p>
    <w:p>
      <w:pPr>
        <w:pStyle w:val="ListBullet"/>
        <w:spacing w:line="480" w:lineRule="auto"/>
        <w:jc w:val="both"/>
      </w:pPr>
      <w:r>
        <w:rPr>
          <w:rFonts w:ascii="Times New Roman" w:hAnsi="Times New Roman" w:cs="Aptos" w:eastAsia="Aptos"/>
          <w:b w:val="0"/>
          <w:i w:val="0"/>
          <w:color w:val="000000"/>
          <w:sz w:val="24"/>
        </w:rPr>
        <w:t>Dollarization does not remove the fiscal deficit or debt burden.</w:t>
      </w:r>
    </w:p>
    <w:p>
      <w:pPr>
        <w:pStyle w:val="ListBullet"/>
        <w:spacing w:line="480" w:lineRule="auto"/>
        <w:jc w:val="both"/>
      </w:pPr>
      <w:r>
        <w:rPr>
          <w:rFonts w:ascii="Times New Roman" w:hAnsi="Times New Roman" w:cs="Aptos" w:eastAsia="Aptos"/>
          <w:b w:val="0"/>
          <w:i w:val="0"/>
          <w:color w:val="000000"/>
          <w:sz w:val="24"/>
        </w:rPr>
        <w:t>Oil gross revenue is not the same as usable sovereign FX.</w:t>
      </w:r>
    </w:p>
    <w:p>
      <w:pPr>
        <w:pStyle w:val="ListBullet"/>
        <w:spacing w:line="480" w:lineRule="auto"/>
        <w:jc w:val="both"/>
      </w:pPr>
      <w:r>
        <w:rPr>
          <w:rFonts w:ascii="Times New Roman" w:hAnsi="Times New Roman" w:cs="Aptos" w:eastAsia="Aptos"/>
          <w:b w:val="0"/>
          <w:i w:val="0"/>
          <w:color w:val="000000"/>
          <w:sz w:val="24"/>
        </w:rPr>
        <w:t>Legal-record amounts must not be double-counted or treated as current debt without accounting treatment.</w:t>
      </w:r>
    </w:p>
    <w:p>
      <w:pPr>
        <w:pStyle w:val="ListBullet"/>
        <w:spacing w:line="480" w:lineRule="auto"/>
        <w:jc w:val="both"/>
      </w:pPr>
      <w:r>
        <w:rPr>
          <w:rFonts w:ascii="Times New Roman" w:hAnsi="Times New Roman" w:cs="Aptos" w:eastAsia="Aptos"/>
          <w:b w:val="0"/>
          <w:i w:val="0"/>
          <w:color w:val="000000"/>
          <w:sz w:val="24"/>
        </w:rPr>
        <w:t>Historical analogies require comparable reserves, banking depth, fiscal structure, external financing, and institutions.</w:t>
      </w:r>
    </w:p>
    <w:p>
      <w:pPr>
        <w:pStyle w:val="ListBullet"/>
        <w:spacing w:line="480" w:lineRule="auto"/>
        <w:jc w:val="both"/>
      </w:pPr>
      <w:r>
        <w:rPr>
          <w:rFonts w:ascii="Times New Roman" w:hAnsi="Times New Roman" w:cs="Aptos" w:eastAsia="Aptos"/>
          <w:b w:val="0"/>
          <w:i w:val="0"/>
          <w:color w:val="000000"/>
          <w:sz w:val="24"/>
        </w:rPr>
        <w:t>The current report cannot issue a decision-grade Venezuela recommendation while critical current data remain unavailable or unresolved.</w:t>
      </w:r>
    </w:p>
    <w:p>
      <w:pPr>
        <w:spacing w:before="180" w:line="480" w:lineRule="auto"/>
        <w:jc w:val="both"/>
      </w:pPr>
      <w:r>
        <w:rPr>
          <w:rFonts w:ascii="Times New Roman" w:hAnsi="Times New Roman" w:cs="Aptos" w:eastAsia="Aptos"/>
          <w:b/>
          <w:i w:val="0"/>
          <w:color w:val="373737"/>
          <w:sz w:val="24"/>
        </w:rPr>
        <w:t>14.2 MINIMUM CONDITIONS</w:t>
      </w:r>
    </w:p>
    <w:p>
      <w:pPr>
        <w:pStyle w:val="ListBullet"/>
        <w:spacing w:line="480" w:lineRule="auto"/>
        <w:jc w:val="both"/>
      </w:pPr>
      <w:r>
        <w:rPr>
          <w:rFonts w:ascii="Times New Roman" w:hAnsi="Times New Roman" w:cs="Aptos" w:eastAsia="Aptos"/>
          <w:b w:val="0"/>
          <w:i w:val="0"/>
          <w:color w:val="000000"/>
          <w:sz w:val="24"/>
        </w:rPr>
        <w:t>independently verified monetary aggregates and redenomination history;</w:t>
      </w:r>
    </w:p>
    <w:p>
      <w:pPr>
        <w:pStyle w:val="ListBullet"/>
        <w:spacing w:line="480" w:lineRule="auto"/>
        <w:jc w:val="both"/>
      </w:pPr>
      <w:r>
        <w:rPr>
          <w:rFonts w:ascii="Times New Roman" w:hAnsi="Times New Roman" w:cs="Aptos" w:eastAsia="Aptos"/>
          <w:b w:val="0"/>
          <w:i w:val="0"/>
          <w:color w:val="000000"/>
          <w:sz w:val="24"/>
        </w:rPr>
        <w:t>audited BCV balance sheet and reserve classification;</w:t>
      </w:r>
    </w:p>
    <w:p>
      <w:pPr>
        <w:pStyle w:val="ListBullet"/>
        <w:spacing w:line="480" w:lineRule="auto"/>
        <w:jc w:val="both"/>
      </w:pPr>
      <w:r>
        <w:rPr>
          <w:rFonts w:ascii="Times New Roman" w:hAnsi="Times New Roman" w:cs="Aptos" w:eastAsia="Aptos"/>
          <w:b w:val="0"/>
          <w:i w:val="0"/>
          <w:color w:val="000000"/>
          <w:sz w:val="24"/>
        </w:rPr>
        <w:t>commercial-bank asset-quality, liquidity, capital, and FX-mismatch review;</w:t>
      </w:r>
    </w:p>
    <w:p>
      <w:pPr>
        <w:pStyle w:val="ListBullet"/>
        <w:spacing w:line="480" w:lineRule="auto"/>
        <w:jc w:val="both"/>
      </w:pPr>
      <w:r>
        <w:rPr>
          <w:rFonts w:ascii="Times New Roman" w:hAnsi="Times New Roman" w:cs="Aptos" w:eastAsia="Aptos"/>
          <w:b w:val="0"/>
          <w:i w:val="0"/>
          <w:color w:val="000000"/>
          <w:sz w:val="24"/>
        </w:rPr>
        <w:t>funded emergency liquidity and deposit-protection architecture;</w:t>
      </w:r>
    </w:p>
    <w:p>
      <w:pPr>
        <w:pStyle w:val="ListBullet"/>
        <w:spacing w:line="480" w:lineRule="auto"/>
        <w:jc w:val="both"/>
      </w:pPr>
      <w:r>
        <w:rPr>
          <w:rFonts w:ascii="Times New Roman" w:hAnsi="Times New Roman" w:cs="Aptos" w:eastAsia="Aptos"/>
          <w:b w:val="0"/>
          <w:i w:val="0"/>
          <w:color w:val="000000"/>
          <w:sz w:val="24"/>
        </w:rPr>
        <w:t>fiscal adjustment and a credible replacement for monetary financing;</w:t>
      </w:r>
    </w:p>
    <w:p>
      <w:pPr>
        <w:pStyle w:val="ListBullet"/>
        <w:spacing w:line="480" w:lineRule="auto"/>
        <w:jc w:val="both"/>
      </w:pPr>
      <w:r>
        <w:rPr>
          <w:rFonts w:ascii="Times New Roman" w:hAnsi="Times New Roman" w:cs="Aptos" w:eastAsia="Aptos"/>
          <w:b w:val="0"/>
          <w:i w:val="0"/>
          <w:color w:val="000000"/>
          <w:sz w:val="24"/>
        </w:rPr>
        <w:t>debt and PDVSA restructuring path with enforcement exposure modeled;</w:t>
      </w:r>
    </w:p>
    <w:p>
      <w:pPr>
        <w:pStyle w:val="ListBullet"/>
        <w:spacing w:line="480" w:lineRule="auto"/>
        <w:jc w:val="both"/>
      </w:pPr>
      <w:r>
        <w:rPr>
          <w:rFonts w:ascii="Times New Roman" w:hAnsi="Times New Roman" w:cs="Aptos" w:eastAsia="Aptos"/>
          <w:b w:val="0"/>
          <w:i w:val="0"/>
          <w:color w:val="000000"/>
          <w:sz w:val="24"/>
        </w:rPr>
        <w:t>legal conversion rules and tested payment-system operations;</w:t>
      </w:r>
    </w:p>
    <w:p>
      <w:pPr>
        <w:pStyle w:val="ListBullet"/>
        <w:spacing w:line="480" w:lineRule="auto"/>
        <w:jc w:val="both"/>
      </w:pPr>
      <w:r>
        <w:rPr>
          <w:rFonts w:ascii="Times New Roman" w:hAnsi="Times New Roman" w:cs="Aptos" w:eastAsia="Aptos"/>
          <w:b w:val="0"/>
          <w:i w:val="0"/>
          <w:color w:val="000000"/>
          <w:sz w:val="24"/>
        </w:rPr>
        <w:t>protection for pensioners, public employees, low-income households, and unbanked citizens;</w:t>
      </w:r>
    </w:p>
    <w:p>
      <w:pPr>
        <w:spacing w:before="180" w:line="480" w:lineRule="auto"/>
        <w:jc w:val="both"/>
      </w:pPr>
      <w:r>
        <w:rPr>
          <w:rFonts w:ascii="Times New Roman" w:hAnsi="Times New Roman" w:cs="Aptos" w:eastAsia="Aptos"/>
          <w:b/>
          <w:i w:val="0"/>
          <w:color w:val="373737"/>
          <w:sz w:val="24"/>
        </w:rPr>
        <w:t>14.3 DECISION TREE</w:t>
      </w:r>
    </w:p>
    <w:p>
      <w:pPr>
        <w:spacing w:line="480" w:lineRule="auto"/>
        <w:jc w:val="both"/>
      </w:pPr>
      <w:r>
        <w:rPr>
          <w:rFonts w:ascii="Times New Roman" w:hAnsi="Times New Roman" w:cs="Aptos" w:eastAsia="Aptos"/>
          <w:b w:val="0"/>
          <w:i w:val="0"/>
          <w:color w:val="000000"/>
          <w:sz w:val="24"/>
        </w:rPr>
        <w:t>If monetary statistics are not independently verified, stop. If liquid reserves are insufficient, secure financing or choose another regime. If banks are insolvent, recapitalize before conversion. If fiscal financing is unsustainable without monetary issuance, stabilize the fiscal position first. If emergency liquidity is unfunded, establish the facility. If the debt path is unmanageable, resolve it before conversion. If the legal framework is incomplete, complete the legislative phase. Only then may operational conversion proceed.</w:t>
      </w:r>
    </w:p>
    <w:p>
      <w:pPr>
        <w:spacing w:before="180" w:line="480" w:lineRule="auto"/>
        <w:jc w:val="both"/>
      </w:pPr>
      <w:r>
        <w:rPr>
          <w:rFonts w:ascii="Times New Roman" w:hAnsi="Times New Roman" w:cs="Aptos" w:eastAsia="Aptos"/>
          <w:b/>
          <w:i w:val="0"/>
          <w:color w:val="373737"/>
          <w:sz w:val="24"/>
        </w:rPr>
        <w:t>14.4 CONDITIONAL CONCLUSION</w:t>
      </w:r>
    </w:p>
    <w:p>
      <w:pPr>
        <w:spacing w:line="480" w:lineRule="auto"/>
        <w:jc w:val="both"/>
      </w:pPr>
      <w:r>
        <w:rPr>
          <w:rFonts w:ascii="Times New Roman" w:hAnsi="Times New Roman" w:cs="Aptos" w:eastAsia="Aptos"/>
          <w:b w:val="0"/>
          <w:i w:val="0"/>
          <w:color w:val="000000"/>
          <w:sz w:val="24"/>
        </w:rPr>
        <w:t>The evidence supports a conditional research conclusion, not a policy verdict: official dollarization could become feasible only after the monetary, banking, fiscal, reserve, debt, legal, payment-system, and social prerequisites are independently verified and funded. If those prerequisites remain unresolved, the transition risk is not acceptable for a decision-grade recommendation.</w:t>
      </w:r>
    </w:p>
    <w:p>
      <w:pPr>
        <w:jc w:val="both"/>
      </w:pPr>
      <w:r>
        <w:br w:type="page"/>
      </w:r>
    </w:p>
    <w:p>
      <w:pPr>
        <w:spacing w:before="180" w:line="480" w:lineRule="auto"/>
        <w:jc w:val="both"/>
      </w:pPr>
      <w:r>
        <w:rPr>
          <w:rFonts w:ascii="Times New Roman" w:hAnsi="Times New Roman" w:cs="Aptos" w:eastAsia="Aptos"/>
          <w:b/>
          <w:i w:val="0"/>
          <w:color w:val="373737"/>
          <w:sz w:val="24"/>
        </w:rPr>
        <w:t>15. Limitations and Research Agenda</w:t>
      </w:r>
    </w:p>
    <w:p>
      <w:pPr>
        <w:spacing w:line="480" w:lineRule="auto"/>
        <w:jc w:val="both"/>
      </w:pPr>
      <w:r>
        <w:rPr>
          <w:rFonts w:ascii="Times New Roman" w:hAnsi="Times New Roman" w:cs="Aptos" w:eastAsia="Aptos"/>
          <w:b w:val="0"/>
          <w:i w:val="0"/>
          <w:color w:val="000000"/>
          <w:sz w:val="24"/>
        </w:rPr>
        <w:t>The principal limitation is not theoretical. It is the incomplete and disputed current data environment. The next research sequence is to acquire and reconcile BCV and SUDEBAN series, classify reserves, construct a current fiscal and oil-flow statement, read all primary legal records in the 80-case universe, verify debt and PDVSA obligations, and calibrate the banking and external-liquidity models. The report also has legal-access limits. Some commercial books and case documents are metadata-only, restricted, or not locally acquired. Such sources remain in a controlled queue and are not treated as text evidence. The existence of a source gap is itself a finding and is recorded in the source-gap register. A future edition can become decision-grade only when the critical-data gates are closed, calculations reproduce independently, citations pass audit, the Red-Team/Blue-Team/second-Red-Team loop is complete, and the chief-economist gate authorizes a conclusion.</w:t>
      </w:r>
    </w:p>
    <w:p>
      <w:pPr>
        <w:jc w:val="both"/>
      </w:pPr>
      <w:r>
        <w:br w:type="page"/>
      </w:r>
    </w:p>
    <w:p>
      <w:pPr>
        <w:spacing w:before="240" w:line="480" w:lineRule="auto"/>
        <w:jc w:val="both"/>
      </w:pPr>
      <w:r>
        <w:rPr>
          <w:rFonts w:ascii="Times New Roman" w:hAnsi="Times New Roman" w:cs="Aptos" w:eastAsia="Aptos"/>
          <w:b/>
          <w:i w:val="0"/>
          <w:color w:val="000000"/>
          <w:sz w:val="24"/>
        </w:rPr>
        <w:t>References</w:t>
      </w:r>
    </w:p>
    <w:p>
      <w:pPr>
        <w:spacing w:before="240" w:line="480" w:lineRule="auto"/>
        <w:jc w:val="both"/>
      </w:pPr>
      <w:r>
        <w:rPr>
          <w:rFonts w:ascii="Times New Roman" w:hAnsi="Times New Roman" w:cs="Aptos" w:eastAsia="Aptos"/>
          <w:b/>
          <w:i w:val="0"/>
          <w:color w:val="000000"/>
          <w:sz w:val="24"/>
        </w:rPr>
        <w:t>HANKE CORPUS AND METHODOLOGICAL ANCHORS</w:t>
      </w:r>
    </w:p>
    <w:p>
      <w:pPr>
        <w:pStyle w:val="ListBullet"/>
        <w:spacing w:line="480" w:lineRule="auto"/>
        <w:jc w:val="both"/>
      </w:pPr>
      <w:r>
        <w:rPr>
          <w:rFonts w:ascii="Times New Roman" w:hAnsi="Times New Roman" w:cs="Aptos" w:eastAsia="Aptos"/>
          <w:b w:val="0"/>
          <w:i w:val="0"/>
          <w:color w:val="000000"/>
          <w:sz w:val="24"/>
        </w:rPr>
        <w:t>Steve H. Hanke, Matt Sekerke. *Making Money Work: How to Rewrite the Rules of Our Financial System*. Wiley, 2025. Metadata source: https://stevehanke.com/publications-media/books. Text status: NOT_ACQUIRED.</w:t>
      </w:r>
    </w:p>
    <w:p>
      <w:pPr>
        <w:pStyle w:val="ListBullet"/>
        <w:spacing w:line="480" w:lineRule="auto"/>
        <w:jc w:val="both"/>
      </w:pPr>
      <w:r>
        <w:rPr>
          <w:rFonts w:ascii="Times New Roman" w:hAnsi="Times New Roman" w:cs="Aptos" w:eastAsia="Aptos"/>
          <w:b w:val="0"/>
          <w:i w:val="0"/>
          <w:color w:val="000000"/>
          <w:sz w:val="24"/>
        </w:rPr>
        <w:t>Steve H. Hanke, Leland B. Yeager. *Capital, Interest, and Waiting: Controversies, Puzzles, and New Additions to Capital Theory*. Palgrave Macmillan, 2024. Metadata source: https://stevehanke.com/publications-media/books. Text status: NOT_ACQUIRED.</w:t>
      </w:r>
    </w:p>
    <w:p>
      <w:pPr>
        <w:pStyle w:val="ListBullet"/>
        <w:spacing w:line="480" w:lineRule="auto"/>
        <w:jc w:val="both"/>
      </w:pPr>
      <w:r>
        <w:rPr>
          <w:rFonts w:ascii="Times New Roman" w:hAnsi="Times New Roman" w:cs="Aptos" w:eastAsia="Aptos"/>
          <w:b w:val="0"/>
          <w:i w:val="0"/>
          <w:color w:val="000000"/>
          <w:sz w:val="24"/>
        </w:rPr>
        <w:t>Steve H. Hanke, Barry Poulson, John Merrifield. *Public Debt Sustainability: International Perspectives*. Lexington Books, 2022. Metadata source: https://stevehanke.com/publications-media/books. Text status: NOT_ACQUIRED.</w:t>
      </w:r>
    </w:p>
    <w:p>
      <w:pPr>
        <w:pStyle w:val="ListBullet"/>
        <w:spacing w:line="480" w:lineRule="auto"/>
        <w:jc w:val="both"/>
      </w:pPr>
      <w:r>
        <w:rPr>
          <w:rFonts w:ascii="Times New Roman" w:hAnsi="Times New Roman" w:cs="Aptos" w:eastAsia="Aptos"/>
          <w:b w:val="0"/>
          <w:i w:val="0"/>
          <w:color w:val="000000"/>
          <w:sz w:val="24"/>
        </w:rPr>
        <w:t>Steve H. Hanke, Kurt Schuler. *Currency Boards for Developing Countries: A Handbook*. ICS Press, 2015. Metadata source: https://sites.krieger.jhu.edu/iae/book-series/. Text status: VERIFIED_OPEN_ACCESS_EDITION.</w:t>
      </w:r>
    </w:p>
    <w:p>
      <w:pPr>
        <w:pStyle w:val="ListBullet"/>
        <w:spacing w:line="480" w:lineRule="auto"/>
        <w:jc w:val="both"/>
      </w:pPr>
      <w:r>
        <w:rPr>
          <w:rFonts w:ascii="Times New Roman" w:hAnsi="Times New Roman" w:cs="Aptos" w:eastAsia="Aptos"/>
          <w:b w:val="0"/>
          <w:i w:val="0"/>
          <w:color w:val="000000"/>
          <w:sz w:val="24"/>
        </w:rPr>
        <w:t>Steve H. Hanke, Kurt Schuler. *Juntas Monetarias para países en desarrollo: Dinero, inflación y estabilidad económica*. Cedice Libertad, 2015. Metadata source: https://sites.krieger.jhu.edu/iae/book-series/. Text status: VERIFIED_PUBLIC_PUBLISHER_COPY.</w:t>
      </w:r>
    </w:p>
    <w:p>
      <w:pPr>
        <w:pStyle w:val="ListBullet"/>
        <w:spacing w:line="480" w:lineRule="auto"/>
        <w:jc w:val="both"/>
      </w:pPr>
      <w:r>
        <w:rPr>
          <w:rFonts w:ascii="Times New Roman" w:hAnsi="Times New Roman" w:cs="Aptos" w:eastAsia="Aptos"/>
          <w:b w:val="0"/>
          <w:i w:val="0"/>
          <w:color w:val="000000"/>
          <w:sz w:val="24"/>
        </w:rPr>
        <w:t>Steve H. Hanke, Lars Jonung, Kurt Schuler. *Russian Currency and Finance: A Currency Board Approach to Reform*. Routledge, 1993. Metadata source: https://sites.krieger.jhu.edu/iae/book-series/. Text status: PUBLIC_TRANSLATION_PENDING_VERIFICATION.</w:t>
      </w:r>
    </w:p>
    <w:p>
      <w:pPr>
        <w:pStyle w:val="ListBullet"/>
        <w:spacing w:line="480" w:lineRule="auto"/>
        <w:jc w:val="both"/>
      </w:pPr>
      <w:r>
        <w:rPr>
          <w:rFonts w:ascii="Times New Roman" w:hAnsi="Times New Roman" w:cs="Aptos" w:eastAsia="Aptos"/>
          <w:b w:val="0"/>
          <w:i w:val="0"/>
          <w:color w:val="000000"/>
          <w:sz w:val="24"/>
        </w:rPr>
        <w:t>Steve H. Hanke, Kurt Schuler. *Currency Reform for a Market-Oriented Cuba*. Blue Ribbon Commission on the Economic Reconstruction of Cuba, 1992. Metadata source: https://sites.krieger.jhu.edu/iae/book-series/. Text status: PUBLIC_TEXT_PENDING_VERIFICATION.</w:t>
      </w:r>
    </w:p>
    <w:p>
      <w:pPr>
        <w:pStyle w:val="ListBullet"/>
        <w:spacing w:line="480" w:lineRule="auto"/>
        <w:jc w:val="both"/>
      </w:pPr>
      <w:r>
        <w:rPr>
          <w:rFonts w:ascii="Times New Roman" w:hAnsi="Times New Roman" w:cs="Aptos" w:eastAsia="Aptos"/>
          <w:b w:val="0"/>
          <w:i w:val="0"/>
          <w:color w:val="000000"/>
          <w:sz w:val="24"/>
        </w:rPr>
        <w:t>Steve H. Hanke, Kurt Schuler. *Alternative Monetary Regimes for Jamaica*. Private Sector Organisation of Jamaica, 1995. Metadata source: https://sites.krieger.jhu.edu/iae/book-series/. Text status: VERIFIED_PUBLIC_PUBLISHER_COPY.</w:t>
      </w:r>
    </w:p>
    <w:p>
      <w:pPr>
        <w:pStyle w:val="ListBullet"/>
        <w:spacing w:line="480" w:lineRule="auto"/>
        <w:jc w:val="both"/>
      </w:pPr>
      <w:r>
        <w:rPr>
          <w:rFonts w:ascii="Times New Roman" w:hAnsi="Times New Roman" w:cs="Aptos" w:eastAsia="Aptos"/>
          <w:b w:val="0"/>
          <w:i w:val="0"/>
          <w:color w:val="000000"/>
          <w:sz w:val="24"/>
        </w:rPr>
        <w:t>Steve H. Hanke, Bilal Kargı. *Monetary Policy and Currency Boards: Latin America and Caribbean Countries Examples, Vol. 2*. KSP Books, 2023. Metadata source: https://econsciences.com/wp-content/uploads/2023/03/978-625-8190-80-9.pdf. Text status: VERIFIED_OPEN_ACCESS_EDITED_VOLUME.</w:t>
      </w:r>
    </w:p>
    <w:p>
      <w:pPr>
        <w:pStyle w:val="ListBullet"/>
        <w:spacing w:line="480" w:lineRule="auto"/>
        <w:jc w:val="both"/>
      </w:pPr>
      <w:r>
        <w:rPr>
          <w:rFonts w:ascii="Times New Roman" w:hAnsi="Times New Roman" w:cs="Aptos" w:eastAsia="Aptos"/>
          <w:b w:val="0"/>
          <w:i w:val="0"/>
          <w:color w:val="000000"/>
          <w:sz w:val="24"/>
        </w:rPr>
        <w:t>Steve H. Hanke, John Greenwood, Qiqin Sun. “United States: A Golden Growth Rate and Credit Counterparts Analysis.” *Studies in Applied Economics* No. 232, 2023. Source locator: Studies in Applied Economics No. 232, April 2023. Text status: VERIFIED_WITH_PAGE_ANCHORS.</w:t>
      </w:r>
    </w:p>
    <w:p>
      <w:pPr>
        <w:pStyle w:val="ListBullet"/>
        <w:spacing w:line="480" w:lineRule="auto"/>
        <w:jc w:val="both"/>
      </w:pPr>
      <w:r>
        <w:rPr>
          <w:rFonts w:ascii="Times New Roman" w:hAnsi="Times New Roman" w:cs="Aptos" w:eastAsia="Aptos"/>
          <w:b w:val="0"/>
          <w:i w:val="0"/>
          <w:color w:val="000000"/>
          <w:sz w:val="24"/>
        </w:rPr>
        <w:t>Steve H. Hanke, John Greenwood, Mike Hyo Jae An. “United Kingdom: A Golden Growth Rate and Credit Counterparts Analysis.” *Studies in Applied Economics* No. 233, 2023. Source locator: Studies in Applied Economics No. 233, April 2023. Text status: VERIFIED_WITH_PAGE_ANCHORS.</w:t>
      </w:r>
    </w:p>
    <w:p>
      <w:pPr>
        <w:pStyle w:val="ListBullet"/>
        <w:spacing w:line="480" w:lineRule="auto"/>
        <w:jc w:val="both"/>
      </w:pPr>
      <w:r>
        <w:rPr>
          <w:rFonts w:ascii="Times New Roman" w:hAnsi="Times New Roman" w:cs="Aptos" w:eastAsia="Aptos"/>
          <w:b w:val="0"/>
          <w:i w:val="0"/>
          <w:color w:val="000000"/>
          <w:sz w:val="24"/>
        </w:rPr>
        <w:t>Steve H. Hanke, John Greenwood, Jingxing Zou. “The Eurozone: A Golden Growth Rate and Credit Counterparts Analysis.” *Studies in Applied Economics* No. 234, 2023. Source locator: Studies in Applied Economics No. 234, April 2023. Text status: VERIFIED_WITH_PAGE_ANCHORS.</w:t>
      </w:r>
    </w:p>
    <w:p>
      <w:pPr>
        <w:spacing w:before="240" w:line="480" w:lineRule="auto"/>
        <w:jc w:val="both"/>
      </w:pPr>
      <w:r>
        <w:rPr>
          <w:rFonts w:ascii="Times New Roman" w:hAnsi="Times New Roman" w:cs="Aptos" w:eastAsia="Aptos"/>
          <w:b/>
          <w:i w:val="0"/>
          <w:color w:val="000000"/>
          <w:sz w:val="24"/>
        </w:rPr>
        <w:t>INSTITUTIONAL AND LEGAL SOURCES</w:t>
      </w:r>
    </w:p>
    <w:p>
      <w:pPr>
        <w:pStyle w:val="ListBullet"/>
        <w:spacing w:line="480" w:lineRule="auto"/>
        <w:jc w:val="both"/>
      </w:pPr>
      <w:r>
        <w:rPr>
          <w:rFonts w:ascii="Times New Roman" w:hAnsi="Times New Roman" w:cs="Aptos" w:eastAsia="Aptos"/>
          <w:b w:val="0"/>
          <w:i w:val="0"/>
          <w:color w:val="000000"/>
          <w:sz w:val="24"/>
        </w:rPr>
        <w:t>UNCTAD ISDS Navigator. https://investmentpolicy.unctad.org/investment-dispute-settlement. Access and verification status recorded in the HAEIS source registry.</w:t>
      </w:r>
    </w:p>
    <w:p>
      <w:pPr>
        <w:pStyle w:val="ListBullet"/>
        <w:spacing w:line="480" w:lineRule="auto"/>
        <w:jc w:val="both"/>
      </w:pPr>
      <w:r>
        <w:rPr>
          <w:rFonts w:ascii="Times New Roman" w:hAnsi="Times New Roman" w:cs="Aptos" w:eastAsia="Aptos"/>
          <w:b w:val="0"/>
          <w:i w:val="0"/>
          <w:color w:val="000000"/>
          <w:sz w:val="24"/>
        </w:rPr>
        <w:t>ICSID Case Database. https://icsid.worldbank.org/cases/case-database. Access and verification status recorded in the HAEIS source registry.</w:t>
      </w:r>
    </w:p>
    <w:p>
      <w:pPr>
        <w:pStyle w:val="ListBullet"/>
        <w:spacing w:line="480" w:lineRule="auto"/>
        <w:jc w:val="both"/>
      </w:pPr>
      <w:r>
        <w:rPr>
          <w:rFonts w:ascii="Times New Roman" w:hAnsi="Times New Roman" w:cs="Aptos" w:eastAsia="Aptos"/>
          <w:b w:val="0"/>
          <w:i w:val="0"/>
          <w:color w:val="000000"/>
          <w:sz w:val="24"/>
        </w:rPr>
        <w:t>U.S. Department of Justice. https://www.justice.gov/. Access and verification status recorded in the HAEIS source registry.</w:t>
      </w:r>
    </w:p>
    <w:p>
      <w:pPr>
        <w:pStyle w:val="ListBullet"/>
        <w:spacing w:line="480" w:lineRule="auto"/>
        <w:jc w:val="both"/>
      </w:pPr>
      <w:r>
        <w:rPr>
          <w:rFonts w:ascii="Times New Roman" w:hAnsi="Times New Roman" w:cs="Aptos" w:eastAsia="Aptos"/>
          <w:b w:val="0"/>
          <w:i w:val="0"/>
          <w:color w:val="000000"/>
          <w:sz w:val="24"/>
        </w:rPr>
        <w:t>ICC Venezuela I. https://www.icc-cpi.int/venezuela-i. Access and verification status recorded in the HAEIS source registry.</w:t>
      </w:r>
    </w:p>
    <w:p>
      <w:pPr>
        <w:pStyle w:val="ListBullet"/>
        <w:spacing w:line="480" w:lineRule="auto"/>
        <w:jc w:val="both"/>
      </w:pPr>
      <w:r>
        <w:rPr>
          <w:rFonts w:ascii="Times New Roman" w:hAnsi="Times New Roman" w:cs="Aptos" w:eastAsia="Aptos"/>
          <w:b w:val="0"/>
          <w:i w:val="0"/>
          <w:color w:val="000000"/>
          <w:sz w:val="24"/>
        </w:rPr>
        <w:t>ICJ Guyana v. Venezuela. https://www.icj-cij.org/case/171. Access and verification status recorded in the HAEIS source registry.</w:t>
      </w:r>
    </w:p>
    <w:p>
      <w:pPr>
        <w:pStyle w:val="ListBullet"/>
        <w:spacing w:line="480" w:lineRule="auto"/>
        <w:jc w:val="both"/>
      </w:pPr>
      <w:r>
        <w:rPr>
          <w:rFonts w:ascii="Times New Roman" w:hAnsi="Times New Roman" w:cs="Aptos" w:eastAsia="Aptos"/>
          <w:b w:val="0"/>
          <w:i w:val="0"/>
          <w:color w:val="000000"/>
          <w:sz w:val="24"/>
        </w:rPr>
        <w:t>U.S. District Court, District of Delaware. https://www.ded.uscourts.gov/. Access and verification status recorded in the HAEIS source registry.</w:t>
      </w:r>
    </w:p>
    <w:p>
      <w:pPr>
        <w:pStyle w:val="ListBullet"/>
        <w:spacing w:line="480" w:lineRule="auto"/>
        <w:jc w:val="both"/>
      </w:pPr>
      <w:r>
        <w:rPr>
          <w:rFonts w:ascii="Times New Roman" w:hAnsi="Times New Roman" w:cs="Aptos" w:eastAsia="Aptos"/>
          <w:b w:val="0"/>
          <w:i w:val="0"/>
          <w:color w:val="000000"/>
          <w:sz w:val="24"/>
        </w:rPr>
        <w:t>CourtListener. https://www.courtlistener.com/. Access and verification status recorded in the HAEIS source registry.</w:t>
      </w:r>
    </w:p>
    <w:p>
      <w:pPr>
        <w:spacing w:before="240" w:line="480" w:lineRule="auto"/>
        <w:jc w:val="both"/>
      </w:pPr>
      <w:r>
        <w:rPr>
          <w:rFonts w:ascii="Times New Roman" w:hAnsi="Times New Roman" w:cs="Aptos" w:eastAsia="Aptos"/>
          <w:b/>
          <w:i w:val="0"/>
          <w:color w:val="000000"/>
          <w:sz w:val="24"/>
        </w:rPr>
        <w:t>DATA AND COMPARATIVE SOURCES</w:t>
      </w:r>
    </w:p>
    <w:p>
      <w:pPr>
        <w:pStyle w:val="ListBullet"/>
        <w:spacing w:line="480" w:lineRule="auto"/>
        <w:jc w:val="both"/>
      </w:pPr>
      <w:r>
        <w:rPr>
          <w:rFonts w:ascii="Times New Roman" w:hAnsi="Times New Roman" w:cs="Aptos" w:eastAsia="Aptos"/>
          <w:b w:val="0"/>
          <w:i w:val="0"/>
          <w:color w:val="000000"/>
          <w:sz w:val="24"/>
        </w:rPr>
        <w:t>International Monetary Fund historical monetary and financial-statistics artifacts acquired by HAEIS; World Bank historical macroeconomic artifacts acquired by HAEIS; OPEC and other institutional sources where individually verified. Each observation retains source ID, unit, date, and transformation status.</w:t>
      </w:r>
    </w:p>
    <w:p>
      <w:pPr>
        <w:pStyle w:val="ListBullet"/>
        <w:spacing w:line="480" w:lineRule="auto"/>
        <w:jc w:val="both"/>
      </w:pPr>
      <w:r>
        <w:rPr>
          <w:rFonts w:ascii="Times New Roman" w:hAnsi="Times New Roman" w:cs="Aptos" w:eastAsia="Aptos"/>
          <w:b w:val="0"/>
          <w:i w:val="0"/>
          <w:color w:val="000000"/>
          <w:sz w:val="24"/>
        </w:rPr>
        <w:t>No restricted or metadata-only record is represented as a verified full-text source.</w:t>
      </w:r>
    </w:p>
    <w:p>
      <w:pPr>
        <w:jc w:val="both"/>
      </w:pPr>
      <w:r>
        <w:br w:type="page"/>
      </w:r>
    </w:p>
    <w:p>
      <w:pPr>
        <w:spacing w:before="240" w:line="480" w:lineRule="auto"/>
        <w:jc w:val="both"/>
      </w:pPr>
      <w:r>
        <w:rPr>
          <w:rFonts w:ascii="Times New Roman" w:hAnsi="Times New Roman" w:cs="Aptos" w:eastAsia="Aptos"/>
          <w:b/>
          <w:i w:val="0"/>
          <w:color w:val="000000"/>
          <w:sz w:val="24"/>
        </w:rPr>
        <w:t>Appendix A. Source and Evidence Register</w:t>
      </w:r>
    </w:p>
    <w:p>
      <w:pPr>
        <w:spacing w:line="480" w:lineRule="auto"/>
        <w:jc w:val="both"/>
      </w:pPr>
      <w:r>
        <w:rPr>
          <w:rFonts w:ascii="Times New Roman" w:hAnsi="Times New Roman" w:cs="Aptos" w:eastAsia="Aptos"/>
          <w:b w:val="0"/>
          <w:i w:val="0"/>
          <w:color w:val="000000"/>
          <w:sz w:val="24"/>
        </w:rPr>
        <w:t>The following register summarizes the evidence architecture used in this edition. It is not a substitute for the machine-readable source registry.</w:t>
      </w:r>
    </w:p>
    <w:tbl>
      <w:tblPr>
        <w:tblStyle w:val="TableGrid"/>
        <w:tblW w:type="auto" w:w="0"/>
        <w:jc w:val="center"/>
        <w:tblLook w:firstColumn="1" w:firstRow="1" w:lastColumn="0" w:lastRow="0" w:noHBand="0" w:noVBand="1" w:val="04A0"/>
      </w:tblPr>
      <w:tblGrid>
        <w:gridCol w:w="3130"/>
        <w:gridCol w:w="3130"/>
        <w:gridCol w:w="3130"/>
      </w:tblGrid>
      <w:tr>
        <w:trPr>
          <w:tblHeader w:val="true"/>
        </w:trPr>
        <w:tc>
          <w:tcPr>
            <w:tcW w:type="dxa" w:w="3130"/>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Evidence class</w:t>
            </w:r>
          </w:p>
        </w:tc>
        <w:tc>
          <w:tcPr>
            <w:tcW w:type="dxa" w:w="3130"/>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Current status</w:t>
            </w:r>
          </w:p>
        </w:tc>
        <w:tc>
          <w:tcPr>
            <w:tcW w:type="dxa" w:w="3130"/>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Permitted use</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Verified full text</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Locally acquired, hashed, read with locator</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Direct factual propositions within scope</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Verified institutional dataset</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Source-bound observations with units and dates</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Historical or current analysis within coverage</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Metadata verified</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Existence/title/authors confirmed</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Bibliography and retrieval planning only</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Restricted/unread</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Lead or record not fully inspected</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Gap disclosure; no substantive attribution</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Modeled</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Deterministic or probabilistic output</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Scenario analysis only</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Disputed</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Conflicting source or unresolved interpretation</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Preserve disagreement; no silent averaging</w:t>
            </w:r>
          </w:p>
        </w:tc>
      </w:tr>
    </w:tbl>
    <w:p/>
    <w:p>
      <w:pPr>
        <w:spacing w:before="240" w:line="480" w:lineRule="auto"/>
        <w:jc w:val="both"/>
      </w:pPr>
      <w:r>
        <w:rPr>
          <w:rFonts w:ascii="Times New Roman" w:hAnsi="Times New Roman" w:cs="Aptos" w:eastAsia="Aptos"/>
          <w:b/>
          <w:i w:val="0"/>
          <w:color w:val="000000"/>
          <w:sz w:val="24"/>
        </w:rPr>
        <w:t>EVIDENCE-HANDLING RULES</w:t>
      </w:r>
    </w:p>
    <w:p>
      <w:pPr>
        <w:pStyle w:val="ListBullet"/>
        <w:spacing w:line="480" w:lineRule="auto"/>
        <w:jc w:val="both"/>
      </w:pPr>
      <w:r>
        <w:rPr>
          <w:rFonts w:ascii="Times New Roman" w:hAnsi="Times New Roman" w:cs="Aptos" w:eastAsia="Aptos"/>
          <w:b w:val="0"/>
          <w:i w:val="0"/>
          <w:color w:val="000000"/>
          <w:sz w:val="24"/>
        </w:rPr>
        <w:t>Every material number requires a locator and unit.</w:t>
      </w:r>
    </w:p>
    <w:p>
      <w:pPr>
        <w:pStyle w:val="ListBullet"/>
        <w:spacing w:line="480" w:lineRule="auto"/>
        <w:jc w:val="both"/>
      </w:pPr>
      <w:r>
        <w:rPr>
          <w:rFonts w:ascii="Times New Roman" w:hAnsi="Times New Roman" w:cs="Aptos" w:eastAsia="Aptos"/>
          <w:b w:val="0"/>
          <w:i w:val="0"/>
          <w:color w:val="000000"/>
          <w:sz w:val="24"/>
        </w:rPr>
        <w:t>Every source retains its original URL and retrieval metadata.</w:t>
      </w:r>
    </w:p>
    <w:p>
      <w:pPr>
        <w:pStyle w:val="ListBullet"/>
        <w:spacing w:line="480" w:lineRule="auto"/>
        <w:jc w:val="both"/>
      </w:pPr>
      <w:r>
        <w:rPr>
          <w:rFonts w:ascii="Times New Roman" w:hAnsi="Times New Roman" w:cs="Aptos" w:eastAsia="Aptos"/>
          <w:b w:val="0"/>
          <w:i w:val="0"/>
          <w:color w:val="000000"/>
          <w:sz w:val="24"/>
        </w:rPr>
        <w:t>A newer vintage does not erase an older vintage.</w:t>
      </w:r>
    </w:p>
    <w:p>
      <w:pPr>
        <w:pStyle w:val="ListBullet"/>
        <w:spacing w:line="480" w:lineRule="auto"/>
        <w:jc w:val="both"/>
      </w:pPr>
      <w:r>
        <w:rPr>
          <w:rFonts w:ascii="Times New Roman" w:hAnsi="Times New Roman" w:cs="Aptos" w:eastAsia="Aptos"/>
          <w:b w:val="0"/>
          <w:i w:val="0"/>
          <w:color w:val="000000"/>
          <w:sz w:val="24"/>
        </w:rPr>
        <w:t>Court claims, awards, judgments, payments, and enforcement are separate accounting objects.</w:t>
      </w:r>
    </w:p>
    <w:p>
      <w:pPr>
        <w:pStyle w:val="ListBullet"/>
        <w:spacing w:line="480" w:lineRule="auto"/>
        <w:jc w:val="both"/>
      </w:pPr>
      <w:r>
        <w:rPr>
          <w:rFonts w:ascii="Times New Roman" w:hAnsi="Times New Roman" w:cs="Aptos" w:eastAsia="Aptos"/>
          <w:b w:val="0"/>
          <w:i w:val="0"/>
          <w:color w:val="000000"/>
          <w:sz w:val="24"/>
        </w:rPr>
        <w:t>No primary source is replaced silently by a secondary summary.</w:t>
      </w:r>
    </w:p>
    <w:p>
      <w:pPr>
        <w:pStyle w:val="ListBullet"/>
        <w:spacing w:line="480" w:lineRule="auto"/>
        <w:jc w:val="both"/>
      </w:pPr>
      <w:r>
        <w:rPr>
          <w:rFonts w:ascii="Times New Roman" w:hAnsi="Times New Roman" w:cs="Aptos" w:eastAsia="Aptos"/>
          <w:b w:val="0"/>
          <w:i w:val="0"/>
          <w:color w:val="000000"/>
          <w:sz w:val="24"/>
        </w:rPr>
        <w:t>Missing evidence is reported as `UNAVAILABLE`, not filled by prose.</w:t>
      </w:r>
    </w:p>
    <w:p>
      <w:pPr>
        <w:jc w:val="both"/>
      </w:pPr>
      <w:r>
        <w:br w:type="page"/>
      </w:r>
    </w:p>
    <w:p>
      <w:pPr>
        <w:spacing w:before="240" w:line="480" w:lineRule="auto"/>
        <w:jc w:val="both"/>
      </w:pPr>
      <w:r>
        <w:rPr>
          <w:rFonts w:ascii="Times New Roman" w:hAnsi="Times New Roman" w:cs="Aptos" w:eastAsia="Aptos"/>
          <w:b/>
          <w:i w:val="0"/>
          <w:color w:val="000000"/>
          <w:sz w:val="24"/>
        </w:rPr>
        <w:t>Appendix B. Venezuela Legal and Claims Index</w:t>
      </w:r>
    </w:p>
    <w:p>
      <w:pPr>
        <w:spacing w:line="480" w:lineRule="auto"/>
        <w:jc w:val="both"/>
      </w:pPr>
      <w:r>
        <w:rPr>
          <w:rFonts w:ascii="Times New Roman" w:hAnsi="Times New Roman" w:cs="Aptos" w:eastAsia="Aptos"/>
          <w:b w:val="0"/>
          <w:i w:val="0"/>
          <w:color w:val="000000"/>
          <w:sz w:val="24"/>
        </w:rPr>
        <w:t>The current legal evidence artifact contains 10 separately typed facts. The complete 80-case universe remains an intake and verification program; only records with acquired and read primary evidence may be promoted to verified case findings.</w:t>
      </w:r>
    </w:p>
    <w:tbl>
      <w:tblPr>
        <w:tblStyle w:val="TableGrid"/>
        <w:tblW w:type="auto" w:w="0"/>
        <w:jc w:val="center"/>
        <w:tblLook w:firstColumn="1" w:firstRow="1" w:lastColumn="0" w:lastRow="0" w:noHBand="0" w:noVBand="1" w:val="04A0"/>
      </w:tblPr>
      <w:tblGrid>
        <w:gridCol w:w="1878"/>
        <w:gridCol w:w="1878"/>
        <w:gridCol w:w="1878"/>
        <w:gridCol w:w="1878"/>
        <w:gridCol w:w="1878"/>
      </w:tblGrid>
      <w:tr>
        <w:trPr>
          <w:tblHeader w:val="true"/>
        </w:trPr>
        <w:tc>
          <w:tcPr>
            <w:tcW w:type="dxa" w:w="1878"/>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Evidence ID</w:t>
            </w:r>
          </w:p>
        </w:tc>
        <w:tc>
          <w:tcPr>
            <w:tcW w:type="dxa" w:w="1878"/>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Matter</w:t>
            </w:r>
          </w:p>
        </w:tc>
        <w:tc>
          <w:tcPr>
            <w:tcW w:type="dxa" w:w="1878"/>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Classification</w:t>
            </w:r>
          </w:p>
        </w:tc>
        <w:tc>
          <w:tcPr>
            <w:tcW w:type="dxa" w:w="1878"/>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Amount / fact basis</w:t>
            </w:r>
          </w:p>
        </w:tc>
        <w:tc>
          <w:tcPr>
            <w:tcW w:type="dxa" w:w="1878"/>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Locator status</w:t>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CRBF-001</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LEGAL_AWARD_FACT</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Court-described arbitration award, plus interest</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CRBF-002</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LEGAL_JUDGMENT_FACT</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Court-described federal judgment</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CRBF-003</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LEGAL_BACKGROUND_DEBT_FACT</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Court-described bond amount secured by a 50.1% collateral interest</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CRBF-004</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LEGAL_BACKGROUND_DEBT_FACT</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Court-described approximate bonds issued to U.S. and non-U.S. capital markets</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CRBF-005</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LEGAL_BACKGROUND_PAYMENT_FACT</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Court-described payment on a 2017 PDVSA bond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CRBF-006</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LEGAL_DEFAULT_REFERENCE</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Opinion narrative reference to bond defaults; no amount extracted from this passage</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CRBF-007</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LEGAL_BACKGROUND_PAYMENT_FACT</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Court-described announcement of payment on PDVSA bonds</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CRBF-008</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LEGAL_ESCROW_OR_AWARD_FACT</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Court-described arbitration award fund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CRBF-009</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LEGAL_ESCROW_OR_AWARD_FACT</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Court-described tribunal order requiring PDVSA placement</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See source record</w:t>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CRBF-010</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Matter not stated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LEGAL_ESCROW_OR_AWARD_FACT</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Court-described approximate escrow balance at ruling</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See source record</w:t>
            </w:r>
          </w:p>
        </w:tc>
      </w:tr>
    </w:tbl>
    <w:p/>
    <w:p>
      <w:pPr>
        <w:spacing w:before="240" w:line="480" w:lineRule="auto"/>
        <w:jc w:val="both"/>
      </w:pPr>
      <w:r>
        <w:rPr>
          <w:rFonts w:ascii="Times New Roman" w:hAnsi="Times New Roman" w:cs="Aptos" w:eastAsia="Aptos"/>
          <w:b/>
          <w:i w:val="0"/>
          <w:color w:val="000000"/>
          <w:sz w:val="24"/>
        </w:rPr>
        <w:t>CITGO AND PDVH EVIDENCE BOUNDARY</w:t>
      </w:r>
    </w:p>
    <w:p>
      <w:pPr>
        <w:spacing w:line="480" w:lineRule="auto"/>
        <w:jc w:val="both"/>
      </w:pPr>
      <w:r>
        <w:rPr>
          <w:rFonts w:ascii="Times New Roman" w:hAnsi="Times New Roman" w:cs="Aptos" w:eastAsia="Aptos"/>
          <w:b w:val="0"/>
          <w:i w:val="0"/>
          <w:color w:val="000000"/>
          <w:sz w:val="24"/>
        </w:rPr>
        <w:t>The CITGO master evidence artifact records 5 source-bound corporate-chain and enforcement facts. Those records support analysis of attachment, collateral, and enforcement exposure. They do not, without a consolidated accounting statement, establish Venezuela’s current debt stock, current reserve position, or the amount available for dollarization.</w:t>
      </w:r>
    </w:p>
    <w:p>
      <w:pPr>
        <w:jc w:val="both"/>
      </w:pPr>
      <w:r>
        <w:br w:type="page"/>
      </w:r>
    </w:p>
    <w:p>
      <w:pPr>
        <w:spacing w:before="240" w:line="480" w:lineRule="auto"/>
        <w:jc w:val="both"/>
      </w:pPr>
      <w:r>
        <w:rPr>
          <w:rFonts w:ascii="Times New Roman" w:hAnsi="Times New Roman" w:cs="Aptos" w:eastAsia="Aptos"/>
          <w:b/>
          <w:i w:val="0"/>
          <w:color w:val="000000"/>
          <w:sz w:val="24"/>
        </w:rPr>
        <w:t>Appendix C. Critical Variable Inventory</w:t>
      </w:r>
    </w:p>
    <w:p>
      <w:pPr>
        <w:spacing w:line="480" w:lineRule="auto"/>
        <w:jc w:val="both"/>
      </w:pPr>
      <w:r>
        <w:rPr>
          <w:rFonts w:ascii="Times New Roman" w:hAnsi="Times New Roman" w:cs="Aptos" w:eastAsia="Aptos"/>
          <w:b w:val="0"/>
          <w:i w:val="0"/>
          <w:color w:val="000000"/>
          <w:sz w:val="24"/>
        </w:rPr>
        <w:t>The variable inventory is intentionally exhaustive. A listed variable is not an observed value. Variables without source-bound observations remain unavailable.</w:t>
      </w:r>
    </w:p>
    <w:tbl>
      <w:tblPr>
        <w:tblStyle w:val="TableGrid"/>
        <w:tblW w:type="auto" w:w="0"/>
        <w:jc w:val="center"/>
        <w:tblLook w:firstColumn="1" w:firstRow="1" w:lastColumn="0" w:lastRow="0" w:noHBand="0" w:noVBand="1" w:val="04A0"/>
      </w:tblPr>
      <w:tblGrid>
        <w:gridCol w:w="4694"/>
        <w:gridCol w:w="4694"/>
      </w:tblGrid>
      <w:tr>
        <w:trPr>
          <w:tblHeader w:val="true"/>
        </w:trPr>
        <w:tc>
          <w:tcPr>
            <w:tcW w:type="dxa" w:w="469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Domain</w:t>
            </w:r>
          </w:p>
        </w:tc>
        <w:tc>
          <w:tcPr>
            <w:tcW w:type="dxa" w:w="469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Required variables</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inventory_id</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"VENEZUELA-CRITICAL-VARIABLE-INVENTORY"</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version</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country</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"Venezuela"</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status_policy</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"Every variable starts UNAVAILABLE until a dated, source-bound observation is admitted. UNAVAILABLE is not evidence that the variable is zero."</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domains</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ACRO":["nominal_GDP_USD","real_GDP_growth","CPI_inflation","GDP_per_capita_USD","oil_rents_percent_GDP"],"MONETARY":["monetary_base","M0","M1","M2","M3","currency_in_circulation","currency_outside_depository_corporations","broad_money","central_bank_net_foreign_assets","central_bank_net_claims_on_government","central_bank_claims_private_sector","central_bank_claims_nonresidents","bank_reserves","required_reserves","excess_reserves","central_bank_credit","monetary_financing","central_bank_assets","central_bank_liabilities"],"FX":["official_USD_VES","parallel_USD_VES","effective_exchange_rate","REER","NEER","FX_market_volume","FX_interventions","exchange_rate_spread","currency_substitution_ratio"],"BANKING":["total_assets","total_liabilities","capital","risk_weighted_assets","deposits","VES_deposits","FX_deposits","loans","historical_MFS_ODC_claims_private_sector","historical_MFS_ODC_claims_central_bank","historical_MFS_ODC_transferable_deposits","historical_MFS_ODC_other_deposits","historical_MFS_ODC_loans","historical_MFS_ODC_net_claims_government","commercial_loans","consumer_loans","mortgages","government_exposure","NPL_ratio","provisions","liquidity","reserve_requirements","ROA","ROE","net_interest_margin","loan_to_deposit_ratio","deposit_concentration"],"RESERVES":["gross_international_reserves","liquid_reserves","gold_reserves","SDRs","IMF_reserve_position","foreign_securities","bank_deposits_abroad","encumbered_reserves","unencumbered_reserves"],"FISCAL":["central_government_revenue","oil_revenue","non_oil_revenue","VAT","income_tax","customs","royalties","public_payroll","pensions","transfers","subsidies","capital_expenditure","interest_expenditure","primary_balance","overall_fiscal_balance","monetary_financing"],"OIL":["production","exports","domestic_consumption","realized_export_price","benchmark_prices","lifting_costs","transport_costs","JV_obligations","royalties","taxes","PDVSA_capex","rig_count","refinery_utilization","export_destinations"],"EXTERNAL":["exports","imports","trade_balance","services_balance","current_account","capital_account","FDI","portfolio_flows","remittances","remittances_received_USD","capital_flight","external_debt_service"],"DEBT":["Republic_bonds","PDVSA_bonds","bilateral_obligations","China_claims","Russia_claims","multilateral_debt","arbitration_awards","commercial_claims","arrears","interest","maturity_profile"],"HOUSEHOLDS":["average_household_income","median_income","minimum_wage","public_wage","private_wage","pensions","food_basket","poverty","extreme_poverty","USD_income_share","VES_income_share","remittance_dependence"],"LABOR":["employment","unemployment","underemployment","labor_force_participation","informality","public_employment","private_employment","migration"]}</w:t>
            </w:r>
          </w:p>
        </w:tc>
      </w:tr>
      <w:tr>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observation_defaults</w:t>
            </w:r>
          </w:p>
        </w:tc>
        <w:tc>
          <w:tcPr>
            <w:tcW w:type="dxa" w:w="469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{"status":"UNAVAILABLE","source_ids":[],"confidence_score":0,"verification_status":"UNAVAILABLE","revision_status":"NOT_APPLICABLE","notes":"Populate only through the institutional observation contract; preserve publication/retrieval dates, units, transformations, revisions, and conflicts."}</w:t>
            </w:r>
          </w:p>
        </w:tc>
      </w:tr>
    </w:tbl>
    <w:p/>
    <w:p>
      <w:pPr>
        <w:spacing w:before="240" w:line="480" w:lineRule="auto"/>
        <w:jc w:val="both"/>
      </w:pPr>
      <w:r>
        <w:rPr>
          <w:rFonts w:ascii="Times New Roman" w:hAnsi="Times New Roman" w:cs="Aptos" w:eastAsia="Aptos"/>
          <w:b/>
          <w:i w:val="0"/>
          <w:color w:val="000000"/>
          <w:sz w:val="24"/>
        </w:rPr>
        <w:t>DATA QUALITY LABELS</w:t>
      </w:r>
    </w:p>
    <w:p>
      <w:pPr>
        <w:pStyle w:val="ListBullet"/>
        <w:spacing w:line="480" w:lineRule="auto"/>
        <w:jc w:val="both"/>
      </w:pPr>
      <w:r>
        <w:rPr>
          <w:rFonts w:ascii="Times New Roman" w:hAnsi="Times New Roman" w:cs="Aptos" w:eastAsia="Aptos"/>
          <w:b w:val="0"/>
          <w:i w:val="0"/>
          <w:color w:val="000000"/>
          <w:sz w:val="24"/>
        </w:rPr>
        <w:t>GREEN — strong coverage and source agreement;</w:t>
      </w:r>
    </w:p>
    <w:p>
      <w:pPr>
        <w:pStyle w:val="ListBullet"/>
        <w:spacing w:line="480" w:lineRule="auto"/>
        <w:jc w:val="both"/>
      </w:pPr>
      <w:r>
        <w:rPr>
          <w:rFonts w:ascii="Times New Roman" w:hAnsi="Times New Roman" w:cs="Aptos" w:eastAsia="Aptos"/>
          <w:b w:val="0"/>
          <w:i w:val="0"/>
          <w:color w:val="000000"/>
          <w:sz w:val="24"/>
        </w:rPr>
        <w:t>YELLOW — usable with limitations;</w:t>
      </w:r>
    </w:p>
    <w:p>
      <w:pPr>
        <w:pStyle w:val="ListBullet"/>
        <w:spacing w:line="480" w:lineRule="auto"/>
        <w:jc w:val="both"/>
      </w:pPr>
      <w:r>
        <w:rPr>
          <w:rFonts w:ascii="Times New Roman" w:hAnsi="Times New Roman" w:cs="Aptos" w:eastAsia="Aptos"/>
          <w:b w:val="0"/>
          <w:i w:val="0"/>
          <w:color w:val="000000"/>
          <w:sz w:val="24"/>
        </w:rPr>
        <w:t>ORANGE — weak coverage or material conflict;</w:t>
      </w:r>
    </w:p>
    <w:p>
      <w:pPr>
        <w:pStyle w:val="ListBullet"/>
        <w:spacing w:line="480" w:lineRule="auto"/>
        <w:jc w:val="both"/>
      </w:pPr>
      <w:r>
        <w:rPr>
          <w:rFonts w:ascii="Times New Roman" w:hAnsi="Times New Roman" w:cs="Aptos" w:eastAsia="Aptos"/>
          <w:b w:val="0"/>
          <w:i w:val="0"/>
          <w:color w:val="000000"/>
          <w:sz w:val="24"/>
        </w:rPr>
        <w:t>RED — unavailable, unreconciled, or not decision-grade;</w:t>
      </w:r>
    </w:p>
    <w:p>
      <w:pPr>
        <w:jc w:val="both"/>
      </w:pPr>
      <w:r>
        <w:br w:type="page"/>
      </w:r>
    </w:p>
    <w:p>
      <w:pPr>
        <w:spacing w:before="240" w:line="480" w:lineRule="auto"/>
        <w:jc w:val="both"/>
      </w:pPr>
      <w:r>
        <w:rPr>
          <w:rFonts w:ascii="Times New Roman" w:hAnsi="Times New Roman" w:cs="Aptos" w:eastAsia="Aptos"/>
          <w:b/>
          <w:i w:val="0"/>
          <w:color w:val="000000"/>
          <w:sz w:val="24"/>
        </w:rPr>
        <w:t>Appendix D. Formula and Indicator Register</w:t>
      </w:r>
    </w:p>
    <w:tbl>
      <w:tblPr>
        <w:tblStyle w:val="TableGrid"/>
        <w:tblW w:type="auto" w:w="0"/>
        <w:jc w:val="center"/>
        <w:tblLook w:firstColumn="1" w:firstRow="1" w:lastColumn="0" w:lastRow="0" w:noHBand="0" w:noVBand="1" w:val="04A0"/>
      </w:tblPr>
      <w:tblGrid>
        <w:gridCol w:w="3130"/>
        <w:gridCol w:w="3130"/>
        <w:gridCol w:w="3130"/>
      </w:tblGrid>
      <w:tr>
        <w:trPr>
          <w:tblHeader w:val="true"/>
        </w:trPr>
        <w:tc>
          <w:tcPr>
            <w:tcW w:type="dxa" w:w="3130"/>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Indicator</w:t>
            </w:r>
          </w:p>
        </w:tc>
        <w:tc>
          <w:tcPr>
            <w:tcW w:type="dxa" w:w="3130"/>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Formula or definition</w:t>
            </w:r>
          </w:p>
        </w:tc>
        <w:tc>
          <w:tcPr>
            <w:tcW w:type="dxa" w:w="3130"/>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Status rule</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Inflation</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CPI_t / CPI_(t-1) − 1</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Requires comparable CPI vintage</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Parallel premium</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Parallel FX / Official FX − 1</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Same date and quotation convention</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Reserve coverage</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Liquid FX reserves / defined dollarization requirement</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Requirement must be defined</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Debt/GDP</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Debt stock / GDP</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Same currency and period basis</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Interest/revenue</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Interest expenditure / government revenue</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Accrual/cash basis disclosed</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Capital adequacy</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Regulatory capital / risk-weighted assets</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Banking methodology verified</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Loan/deposit</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Loans / deposits</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Aggregate or bank-level scope stated</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Pension cost</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Pensioners × monthly benefit × 12</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Beneficiary count verified</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Net oil FX</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Gross oil revenue − costs − obligations</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Government take and obligations sourced</w:t>
            </w:r>
          </w:p>
        </w:tc>
      </w:tr>
      <w:tr>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Funding gap</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Dollarization requirement − available liquid reserves</w:t>
            </w:r>
          </w:p>
        </w:tc>
        <w:tc>
          <w:tcPr>
            <w:tcW w:type="dxa" w:w="3130"/>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Liquid reserves classified</w:t>
            </w:r>
          </w:p>
        </w:tc>
      </w:tr>
    </w:tbl>
    <w:p/>
    <w:p>
      <w:pPr>
        <w:jc w:val="both"/>
      </w:pPr>
      <w:r>
        <w:br w:type="page"/>
      </w:r>
    </w:p>
    <w:p>
      <w:pPr>
        <w:spacing w:before="240" w:line="480" w:lineRule="auto"/>
        <w:jc w:val="both"/>
      </w:pPr>
      <w:r>
        <w:rPr>
          <w:rFonts w:ascii="Times New Roman" w:hAnsi="Times New Roman" w:cs="Aptos" w:eastAsia="Aptos"/>
          <w:b/>
          <w:i w:val="0"/>
          <w:color w:val="000000"/>
          <w:sz w:val="24"/>
        </w:rPr>
        <w:t>Appendix E. Machine-Validated Report Index</w:t>
      </w:r>
    </w:p>
    <w:p>
      <w:pPr>
        <w:spacing w:line="480" w:lineRule="auto"/>
        <w:jc w:val="both"/>
      </w:pPr>
      <w:r>
        <w:rPr>
          <w:rFonts w:ascii="Times New Roman" w:hAnsi="Times New Roman" w:cs="Aptos" w:eastAsia="Aptos"/>
          <w:b w:val="0"/>
          <w:i w:val="0"/>
          <w:color w:val="000000"/>
          <w:sz w:val="24"/>
        </w:rPr>
        <w:t>The following appendix preserves the full machine-generated indexed report, including section-level status, missing-data declarations, chart specifications, formula slots, completeness rows, source conflicts, scenario gates, and policy stop conditions. Its repetition is intentional: it is the audit trail, not narrative filler. [[BEGIN MACHINE-VALIDATED INDEX]]</w:t>
      </w:r>
    </w:p>
    <w:p>
      <w:pPr>
        <w:spacing w:before="240" w:line="480" w:lineRule="auto"/>
        <w:jc w:val="center"/>
      </w:pPr>
      <w:r>
        <w:rPr>
          <w:rFonts w:ascii="Times New Roman" w:hAnsi="Times New Roman" w:cs="Aptos" w:eastAsia="Aptos"/>
          <w:b/>
          <w:i w:val="0"/>
          <w:color w:val="000000"/>
          <w:sz w:val="24"/>
        </w:rPr>
        <w:t>Venezuela Dollarization and Monetary Reform — Institutional Final Report</w:t>
      </w:r>
    </w:p>
    <w:p>
      <w:pPr>
        <w:spacing w:line="480" w:lineRule="auto"/>
        <w:jc w:val="both"/>
      </w:pPr>
      <w:r>
        <w:rPr>
          <w:rFonts w:ascii="Times New Roman" w:hAnsi="Times New Roman" w:cs="Aptos" w:eastAsia="Aptos"/>
          <w:b w:val="0"/>
          <w:i w:val="0"/>
          <w:color w:val="000000"/>
          <w:sz w:val="24"/>
        </w:rPr>
        <w:t xml:space="preserve">Report ID: `VEN-DISPUTED-20260825222922-INDEXED-FINAL`   Run: `VEN-DISPUTED-20260825222922`   Status: </w:t>
      </w:r>
      <w:r>
        <w:rPr>
          <w:rFonts w:ascii="Times New Roman" w:hAnsi="Times New Roman" w:cs="Aptos" w:eastAsia="Aptos"/>
          <w:b/>
          <w:i w:val="0"/>
          <w:color w:val="000000"/>
          <w:sz w:val="24"/>
        </w:rPr>
        <w:t>BLOCKED</w:t>
      </w:r>
    </w:p>
    <w:p>
      <w:pPr>
        <w:spacing w:before="240" w:line="480" w:lineRule="auto"/>
        <w:jc w:val="both"/>
      </w:pPr>
      <w:r>
        <w:rPr>
          <w:rFonts w:ascii="Times New Roman" w:hAnsi="Times New Roman" w:cs="Aptos" w:eastAsia="Aptos"/>
          <w:b/>
          <w:i w:val="0"/>
          <w:color w:val="000000"/>
          <w:sz w:val="24"/>
        </w:rPr>
        <w:t>DECISION</w:t>
      </w:r>
    </w:p>
    <w:p>
      <w:pPr>
        <w:spacing w:line="480" w:lineRule="auto"/>
        <w:jc w:val="both"/>
      </w:pPr>
      <w:r>
        <w:rPr>
          <w:rFonts w:ascii="Times New Roman" w:hAnsi="Times New Roman" w:cs="Aptos" w:eastAsia="Aptos"/>
          <w:b w:val="0"/>
          <w:i w:val="0"/>
          <w:color w:val="000000"/>
          <w:sz w:val="24"/>
        </w:rPr>
        <w:t>DECISION BLOCKED — INSUFFICIENT EVIDENCE. The enforced report index is complete structurally, but no policy recommendation may be issued while critical gates remain open or blocked.</w:t>
      </w:r>
    </w:p>
    <w:p>
      <w:pPr>
        <w:spacing w:before="240" w:line="480" w:lineRule="auto"/>
        <w:jc w:val="both"/>
      </w:pPr>
      <w:r>
        <w:rPr>
          <w:rFonts w:ascii="Times New Roman" w:hAnsi="Times New Roman" w:cs="Aptos" w:eastAsia="Aptos"/>
          <w:b/>
          <w:i w:val="0"/>
          <w:color w:val="000000"/>
          <w:sz w:val="24"/>
        </w:rPr>
        <w:t>ENFORCED DATA-STATUS LEGEND</w:t>
      </w:r>
    </w:p>
    <w:p>
      <w:pPr>
        <w:pStyle w:val="ListBullet"/>
        <w:spacing w:line="480" w:lineRule="auto"/>
        <w:jc w:val="both"/>
      </w:pPr>
      <w:r>
        <w:rPr>
          <w:rFonts w:ascii="Times New Roman" w:hAnsi="Times New Roman" w:cs="Aptos" w:eastAsia="Aptos"/>
          <w:b/>
          <w:i w:val="0"/>
          <w:color w:val="000000"/>
          <w:sz w:val="24"/>
        </w:rPr>
        <w:t>VERIFIED</w:t>
      </w:r>
    </w:p>
    <w:p>
      <w:pPr>
        <w:pStyle w:val="ListBullet"/>
        <w:spacing w:line="480" w:lineRule="auto"/>
        <w:jc w:val="both"/>
      </w:pPr>
      <w:r>
        <w:rPr>
          <w:rFonts w:ascii="Times New Roman" w:hAnsi="Times New Roman" w:cs="Aptos" w:eastAsia="Aptos"/>
          <w:b/>
          <w:i w:val="0"/>
          <w:color w:val="000000"/>
          <w:sz w:val="24"/>
        </w:rPr>
        <w:t>PROVISIONAL</w:t>
      </w:r>
    </w:p>
    <w:p>
      <w:pPr>
        <w:pStyle w:val="ListBullet"/>
        <w:spacing w:line="480" w:lineRule="auto"/>
        <w:jc w:val="both"/>
      </w:pPr>
      <w:r>
        <w:rPr>
          <w:rFonts w:ascii="Times New Roman" w:hAnsi="Times New Roman" w:cs="Aptos" w:eastAsia="Aptos"/>
          <w:b/>
          <w:i w:val="0"/>
          <w:color w:val="000000"/>
          <w:sz w:val="24"/>
        </w:rPr>
        <w:t>ESTIMATED</w:t>
      </w:r>
    </w:p>
    <w:p>
      <w:pPr>
        <w:pStyle w:val="ListBullet"/>
        <w:spacing w:line="480" w:lineRule="auto"/>
        <w:jc w:val="both"/>
      </w:pPr>
      <w:r>
        <w:rPr>
          <w:rFonts w:ascii="Times New Roman" w:hAnsi="Times New Roman" w:cs="Aptos" w:eastAsia="Aptos"/>
          <w:b/>
          <w:i w:val="0"/>
          <w:color w:val="000000"/>
          <w:sz w:val="24"/>
        </w:rPr>
        <w:t>MODELED</w:t>
      </w:r>
    </w:p>
    <w:p>
      <w:pPr>
        <w:pStyle w:val="ListBullet"/>
        <w:spacing w:line="480" w:lineRule="auto"/>
        <w:jc w:val="both"/>
      </w:pPr>
      <w:r>
        <w:rPr>
          <w:rFonts w:ascii="Times New Roman" w:hAnsi="Times New Roman" w:cs="Aptos" w:eastAsia="Aptos"/>
          <w:b/>
          <w:i w:val="0"/>
          <w:color w:val="000000"/>
          <w:sz w:val="24"/>
        </w:rPr>
        <w:t>IMPUTED</w:t>
      </w:r>
    </w:p>
    <w:p>
      <w:pPr>
        <w:pStyle w:val="ListBullet"/>
        <w:spacing w:line="480" w:lineRule="auto"/>
        <w:jc w:val="both"/>
      </w:pPr>
      <w:r>
        <w:rPr>
          <w:rFonts w:ascii="Times New Roman" w:hAnsi="Times New Roman" w:cs="Aptos" w:eastAsia="Aptos"/>
          <w:b/>
          <w:i w:val="0"/>
          <w:color w:val="000000"/>
          <w:sz w:val="24"/>
        </w:rPr>
        <w:t>DISPUTED</w:t>
      </w:r>
    </w:p>
    <w:p>
      <w:pPr>
        <w:pStyle w:val="ListBullet"/>
        <w:spacing w:line="480" w:lineRule="auto"/>
        <w:jc w:val="both"/>
      </w:pPr>
      <w:r>
        <w:rPr>
          <w:rFonts w:ascii="Times New Roman" w:hAnsi="Times New Roman" w:cs="Aptos" w:eastAsia="Aptos"/>
          <w:b/>
          <w:i w:val="0"/>
          <w:color w:val="000000"/>
          <w:sz w:val="24"/>
        </w:rPr>
        <w:t>STALE</w:t>
      </w:r>
    </w:p>
    <w:p>
      <w:pPr>
        <w:pStyle w:val="ListBullet"/>
        <w:spacing w:line="480" w:lineRule="auto"/>
        <w:jc w:val="both"/>
      </w:pPr>
      <w:r>
        <w:rPr>
          <w:rFonts w:ascii="Times New Roman" w:hAnsi="Times New Roman" w:cs="Aptos" w:eastAsia="Aptos"/>
          <w:b/>
          <w:i w:val="0"/>
          <w:color w:val="000000"/>
          <w:sz w:val="24"/>
        </w:rPr>
        <w:t>UNAVAILABLE</w:t>
      </w:r>
    </w:p>
    <w:p>
      <w:pPr>
        <w:spacing w:before="320" w:after="140" w:line="480" w:lineRule="auto"/>
        <w:jc w:val="left"/>
      </w:pPr>
      <w:r>
        <w:rPr>
          <w:rFonts w:ascii="Times New Roman" w:hAnsi="Times New Roman" w:cs="Aptos" w:eastAsia="Aptos"/>
          <w:b/>
          <w:i w:val="0"/>
          <w:color w:val="1F4E79"/>
          <w:sz w:val="24"/>
        </w:rPr>
        <w:t>PART I — EXECUTIVE POLICY ASSESSMENT</w:t>
      </w:r>
    </w:p>
    <w:p>
      <w:pPr>
        <w:spacing w:line="480" w:lineRule="auto"/>
        <w:jc w:val="both"/>
      </w:pPr>
      <w:r>
        <w:rPr>
          <w:rFonts w:ascii="Times New Roman" w:hAnsi="Times New Roman" w:cs="Aptos" w:eastAsia="Aptos"/>
          <w:b w:val="0"/>
          <w:i w:val="0"/>
          <w:color w:val="000000"/>
          <w:sz w:val="24"/>
        </w:rPr>
        <w:t>Page target: 4–6</w:t>
      </w:r>
    </w:p>
    <w:p>
      <w:pPr>
        <w:spacing w:before="160" w:line="480" w:lineRule="auto"/>
        <w:jc w:val="both"/>
      </w:pPr>
      <w:r>
        <w:rPr>
          <w:rFonts w:ascii="Times New Roman" w:hAnsi="Times New Roman" w:cs="Aptos" w:eastAsia="Aptos"/>
          <w:b/>
          <w:i w:val="0"/>
          <w:color w:val="000000"/>
          <w:sz w:val="24"/>
        </w:rPr>
        <w:t>1.1 Purpose of the Study</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1.2 Principal Findings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1.3 Policy Verdict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1.4 Conditions Required Before Dollarization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II — THE VENEZUELAN MACROECONOMIC BASELINE</w:t>
      </w:r>
    </w:p>
    <w:p>
      <w:pPr>
        <w:spacing w:line="480" w:lineRule="auto"/>
        <w:jc w:val="both"/>
      </w:pPr>
      <w:r>
        <w:rPr>
          <w:rFonts w:ascii="Times New Roman" w:hAnsi="Times New Roman" w:cs="Aptos" w:eastAsia="Aptos"/>
          <w:b w:val="0"/>
          <w:i w:val="0"/>
          <w:color w:val="000000"/>
          <w:sz w:val="24"/>
        </w:rPr>
        <w:t>Page target: 10–13</w:t>
      </w:r>
    </w:p>
    <w:p>
      <w:pPr>
        <w:spacing w:before="160" w:line="480" w:lineRule="auto"/>
        <w:jc w:val="both"/>
      </w:pPr>
      <w:r>
        <w:rPr>
          <w:rFonts w:ascii="Times New Roman" w:hAnsi="Times New Roman" w:cs="Aptos" w:eastAsia="Aptos"/>
          <w:b/>
          <w:i w:val="0"/>
          <w:color w:val="000000"/>
          <w:sz w:val="24"/>
        </w:rPr>
        <w:t>2.1 GDP and Economic Composition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2.2 Historical Economic Contraction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2.3 Productivity and Capital Stock</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2.4 Labor Market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3.1 Bolívar Monetary Regimes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3.2 Currency Devaluations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3.3 Hyperinflation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3.4 Monetary Credibility Collapse</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III — WHAT DOLLARIZATION ACTUALLY MEANS</w:t>
      </w:r>
    </w:p>
    <w:p>
      <w:pPr>
        <w:spacing w:line="480" w:lineRule="auto"/>
        <w:jc w:val="both"/>
      </w:pPr>
      <w:r>
        <w:rPr>
          <w:rFonts w:ascii="Times New Roman" w:hAnsi="Times New Roman" w:cs="Aptos" w:eastAsia="Aptos"/>
          <w:b w:val="0"/>
          <w:i w:val="0"/>
          <w:color w:val="000000"/>
          <w:sz w:val="24"/>
        </w:rPr>
        <w:t>Page target: 4–5</w:t>
      </w:r>
    </w:p>
    <w:p>
      <w:pPr>
        <w:spacing w:before="160" w:line="480" w:lineRule="auto"/>
        <w:jc w:val="both"/>
      </w:pPr>
      <w:r>
        <w:rPr>
          <w:rFonts w:ascii="Times New Roman" w:hAnsi="Times New Roman" w:cs="Aptos" w:eastAsia="Aptos"/>
          <w:b/>
          <w:i w:val="0"/>
          <w:color w:val="000000"/>
          <w:sz w:val="24"/>
        </w:rPr>
        <w:t>4.1 Informal Dollarization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4.2 Partial Dollarization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4.3 Currency Board</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4.4 Full Official Dollarization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4.5 Synthetic Dollarization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4.6 Stablecoin or Tokenized Dollar Layer</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IV — THE BALANCE-SHEET QUESTION</w:t>
      </w:r>
    </w:p>
    <w:p>
      <w:pPr>
        <w:spacing w:line="480" w:lineRule="auto"/>
        <w:jc w:val="both"/>
      </w:pPr>
      <w:r>
        <w:rPr>
          <w:rFonts w:ascii="Times New Roman" w:hAnsi="Times New Roman" w:cs="Aptos" w:eastAsia="Aptos"/>
          <w:b w:val="0"/>
          <w:i w:val="0"/>
          <w:color w:val="000000"/>
          <w:sz w:val="24"/>
        </w:rPr>
        <w:t>Page target: 13–15</w:t>
      </w:r>
    </w:p>
    <w:p>
      <w:pPr>
        <w:spacing w:before="160" w:line="480" w:lineRule="auto"/>
        <w:jc w:val="both"/>
      </w:pPr>
      <w:r>
        <w:rPr>
          <w:rFonts w:ascii="Times New Roman" w:hAnsi="Times New Roman" w:cs="Aptos" w:eastAsia="Aptos"/>
          <w:b/>
          <w:i w:val="0"/>
          <w:color w:val="000000"/>
          <w:sz w:val="24"/>
        </w:rPr>
        <w:t>5.1 Monetary Base Conversion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5.2 Currency-in-Circulation Conversion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5.3 Demand Deposits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5.4 M1 Conversion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5.5 M2 Conversion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5.6 Partial Conversion Scenarios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5.7 Conversion-Rate Sensitivity</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6.1 Reported BCV Reserves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6.2 Gross vs. Liquid Reserves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6.3 Encumbered Assets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6.4 Reserve Adequacy</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V — THE BANKING SYSTEM</w:t>
      </w:r>
    </w:p>
    <w:p>
      <w:pPr>
        <w:spacing w:line="480" w:lineRule="auto"/>
        <w:jc w:val="both"/>
      </w:pPr>
      <w:r>
        <w:rPr>
          <w:rFonts w:ascii="Times New Roman" w:hAnsi="Times New Roman" w:cs="Aptos" w:eastAsia="Aptos"/>
          <w:b w:val="0"/>
          <w:i w:val="0"/>
          <w:color w:val="000000"/>
          <w:sz w:val="24"/>
        </w:rPr>
        <w:t>Page target: 8–10</w:t>
      </w:r>
    </w:p>
    <w:p>
      <w:pPr>
        <w:spacing w:before="160" w:line="480" w:lineRule="auto"/>
        <w:jc w:val="both"/>
      </w:pPr>
      <w:r>
        <w:rPr>
          <w:rFonts w:ascii="Times New Roman" w:hAnsi="Times New Roman" w:cs="Aptos" w:eastAsia="Aptos"/>
          <w:b/>
          <w:i w:val="0"/>
          <w:color w:val="000000"/>
          <w:sz w:val="24"/>
        </w:rPr>
        <w:t>7.1 Banking-System Balance Sheet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7.2 Deposit Composition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7.3 Bank Capitalization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7.4 Asset Quality</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7.5 Dollarization Conversion Risk</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8.1 How Bolívar Credit Works Today</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8.2 What Changes Under Dollarization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8.3 Credit Compression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8.4 Bank Liquidity Stress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8.5 Credit-to-GDP Comparisons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VI — LENDER OF LAST RESORT</w:t>
      </w:r>
    </w:p>
    <w:p>
      <w:pPr>
        <w:spacing w:line="480" w:lineRule="auto"/>
        <w:jc w:val="both"/>
      </w:pPr>
      <w:r>
        <w:rPr>
          <w:rFonts w:ascii="Times New Roman" w:hAnsi="Times New Roman" w:cs="Aptos" w:eastAsia="Aptos"/>
          <w:b w:val="0"/>
          <w:i w:val="0"/>
          <w:color w:val="000000"/>
          <w:sz w:val="24"/>
        </w:rPr>
        <w:t>Page target: 4–6</w:t>
      </w:r>
    </w:p>
    <w:p>
      <w:pPr>
        <w:spacing w:before="160" w:line="480" w:lineRule="auto"/>
        <w:jc w:val="both"/>
      </w:pPr>
      <w:r>
        <w:rPr>
          <w:rFonts w:ascii="Times New Roman" w:hAnsi="Times New Roman" w:cs="Aptos" w:eastAsia="Aptos"/>
          <w:b/>
          <w:i w:val="0"/>
          <w:color w:val="000000"/>
          <w:sz w:val="24"/>
        </w:rPr>
        <w:t>9.1 Traditional Lender of Last Resort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9.2 Dollarized Economies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9.3 Venezuela Liquidity Stability Fund</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9.4 Stress Test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VII — FISCAL POLICY</w:t>
      </w:r>
    </w:p>
    <w:p>
      <w:pPr>
        <w:spacing w:line="480" w:lineRule="auto"/>
        <w:jc w:val="both"/>
      </w:pPr>
      <w:r>
        <w:rPr>
          <w:rFonts w:ascii="Times New Roman" w:hAnsi="Times New Roman" w:cs="Aptos" w:eastAsia="Aptos"/>
          <w:b w:val="0"/>
          <w:i w:val="0"/>
          <w:color w:val="000000"/>
          <w:sz w:val="24"/>
        </w:rPr>
        <w:t>Page target: 7–8</w:t>
      </w:r>
    </w:p>
    <w:p>
      <w:pPr>
        <w:spacing w:before="180" w:line="480" w:lineRule="auto"/>
        <w:jc w:val="both"/>
      </w:pPr>
      <w:r>
        <w:rPr>
          <w:rFonts w:ascii="Times New Roman" w:hAnsi="Times New Roman" w:cs="Aptos" w:eastAsia="Aptos"/>
          <w:b/>
          <w:i w:val="0"/>
          <w:color w:val="373737"/>
          <w:sz w:val="24"/>
        </w:rPr>
        <w:t>10.1 Government Revenue</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10.2 Expenditure</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10.3 Deficit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10.4 Monetary Financing</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10.5 Dollarization Removes Inflation Tax</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10.6 Required Fiscal Adjustment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VIII — OIL AND EXTERNAL ACCOUNTS</w:t>
      </w:r>
    </w:p>
    <w:p>
      <w:pPr>
        <w:spacing w:line="480" w:lineRule="auto"/>
        <w:jc w:val="both"/>
      </w:pPr>
      <w:r>
        <w:rPr>
          <w:rFonts w:ascii="Times New Roman" w:hAnsi="Times New Roman" w:cs="Aptos" w:eastAsia="Aptos"/>
          <w:b w:val="0"/>
          <w:i w:val="0"/>
          <w:color w:val="000000"/>
          <w:sz w:val="24"/>
        </w:rPr>
        <w:t>Page target: 11–12</w:t>
      </w:r>
    </w:p>
    <w:p>
      <w:pPr>
        <w:spacing w:before="180" w:line="480" w:lineRule="auto"/>
        <w:jc w:val="both"/>
      </w:pPr>
      <w:r>
        <w:rPr>
          <w:rFonts w:ascii="Times New Roman" w:hAnsi="Times New Roman" w:cs="Aptos" w:eastAsia="Aptos"/>
          <w:b/>
          <w:i w:val="0"/>
          <w:color w:val="373737"/>
          <w:sz w:val="24"/>
        </w:rPr>
        <w:t>11.1 Production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11.2 Export Volumes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11.3 Realized Oil Price</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11.4 Government Take</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11.5 Dollar Liquidity from Oil</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11.6 Oil Price Stress Scenarios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12.1 Current Account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12.2 Trade Balance</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12.3 Services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12.4 Remittances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12.5 Capital Account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12.6 Capital Flight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12.7 Balance-of-Payments Constraint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IX — DEBT</w:t>
      </w:r>
    </w:p>
    <w:p>
      <w:pPr>
        <w:spacing w:line="480" w:lineRule="auto"/>
        <w:jc w:val="both"/>
      </w:pPr>
      <w:r>
        <w:rPr>
          <w:rFonts w:ascii="Times New Roman" w:hAnsi="Times New Roman" w:cs="Aptos" w:eastAsia="Aptos"/>
          <w:b w:val="0"/>
          <w:i w:val="0"/>
          <w:color w:val="000000"/>
          <w:sz w:val="24"/>
        </w:rPr>
        <w:t>Page target: 6–8</w:t>
      </w:r>
    </w:p>
    <w:p>
      <w:pPr>
        <w:spacing w:before="180" w:line="480" w:lineRule="auto"/>
        <w:jc w:val="both"/>
      </w:pPr>
      <w:r>
        <w:rPr>
          <w:rFonts w:ascii="Times New Roman" w:hAnsi="Times New Roman" w:cs="Aptos" w:eastAsia="Aptos"/>
          <w:b/>
          <w:i w:val="0"/>
          <w:color w:val="373737"/>
          <w:sz w:val="24"/>
        </w:rPr>
        <w:t>13.1 Debt Stock</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13.2 Arrears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13.3 Debt Sustainability</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13.4 Debt Restructuring</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13.5 Dollarization Interaction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X — HOUSEHOLDS AND SOCIAL IMPACT</w:t>
      </w:r>
    </w:p>
    <w:p>
      <w:pPr>
        <w:spacing w:line="480" w:lineRule="auto"/>
        <w:jc w:val="both"/>
      </w:pPr>
      <w:r>
        <w:rPr>
          <w:rFonts w:ascii="Times New Roman" w:hAnsi="Times New Roman" w:cs="Aptos" w:eastAsia="Aptos"/>
          <w:b w:val="0"/>
          <w:i w:val="0"/>
          <w:color w:val="000000"/>
          <w:sz w:val="24"/>
        </w:rPr>
        <w:t>Page target: 6</w:t>
      </w:r>
    </w:p>
    <w:p>
      <w:pPr>
        <w:spacing w:before="180" w:line="480" w:lineRule="auto"/>
        <w:jc w:val="both"/>
      </w:pPr>
      <w:r>
        <w:rPr>
          <w:rFonts w:ascii="Times New Roman" w:hAnsi="Times New Roman" w:cs="Aptos" w:eastAsia="Aptos"/>
          <w:b/>
          <w:i w:val="0"/>
          <w:color w:val="373737"/>
          <w:sz w:val="24"/>
        </w:rPr>
        <w:t>14.1 Wage Conversion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14.2 Purchasing Power</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14.3 Wage Compression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14.4 Informal Employment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15.1 Pensions and Social Security</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16.1 Poverty and Distribution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XI — BUSINESS AND INVESTMENT</w:t>
      </w:r>
    </w:p>
    <w:p>
      <w:pPr>
        <w:spacing w:line="480" w:lineRule="auto"/>
        <w:jc w:val="both"/>
      </w:pPr>
      <w:r>
        <w:rPr>
          <w:rFonts w:ascii="Times New Roman" w:hAnsi="Times New Roman" w:cs="Aptos" w:eastAsia="Aptos"/>
          <w:b w:val="0"/>
          <w:i w:val="0"/>
          <w:color w:val="000000"/>
          <w:sz w:val="24"/>
        </w:rPr>
        <w:t>Page target: 6–8</w:t>
      </w:r>
    </w:p>
    <w:p>
      <w:pPr>
        <w:spacing w:before="180" w:line="480" w:lineRule="auto"/>
        <w:jc w:val="both"/>
      </w:pPr>
      <w:r>
        <w:rPr>
          <w:rFonts w:ascii="Times New Roman" w:hAnsi="Times New Roman" w:cs="Aptos" w:eastAsia="Aptos"/>
          <w:b/>
          <w:i w:val="0"/>
          <w:color w:val="373737"/>
          <w:sz w:val="24"/>
        </w:rPr>
        <w:t>17.1 SMEs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17.2 Large Companies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17.3 Importers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17.4 Exporters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17.5 Foreign Investment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17.6 Property Markets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17.7 Banking and Fintech</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XII — PRICE STABILITY AND INFLATION</w:t>
      </w:r>
    </w:p>
    <w:p>
      <w:pPr>
        <w:spacing w:line="480" w:lineRule="auto"/>
        <w:jc w:val="both"/>
      </w:pPr>
      <w:r>
        <w:rPr>
          <w:rFonts w:ascii="Times New Roman" w:hAnsi="Times New Roman" w:cs="Aptos" w:eastAsia="Aptos"/>
          <w:b w:val="0"/>
          <w:i w:val="0"/>
          <w:color w:val="000000"/>
          <w:sz w:val="24"/>
        </w:rPr>
        <w:t>Page target: 4–6</w:t>
      </w:r>
    </w:p>
    <w:p>
      <w:pPr>
        <w:spacing w:before="180" w:line="480" w:lineRule="auto"/>
        <w:jc w:val="both"/>
      </w:pPr>
      <w:r>
        <w:rPr>
          <w:rFonts w:ascii="Times New Roman" w:hAnsi="Times New Roman" w:cs="Aptos" w:eastAsia="Aptos"/>
          <w:b/>
          <w:i w:val="0"/>
          <w:color w:val="373737"/>
          <w:sz w:val="24"/>
        </w:rPr>
        <w:t>18.1 Inflation Under Dollarization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XIII — INTERNATIONAL CASE STUDIES</w:t>
      </w:r>
    </w:p>
    <w:p>
      <w:pPr>
        <w:spacing w:line="480" w:lineRule="auto"/>
        <w:jc w:val="both"/>
      </w:pPr>
      <w:r>
        <w:rPr>
          <w:rFonts w:ascii="Times New Roman" w:hAnsi="Times New Roman" w:cs="Aptos" w:eastAsia="Aptos"/>
          <w:b w:val="0"/>
          <w:i w:val="0"/>
          <w:color w:val="000000"/>
          <w:sz w:val="24"/>
        </w:rPr>
        <w:t>Page target: 8</w:t>
      </w:r>
    </w:p>
    <w:p>
      <w:pPr>
        <w:spacing w:before="180" w:line="480" w:lineRule="auto"/>
        <w:jc w:val="both"/>
      </w:pPr>
      <w:r>
        <w:rPr>
          <w:rFonts w:ascii="Times New Roman" w:hAnsi="Times New Roman" w:cs="Aptos" w:eastAsia="Aptos"/>
          <w:b/>
          <w:i w:val="0"/>
          <w:color w:val="373737"/>
          <w:sz w:val="24"/>
        </w:rPr>
        <w:t>19.1 Panama</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20.1 Ecuador</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21.1 El Salvador</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22.1 Zimbabwe</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23.1 Argentina Convertibility</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24.1 Montenegro and Kosovo</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XIV — ECONOMIC SCHOOLS OF THOUGHT</w:t>
      </w:r>
    </w:p>
    <w:p>
      <w:pPr>
        <w:spacing w:line="480" w:lineRule="auto"/>
        <w:jc w:val="both"/>
      </w:pPr>
      <w:r>
        <w:rPr>
          <w:rFonts w:ascii="Times New Roman" w:hAnsi="Times New Roman" w:cs="Aptos" w:eastAsia="Aptos"/>
          <w:b w:val="0"/>
          <w:i w:val="0"/>
          <w:color w:val="000000"/>
          <w:sz w:val="24"/>
        </w:rPr>
        <w:t>Page target: 7</w:t>
      </w:r>
    </w:p>
    <w:p>
      <w:pPr>
        <w:spacing w:before="180" w:line="480" w:lineRule="auto"/>
        <w:jc w:val="both"/>
      </w:pPr>
      <w:r>
        <w:rPr>
          <w:rFonts w:ascii="Times New Roman" w:hAnsi="Times New Roman" w:cs="Aptos" w:eastAsia="Aptos"/>
          <w:b/>
          <w:i w:val="0"/>
          <w:color w:val="373737"/>
          <w:sz w:val="24"/>
        </w:rPr>
        <w:t>25.1 Hanke / Currency-Board Perspective</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26.1 Monetarist Perspective</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27.1 Keynesian Perspective</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28.1 New Keynesian Perspective</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29.1 Austrian Perspective</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30.1 IMF-Style Framework</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31.1 Central-Banker Perspective</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XV — LEGAL AND CONSTITUTIONAL ANALYSIS</w:t>
      </w:r>
    </w:p>
    <w:p>
      <w:pPr>
        <w:spacing w:line="480" w:lineRule="auto"/>
        <w:jc w:val="both"/>
      </w:pPr>
      <w:r>
        <w:rPr>
          <w:rFonts w:ascii="Times New Roman" w:hAnsi="Times New Roman" w:cs="Aptos" w:eastAsia="Aptos"/>
          <w:b w:val="0"/>
          <w:i w:val="0"/>
          <w:color w:val="000000"/>
          <w:sz w:val="24"/>
        </w:rPr>
        <w:t>Page target: 5</w:t>
      </w:r>
    </w:p>
    <w:p>
      <w:pPr>
        <w:spacing w:before="180" w:line="480" w:lineRule="auto"/>
        <w:jc w:val="both"/>
      </w:pPr>
      <w:r>
        <w:rPr>
          <w:rFonts w:ascii="Times New Roman" w:hAnsi="Times New Roman" w:cs="Aptos" w:eastAsia="Aptos"/>
          <w:b/>
          <w:i w:val="0"/>
          <w:color w:val="373737"/>
          <w:sz w:val="24"/>
        </w:rPr>
        <w:t>32.1 Venezuelan Constitutional Framework</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33.1 Central Bank Reform</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34.1 Contract Conversion Law</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XVI — IMPLEMENTATION ARCHITECTURE</w:t>
      </w:r>
    </w:p>
    <w:p>
      <w:pPr>
        <w:spacing w:line="480" w:lineRule="auto"/>
        <w:jc w:val="both"/>
      </w:pPr>
      <w:r>
        <w:rPr>
          <w:rFonts w:ascii="Times New Roman" w:hAnsi="Times New Roman" w:cs="Aptos" w:eastAsia="Aptos"/>
          <w:b w:val="0"/>
          <w:i w:val="0"/>
          <w:color w:val="000000"/>
          <w:sz w:val="24"/>
        </w:rPr>
        <w:t>Page target: 8–10</w:t>
      </w:r>
    </w:p>
    <w:p>
      <w:pPr>
        <w:spacing w:before="180" w:line="480" w:lineRule="auto"/>
        <w:jc w:val="both"/>
      </w:pPr>
      <w:r>
        <w:rPr>
          <w:rFonts w:ascii="Times New Roman" w:hAnsi="Times New Roman" w:cs="Aptos" w:eastAsia="Aptos"/>
          <w:b/>
          <w:i w:val="0"/>
          <w:color w:val="373737"/>
          <w:sz w:val="24"/>
        </w:rPr>
        <w:t>35.1 Dollarization Transition Timeline</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36.1 Conversion Mechanics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37.1 Banking Recapitalization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38.1 Emergency Liquidity Facility</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XVII — QUANTITATIVE MODELS</w:t>
      </w:r>
    </w:p>
    <w:p>
      <w:pPr>
        <w:spacing w:line="480" w:lineRule="auto"/>
        <w:jc w:val="both"/>
      </w:pPr>
      <w:r>
        <w:rPr>
          <w:rFonts w:ascii="Times New Roman" w:hAnsi="Times New Roman" w:cs="Aptos" w:eastAsia="Aptos"/>
          <w:b w:val="0"/>
          <w:i w:val="0"/>
          <w:color w:val="000000"/>
          <w:sz w:val="24"/>
        </w:rPr>
        <w:t>Page target: 10</w:t>
      </w:r>
    </w:p>
    <w:p>
      <w:pPr>
        <w:spacing w:before="180" w:line="480" w:lineRule="auto"/>
        <w:jc w:val="both"/>
      </w:pPr>
      <w:r>
        <w:rPr>
          <w:rFonts w:ascii="Times New Roman" w:hAnsi="Times New Roman" w:cs="Aptos" w:eastAsia="Aptos"/>
          <w:b/>
          <w:i w:val="0"/>
          <w:color w:val="373737"/>
          <w:sz w:val="24"/>
        </w:rPr>
        <w:t>39.1 Baseline Macroeconomic Model</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40.1 DSGE Model</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41.1 Monte Carlo Simulation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42.1 Banking Stress Model</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43.1 System-Dynamics Model</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44.1 Agent-Based Simulation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XVIII — SCENARIOS</w:t>
      </w:r>
    </w:p>
    <w:p>
      <w:pPr>
        <w:spacing w:line="480" w:lineRule="auto"/>
        <w:jc w:val="both"/>
      </w:pPr>
      <w:r>
        <w:rPr>
          <w:rFonts w:ascii="Times New Roman" w:hAnsi="Times New Roman" w:cs="Aptos" w:eastAsia="Aptos"/>
          <w:b w:val="0"/>
          <w:i w:val="0"/>
          <w:color w:val="000000"/>
          <w:sz w:val="24"/>
        </w:rPr>
        <w:t>Page target: 8</w:t>
      </w:r>
    </w:p>
    <w:p>
      <w:pPr>
        <w:spacing w:before="180" w:line="480" w:lineRule="auto"/>
        <w:jc w:val="both"/>
      </w:pPr>
      <w:r>
        <w:rPr>
          <w:rFonts w:ascii="Times New Roman" w:hAnsi="Times New Roman" w:cs="Aptos" w:eastAsia="Aptos"/>
          <w:b/>
          <w:i w:val="0"/>
          <w:color w:val="373737"/>
          <w:sz w:val="24"/>
        </w:rPr>
        <w:t>45.1 Successful Dollarization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46.1 Dollarization + Credit Crunch</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47.1 Banking Crisis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48.1 Oil Shock</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49.1 Dollarization + Massive FDI</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50.1 Dual-Currency Transition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XIX — PROS AND CONS</w:t>
      </w:r>
    </w:p>
    <w:p>
      <w:pPr>
        <w:spacing w:line="480" w:lineRule="auto"/>
        <w:jc w:val="both"/>
      </w:pPr>
      <w:r>
        <w:rPr>
          <w:rFonts w:ascii="Times New Roman" w:hAnsi="Times New Roman" w:cs="Aptos" w:eastAsia="Aptos"/>
          <w:b w:val="0"/>
          <w:i w:val="0"/>
          <w:color w:val="000000"/>
          <w:sz w:val="24"/>
        </w:rPr>
        <w:t>Page target: 4</w:t>
      </w:r>
    </w:p>
    <w:p>
      <w:pPr>
        <w:spacing w:before="180" w:line="480" w:lineRule="auto"/>
        <w:jc w:val="both"/>
      </w:pPr>
      <w:r>
        <w:rPr>
          <w:rFonts w:ascii="Times New Roman" w:hAnsi="Times New Roman" w:cs="Aptos" w:eastAsia="Aptos"/>
          <w:b/>
          <w:i w:val="0"/>
          <w:color w:val="373737"/>
          <w:sz w:val="24"/>
        </w:rPr>
        <w:t>51.1 Potential Advantages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52.1 Potential Disadvantages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XX — POLICY ALTERNATIVES</w:t>
      </w:r>
    </w:p>
    <w:p>
      <w:pPr>
        <w:spacing w:line="480" w:lineRule="auto"/>
        <w:jc w:val="both"/>
      </w:pPr>
      <w:r>
        <w:rPr>
          <w:rFonts w:ascii="Times New Roman" w:hAnsi="Times New Roman" w:cs="Aptos" w:eastAsia="Aptos"/>
          <w:b w:val="0"/>
          <w:i w:val="0"/>
          <w:color w:val="000000"/>
          <w:sz w:val="24"/>
        </w:rPr>
        <w:t>Page target: 8</w:t>
      </w:r>
    </w:p>
    <w:p>
      <w:pPr>
        <w:spacing w:before="180" w:line="480" w:lineRule="auto"/>
        <w:jc w:val="both"/>
      </w:pPr>
      <w:r>
        <w:rPr>
          <w:rFonts w:ascii="Times New Roman" w:hAnsi="Times New Roman" w:cs="Aptos" w:eastAsia="Aptos"/>
          <w:b/>
          <w:i w:val="0"/>
          <w:color w:val="373737"/>
          <w:sz w:val="24"/>
        </w:rPr>
        <w:t>53.1 Full Dollarization</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54.1 Currency Board</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55.1 Managed Float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56.1 Dual Currency</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57.1 Inflation-Targeting Bolívar</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58.1 Commodity-Backed Regime</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59.1 USD/VES Currency Basket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80" w:line="480" w:lineRule="auto"/>
        <w:jc w:val="both"/>
      </w:pPr>
      <w:r>
        <w:rPr>
          <w:rFonts w:ascii="Times New Roman" w:hAnsi="Times New Roman" w:cs="Aptos" w:eastAsia="Aptos"/>
          <w:b/>
          <w:i w:val="0"/>
          <w:color w:val="373737"/>
          <w:sz w:val="24"/>
        </w:rPr>
        <w:t>60.1 Digital Dollar / Tokenized Deposit System</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XXI — POLICY SCORECARD</w:t>
      </w:r>
    </w:p>
    <w:p>
      <w:pPr>
        <w:spacing w:line="480" w:lineRule="auto"/>
        <w:jc w:val="both"/>
      </w:pPr>
      <w:r>
        <w:rPr>
          <w:rFonts w:ascii="Times New Roman" w:hAnsi="Times New Roman" w:cs="Aptos" w:eastAsia="Aptos"/>
          <w:b w:val="0"/>
          <w:i w:val="0"/>
          <w:color w:val="000000"/>
          <w:sz w:val="24"/>
        </w:rPr>
        <w:t>Page target: 4</w:t>
      </w:r>
    </w:p>
    <w:p>
      <w:pPr>
        <w:spacing w:before="180" w:line="480" w:lineRule="auto"/>
        <w:jc w:val="both"/>
      </w:pPr>
      <w:r>
        <w:rPr>
          <w:rFonts w:ascii="Times New Roman" w:hAnsi="Times New Roman" w:cs="Aptos" w:eastAsia="Aptos"/>
          <w:b/>
          <w:i w:val="0"/>
          <w:color w:val="373737"/>
          <w:sz w:val="24"/>
        </w:rPr>
        <w:t>61.1 Weighted Decision Matrix</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XXII — POLICY RECOMMENDATION</w:t>
      </w:r>
    </w:p>
    <w:p>
      <w:pPr>
        <w:spacing w:line="480" w:lineRule="auto"/>
        <w:jc w:val="both"/>
      </w:pPr>
      <w:r>
        <w:rPr>
          <w:rFonts w:ascii="Times New Roman" w:hAnsi="Times New Roman" w:cs="Aptos" w:eastAsia="Aptos"/>
          <w:b w:val="0"/>
          <w:i w:val="0"/>
          <w:color w:val="000000"/>
          <w:sz w:val="24"/>
        </w:rPr>
        <w:t>Page target: 4</w:t>
      </w:r>
    </w:p>
    <w:p>
      <w:pPr>
        <w:spacing w:before="180" w:line="480" w:lineRule="auto"/>
        <w:jc w:val="both"/>
      </w:pPr>
      <w:r>
        <w:rPr>
          <w:rFonts w:ascii="Times New Roman" w:hAnsi="Times New Roman" w:cs="Aptos" w:eastAsia="Aptos"/>
          <w:b/>
          <w:i w:val="0"/>
          <w:color w:val="373737"/>
          <w:sz w:val="24"/>
        </w:rPr>
        <w:t>62.1 Decision Framework</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XXIII — IMPLEMENTATION CHECKLIST</w:t>
      </w:r>
    </w:p>
    <w:p>
      <w:pPr>
        <w:spacing w:line="480" w:lineRule="auto"/>
        <w:jc w:val="both"/>
      </w:pPr>
      <w:r>
        <w:rPr>
          <w:rFonts w:ascii="Times New Roman" w:hAnsi="Times New Roman" w:cs="Aptos" w:eastAsia="Aptos"/>
          <w:b w:val="0"/>
          <w:i w:val="0"/>
          <w:color w:val="000000"/>
          <w:sz w:val="24"/>
        </w:rPr>
        <w:t>Page target: 4</w:t>
      </w:r>
    </w:p>
    <w:p>
      <w:pPr>
        <w:spacing w:before="180" w:line="480" w:lineRule="auto"/>
        <w:jc w:val="both"/>
      </w:pPr>
      <w:r>
        <w:rPr>
          <w:rFonts w:ascii="Times New Roman" w:hAnsi="Times New Roman" w:cs="Aptos" w:eastAsia="Aptos"/>
          <w:b/>
          <w:i w:val="0"/>
          <w:color w:val="373737"/>
          <w:sz w:val="24"/>
        </w:rPr>
        <w:t>63.1 Readiness Dashboard</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320" w:after="140" w:line="480" w:lineRule="auto"/>
        <w:jc w:val="left"/>
      </w:pPr>
      <w:r>
        <w:rPr>
          <w:rFonts w:ascii="Times New Roman" w:hAnsi="Times New Roman" w:cs="Aptos" w:eastAsia="Aptos"/>
          <w:b/>
          <w:i w:val="0"/>
          <w:color w:val="1F4E79"/>
          <w:sz w:val="24"/>
        </w:rPr>
        <w:t>PART XXIV — DATA APPENDIX</w:t>
      </w:r>
    </w:p>
    <w:p>
      <w:pPr>
        <w:spacing w:line="480" w:lineRule="auto"/>
        <w:jc w:val="both"/>
      </w:pPr>
      <w:r>
        <w:rPr>
          <w:rFonts w:ascii="Times New Roman" w:hAnsi="Times New Roman" w:cs="Aptos" w:eastAsia="Aptos"/>
          <w:b w:val="0"/>
          <w:i w:val="0"/>
          <w:color w:val="000000"/>
          <w:sz w:val="24"/>
        </w:rPr>
        <w:t>Page target: 20–40</w:t>
      </w:r>
    </w:p>
    <w:p>
      <w:pPr>
        <w:spacing w:before="160" w:line="480" w:lineRule="auto"/>
        <w:jc w:val="both"/>
      </w:pPr>
      <w:r>
        <w:rPr>
          <w:rFonts w:ascii="Times New Roman" w:hAnsi="Times New Roman" w:cs="Aptos" w:eastAsia="Aptos"/>
          <w:b/>
          <w:i w:val="0"/>
          <w:color w:val="000000"/>
          <w:sz w:val="24"/>
        </w:rPr>
        <w:t>A Monetary Dataset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B FX Dataset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C Banking Dataset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D Fiscal Dataset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E Oil Dataset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F Debt Dataset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G Trade Dataset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H Remittances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I Prices</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160" w:line="480" w:lineRule="auto"/>
        <w:jc w:val="both"/>
      </w:pPr>
      <w:r>
        <w:rPr>
          <w:rFonts w:ascii="Times New Roman" w:hAnsi="Times New Roman" w:cs="Aptos" w:eastAsia="Aptos"/>
          <w:b/>
          <w:i w:val="0"/>
          <w:color w:val="000000"/>
          <w:sz w:val="24"/>
        </w:rPr>
        <w:t>J Employment</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BLOCKED</w:t>
      </w:r>
      <w:r>
        <w:rPr>
          <w:rFonts w:ascii="Times New Roman" w:hAnsi="Times New Roman" w:cs="Aptos" w:eastAsia="Aptos"/>
          <w:b w:val="0"/>
          <w:i w:val="0"/>
          <w:color w:val="000000"/>
          <w:sz w:val="24"/>
        </w:rPr>
        <w:t xml:space="preserve">   Data status: </w:t>
      </w:r>
      <w:r>
        <w:rPr>
          <w:rFonts w:ascii="Times New Roman" w:hAnsi="Times New Roman" w:cs="Aptos" w:eastAsia="Aptos"/>
          <w:b/>
          <w:i w:val="0"/>
          <w:color w:val="000000"/>
          <w:sz w:val="24"/>
        </w:rPr>
        <w:t>UNAVAILABLE</w:t>
      </w:r>
    </w:p>
    <w:p>
      <w:pPr>
        <w:spacing w:line="480" w:lineRule="auto"/>
        <w:jc w:val="both"/>
      </w:pPr>
      <w:r>
        <w:rPr>
          <w:rFonts w:ascii="Times New Roman" w:hAnsi="Times New Roman" w:cs="Aptos" w:eastAsia="Aptos"/>
          <w:b w:val="0"/>
          <w:i w:val="0"/>
          <w:color w:val="000000"/>
          <w:sz w:val="24"/>
        </w:rPr>
        <w:t>BLOCKED — Residual risks remain unresolved after Blue Team response. This section requires source-bound data before a conclusion can be issued.</w:t>
      </w:r>
    </w:p>
    <w:p>
      <w:pPr>
        <w:spacing w:line="480" w:lineRule="auto"/>
        <w:jc w:val="both"/>
      </w:pPr>
      <w:r>
        <w:rPr>
          <w:rFonts w:ascii="Times New Roman" w:hAnsi="Times New Roman" w:cs="Aptos" w:eastAsia="Aptos"/>
          <w:b w:val="0"/>
          <w:i w:val="0"/>
          <w:color w:val="000000"/>
          <w:sz w:val="24"/>
        </w:rPr>
        <w:t>Missing data: GDP and economic composition; real GDP history 1998–2026; productivity and capital stock; labor and informality; monetary regimes and VES/USD official and parallel rates; inflation and hyperinflation; BCV M0/M1/M2 and currency in circulation; bank deposits, loans, reserves, capital, NPLs and FX positions; liquid and gross international reserves with encumbrances; fiscal revenue, expenditure, deficit and monetary financing; oil production, exports, prices, government take and net FX; balance of payments, remittances and capital flight; Republic and PDVSA debt, arrears and restructuring; wages, pensions, poverty and distribution; legal and constitutional authorities; historical comparison data for Panama, Ecuador, El Salvador, Zimbabwe, Argentina, Montenegro and Kosovo</w:t>
      </w:r>
    </w:p>
    <w:p>
      <w:pPr>
        <w:spacing w:before="240" w:line="480" w:lineRule="auto"/>
        <w:jc w:val="both"/>
      </w:pPr>
      <w:r>
        <w:rPr>
          <w:rFonts w:ascii="Times New Roman" w:hAnsi="Times New Roman" w:cs="Aptos" w:eastAsia="Aptos"/>
          <w:b/>
          <w:i w:val="0"/>
          <w:color w:val="000000"/>
          <w:sz w:val="24"/>
        </w:rPr>
        <w:t>GATE STATUS</w:t>
      </w:r>
    </w:p>
    <w:tbl>
      <w:tblPr>
        <w:tblStyle w:val="TableGrid"/>
        <w:tblW w:type="auto" w:w="0"/>
        <w:jc w:val="center"/>
        <w:tblLook w:firstColumn="1" w:firstRow="1" w:lastColumn="0" w:lastRow="0" w:noHBand="0" w:noVBand="1" w:val="04A0"/>
      </w:tblPr>
      <w:tblGrid>
        <w:gridCol w:w="1878"/>
        <w:gridCol w:w="1878"/>
        <w:gridCol w:w="1878"/>
        <w:gridCol w:w="1878"/>
        <w:gridCol w:w="1878"/>
      </w:tblGrid>
      <w:tr>
        <w:trPr>
          <w:tblHeader w:val="true"/>
        </w:trPr>
        <w:tc>
          <w:tcPr>
            <w:tcW w:type="dxa" w:w="1878"/>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Gate</w:t>
            </w:r>
          </w:p>
        </w:tc>
        <w:tc>
          <w:tcPr>
            <w:tcW w:type="dxa" w:w="1878"/>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Status</w:t>
            </w:r>
          </w:p>
        </w:tc>
        <w:tc>
          <w:tcPr>
            <w:tcW w:type="dxa" w:w="1878"/>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Owner</w:t>
            </w:r>
          </w:p>
        </w:tc>
        <w:tc>
          <w:tcPr>
            <w:tcW w:type="dxa" w:w="1878"/>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Evidence</w:t>
            </w:r>
          </w:p>
        </w:tc>
        <w:tc>
          <w:tcPr>
            <w:tcW w:type="dxa" w:w="1878"/>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Reason</w:t>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intake-ready</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PASS</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haeis-executor</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DOC-VEN-UNDP-Q3-2025, DOC-VEN-CEDICE-DEC-2024, DOC-VEN-BANESCO-H1-2025</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citations-verified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PASS</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haeis-executor</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DOC-VEN-UNDP-Q3-2025, DOC-VEN-CEDICE-DEC-2024, DOC-VEN-BANESCO-H1-2025</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calculations-reproduced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PASS</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haeis-executor</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DOC-VEN-UNDP-Q3-2025</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critical-data-reconciled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PASS</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haeis-executor</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DOC-VEN-UNDP-Q3-2025, DOC-VEN-CEDICE-DEC-2024, DOC-VEN-BANESCO-H1-2025</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red-blue-red-complete</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BLOCKED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second-red-team</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DOC-VEN-UNDP-Q3-2025</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Residual risks remain unresolved after Blue Team response.</w:t>
            </w:r>
          </w:p>
        </w:tc>
      </w:tr>
      <w:tr>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chief-approved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BLOCKED</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haeis-executor</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none</w:t>
            </w:r>
          </w:p>
        </w:tc>
        <w:tc>
          <w:tcPr>
            <w:tcW w:type="dxa" w:w="1878"/>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Chief arbitration BLOCKED — Red/Blue/Red II gate is not passed.</w:t>
            </w:r>
          </w:p>
        </w:tc>
      </w:tr>
    </w:tbl>
    <w:p/>
    <w:p>
      <w:pPr>
        <w:spacing w:before="240" w:line="480" w:lineRule="auto"/>
        <w:jc w:val="both"/>
      </w:pPr>
      <w:r>
        <w:rPr>
          <w:rFonts w:ascii="Times New Roman" w:hAnsi="Times New Roman" w:cs="Aptos" w:eastAsia="Aptos"/>
          <w:b/>
          <w:i w:val="0"/>
          <w:color w:val="000000"/>
          <w:sz w:val="24"/>
        </w:rPr>
        <w:t>DOLLARIZATION READINESS INDEX</w:t>
      </w:r>
    </w:p>
    <w:p>
      <w:pPr>
        <w:spacing w:line="480" w:lineRule="auto"/>
        <w:jc w:val="both"/>
      </w:pPr>
      <w:r>
        <w:rPr>
          <w:rFonts w:ascii="Times New Roman" w:hAnsi="Times New Roman" w:cs="Aptos" w:eastAsia="Aptos"/>
          <w:b w:val="0"/>
          <w:i w:val="0"/>
          <w:color w:val="000000"/>
          <w:sz w:val="24"/>
        </w:rPr>
        <w:t xml:space="preserve">Status: </w:t>
      </w:r>
      <w:r>
        <w:rPr>
          <w:rFonts w:ascii="Times New Roman" w:hAnsi="Times New Roman" w:cs="Aptos" w:eastAsia="Aptos"/>
          <w:b/>
          <w:i w:val="0"/>
          <w:color w:val="000000"/>
          <w:sz w:val="24"/>
        </w:rPr>
        <w:t>DATA_INSUFFICIENT</w:t>
      </w:r>
      <w:r>
        <w:rPr>
          <w:rFonts w:ascii="Times New Roman" w:hAnsi="Times New Roman" w:cs="Aptos" w:eastAsia="Aptos"/>
          <w:b w:val="0"/>
          <w:i w:val="0"/>
          <w:color w:val="000000"/>
          <w:sz w:val="24"/>
        </w:rPr>
        <w:t xml:space="preserve"> Score: </w:t>
      </w:r>
      <w:r>
        <w:rPr>
          <w:rFonts w:ascii="Times New Roman" w:hAnsi="Times New Roman" w:cs="Aptos" w:eastAsia="Aptos"/>
          <w:b/>
          <w:i w:val="0"/>
          <w:color w:val="000000"/>
          <w:sz w:val="24"/>
        </w:rPr>
        <w:t>DATA INSUFFICIENT</w:t>
      </w:r>
      <w:r>
        <w:rPr>
          <w:rFonts w:ascii="Times New Roman" w:hAnsi="Times New Roman" w:cs="Aptos" w:eastAsia="Aptos"/>
          <w:b w:val="0"/>
          <w:i w:val="0"/>
          <w:color w:val="000000"/>
          <w:sz w:val="24"/>
        </w:rPr>
        <w:t xml:space="preserve"> Band: </w:t>
      </w:r>
      <w:r>
        <w:rPr>
          <w:rFonts w:ascii="Times New Roman" w:hAnsi="Times New Roman" w:cs="Aptos" w:eastAsia="Aptos"/>
          <w:b/>
          <w:i w:val="0"/>
          <w:color w:val="000000"/>
          <w:sz w:val="24"/>
        </w:rPr>
        <w:t>DATA INSUFFICIENT</w:t>
      </w:r>
      <w:r>
        <w:rPr>
          <w:rFonts w:ascii="Times New Roman" w:hAnsi="Times New Roman" w:cs="Aptos" w:eastAsia="Aptos"/>
          <w:b w:val="0"/>
          <w:i w:val="0"/>
          <w:color w:val="000000"/>
          <w:sz w:val="24"/>
        </w:rPr>
        <w:t xml:space="preserve"> Blockers: missing readiness pillar: MONETARY; missing readiness pillar: BANKING; missing readiness pillar: FISCAL; missing readiness pillar: RESERVES; missing readiness pillar: EXTERNAL; missing readiness pillar: DEBT; missing readiness pillar: LEGAL; missing readiness pillar: INSTITUTIONAL; missing readiness pillar: SOCIAL</w:t>
      </w:r>
    </w:p>
    <w:p>
      <w:pPr>
        <w:spacing w:before="240" w:line="480" w:lineRule="auto"/>
        <w:jc w:val="both"/>
      </w:pPr>
      <w:r>
        <w:rPr>
          <w:rFonts w:ascii="Times New Roman" w:hAnsi="Times New Roman" w:cs="Aptos" w:eastAsia="Aptos"/>
          <w:b/>
          <w:i w:val="0"/>
          <w:color w:val="000000"/>
          <w:sz w:val="24"/>
        </w:rPr>
        <w:t>DATA COMPLETENESS DASHBOARD</w:t>
      </w:r>
    </w:p>
    <w:tbl>
      <w:tblPr>
        <w:tblStyle w:val="TableGrid"/>
        <w:tblW w:type="auto" w:w="0"/>
        <w:jc w:val="center"/>
        <w:tblLook w:firstColumn="1" w:firstRow="1" w:lastColumn="0" w:lastRow="0" w:noHBand="0" w:noVBand="1" w:val="04A0"/>
      </w:tblPr>
      <w:tblGrid>
        <w:gridCol w:w="1174"/>
        <w:gridCol w:w="1174"/>
        <w:gridCol w:w="1174"/>
        <w:gridCol w:w="1174"/>
        <w:gridCol w:w="1174"/>
        <w:gridCol w:w="1174"/>
        <w:gridCol w:w="1174"/>
        <w:gridCol w:w="1174"/>
      </w:tblGrid>
      <w:tr>
        <w:trPr>
          <w:tblHeader w:val="true"/>
        </w:trPr>
        <w:tc>
          <w:tcPr>
            <w:tcW w:type="dxa" w:w="117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Variable/domain</w:t>
            </w:r>
          </w:p>
        </w:tc>
        <w:tc>
          <w:tcPr>
            <w:tcW w:type="dxa" w:w="117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Coverage</w:t>
            </w:r>
          </w:p>
        </w:tc>
        <w:tc>
          <w:tcPr>
            <w:tcW w:type="dxa" w:w="117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Observed</w:t>
            </w:r>
          </w:p>
        </w:tc>
        <w:tc>
          <w:tcPr>
            <w:tcW w:type="dxa" w:w="117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Missing</w:t>
            </w:r>
          </w:p>
        </w:tc>
        <w:tc>
          <w:tcPr>
            <w:tcW w:type="dxa" w:w="117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Latest</w:t>
            </w:r>
          </w:p>
        </w:tc>
        <w:tc>
          <w:tcPr>
            <w:tcW w:type="dxa" w:w="117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Sources</w:t>
            </w:r>
          </w:p>
        </w:tc>
        <w:tc>
          <w:tcPr>
            <w:tcW w:type="dxa" w:w="117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Confidence</w:t>
            </w:r>
          </w:p>
        </w:tc>
        <w:tc>
          <w:tcPr>
            <w:tcW w:type="dxa" w:w="1174"/>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Quality</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nominal_GDP_USD</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66</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2025-12-31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0.75</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YELLOW</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real_GDP_growth</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65</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2025-12-31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0.75</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YELLOW</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CPI_inflation</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8</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2016-12-31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0.75</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GDP_per_capita_USD</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oil_rents_percent_GDP</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monetary_base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239</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2016-05-31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0.6999999999999988</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M2</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M3</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currency_in_circulation</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153</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2014-08-31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0.7000000000000018</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currency_outside_depository_corporations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153</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2014-08-31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0.7000000000000018</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broad_money</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153</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2014-08-31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0.7000000000000018</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central_bank_net_foreign_assets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153</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2014-08-31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0.7000000000000018</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central_bank_net_claims_on_government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153</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2014-08-31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0.7000000000000018</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central_bank_claims_private_sector</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153</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2014-08-31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0.7000000000000018</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central_bank_claims_nonresidents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153</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2014-08-31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0.7000000000000018</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bank_reserves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required_reserves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excess_reserves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central_bank_credit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monetary_financing</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central_bank_assets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central_bank_liabilities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official_USD_VES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parallel_USD_VES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effective_exchange_rate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REER</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NEER</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FX_market_volume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FX_interventions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exchange_rate_spread</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currency_substitution_ratio</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total_assets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total_liabilities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capital</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risk_weighted_assets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deposits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VES_deposits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FX_deposits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loans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historical_MFS_ODC_claims_private_sector</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169</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2015-12-31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0.700000000000002</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historical_MFS_ODC_claims_central_bank</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169</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2015-12-31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0.700000000000002</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historical_MFS_ODC_transferable_deposits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169</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2015-12-31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0.700000000000002</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historical_MFS_ODC_other_deposits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169</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2015-12-31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0.700000000000002</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historical_MFS_ODC_loans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169</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2015-12-31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0.700000000000002</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historical_MFS_ODC_net_claims_government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169</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2015-12-31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0.700000000000002</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commercial_loans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consumer_loans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mortgages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government_exposure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NPL_ratio</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provisions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liquidity</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reserve_requirements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ROA</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ROE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net_interest_margin</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loan_to_deposit_ratio</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deposit_concentration</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gross_international_reserves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liquid_reserves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gold_reserves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SDRs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IMF_reserve_position</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foreign_securities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bank_deposits_abroad</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encumbered_reserves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unencumbered_reserves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central_government_revenue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oil_revenue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non_oil_revenue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VAT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income_tax</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customs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royalties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public_payroll</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pensions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transfers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subsidies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capital_expenditure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interest_expenditure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primary_balance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overall_fiscal_balance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monetary_financing</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production</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exports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domestic_consumption</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realized_export_price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benchmark_prices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lifting_costs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transport_costs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JV_obligations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royalties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taxes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PDVSA_capex</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rig_count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refinery_utilization</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export_destinations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exports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imports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trade_balance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services_balance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current_account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capital_account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FDI</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portfolio_flows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remittances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remittances_received_USD</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100%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32</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2016-12-31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0.75</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ORANGE</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capital_flight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external_debt_service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Republic_bonds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PDVSA_bonds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bilateral_obligations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China_claims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Russia_claims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multilateral_debt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arbitration_awards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commercial_claims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arrears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interest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maturity_profile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average_household_income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median_income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minimum_wage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public_wage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private_wage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pensions</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food_basket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poverty</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extreme_poverty</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USD_income_share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VES_income_share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remittance_dependence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employment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unemployment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underemployment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labor_force_participation</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informality</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public_employment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private_employment</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r>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migration</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1</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0</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UNAVAILABLE</w:t>
            </w:r>
          </w:p>
        </w:tc>
        <w:tc>
          <w:tcPr>
            <w:tcW w:type="dxa" w:w="1174"/>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RED</w:t>
            </w:r>
          </w:p>
        </w:tc>
      </w:tr>
    </w:tbl>
    <w:p/>
    <w:p>
      <w:pPr>
        <w:spacing w:before="240" w:line="480" w:lineRule="auto"/>
        <w:jc w:val="both"/>
      </w:pPr>
      <w:r>
        <w:rPr>
          <w:rFonts w:ascii="Times New Roman" w:hAnsi="Times New Roman" w:cs="Aptos" w:eastAsia="Aptos"/>
          <w:b/>
          <w:i w:val="0"/>
          <w:color w:val="000000"/>
          <w:sz w:val="24"/>
        </w:rPr>
        <w:t>EVIDENCE TABLE</w:t>
      </w:r>
    </w:p>
    <w:tbl>
      <w:tblPr>
        <w:tblStyle w:val="TableGrid"/>
        <w:tblW w:type="auto" w:w="0"/>
        <w:jc w:val="center"/>
        <w:tblLook w:firstColumn="1" w:firstRow="1" w:lastColumn="0" w:lastRow="0" w:noHBand="0" w:noVBand="1" w:val="04A0"/>
      </w:tblPr>
      <w:tblGrid>
        <w:gridCol w:w="1341"/>
        <w:gridCol w:w="1341"/>
        <w:gridCol w:w="1341"/>
        <w:gridCol w:w="1341"/>
        <w:gridCol w:w="1341"/>
        <w:gridCol w:w="1341"/>
        <w:gridCol w:w="1341"/>
      </w:tblGrid>
      <w:tr>
        <w:trPr>
          <w:tblHeader w:val="true"/>
        </w:trPr>
        <w:tc>
          <w:tcPr>
            <w:tcW w:type="dxa" w:w="1341"/>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Claim ID</w:t>
            </w:r>
          </w:p>
        </w:tc>
        <w:tc>
          <w:tcPr>
            <w:tcW w:type="dxa" w:w="1341"/>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Claim</w:t>
            </w:r>
          </w:p>
        </w:tc>
        <w:tc>
          <w:tcPr>
            <w:tcW w:type="dxa" w:w="1341"/>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Supporting</w:t>
            </w:r>
          </w:p>
        </w:tc>
        <w:tc>
          <w:tcPr>
            <w:tcW w:type="dxa" w:w="1341"/>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Contradicting</w:t>
            </w:r>
          </w:p>
        </w:tc>
        <w:tc>
          <w:tcPr>
            <w:tcW w:type="dxa" w:w="1341"/>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Confidence</w:t>
            </w:r>
          </w:p>
        </w:tc>
        <w:tc>
          <w:tcPr>
            <w:tcW w:type="dxa" w:w="1341"/>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Assessment</w:t>
            </w:r>
          </w:p>
        </w:tc>
        <w:tc>
          <w:tcPr>
            <w:tcW w:type="dxa" w:w="1341"/>
            <w:tcBorders>
              <w:top w:val="single" w:sz="4" w:color="000000"/>
              <w:left w:val="single" w:sz="4" w:color="000000"/>
              <w:bottom w:val="single" w:sz="4" w:color="000000"/>
              <w:right w:val="single" w:sz="4" w:color="000000"/>
            </w:tcBorders>
            <w:vAlign w:val="center"/>
            <w:shd w:fill="D9EAF7"/>
          </w:tcPr>
          <w:p>
            <w:pPr>
              <w:spacing w:after="40" w:line="240" w:lineRule="auto"/>
            </w:pPr>
            <w:r>
              <w:rPr>
                <w:rFonts w:ascii="Times New Roman" w:hAnsi="Times New Roman" w:cs="Aptos" w:eastAsia="Aptos"/>
                <w:b/>
                <w:sz w:val="20"/>
              </w:rPr>
            </w:r>
            <w:r>
              <w:rPr>
                <w:rFonts w:ascii="Times New Roman" w:hAnsi="Times New Roman" w:cs="Aptos" w:eastAsia="Aptos"/>
                <w:b/>
                <w:i w:val="0"/>
                <w:color w:val="000000"/>
                <w:sz w:val="20"/>
              </w:rPr>
              <w:t>Uncertainty</w:t>
            </w:r>
          </w:p>
        </w:tc>
      </w:tr>
      <w:tr>
        <w:tc>
          <w:tcPr>
            <w:tcW w:type="dxa" w:w="1341"/>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EVIDENCE-STATUS-001</w:t>
            </w:r>
          </w:p>
        </w:tc>
        <w:tc>
          <w:tcPr>
            <w:tcW w:type="dxa" w:w="1341"/>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The current evidence bundle is not recommendation-grade.</w:t>
            </w:r>
          </w:p>
        </w:tc>
        <w:tc>
          <w:tcPr>
            <w:tcW w:type="dxa" w:w="1341"/>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none</w:t>
            </w:r>
          </w:p>
        </w:tc>
        <w:tc>
          <w:tcPr>
            <w:tcW w:type="dxa" w:w="1341"/>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none</w:t>
            </w:r>
          </w:p>
        </w:tc>
        <w:tc>
          <w:tcPr>
            <w:tcW w:type="dxa" w:w="1341"/>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UNRESOLVED</w:t>
            </w:r>
          </w:p>
        </w:tc>
        <w:tc>
          <w:tcPr>
            <w:tcW w:type="dxa" w:w="1341"/>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UNRESOLVED</w:t>
            </w:r>
          </w:p>
        </w:tc>
        <w:tc>
          <w:tcPr>
            <w:tcW w:type="dxa" w:w="1341"/>
            <w:tcBorders>
              <w:top w:val="single" w:sz="4" w:color="000000"/>
              <w:left w:val="single" w:sz="4" w:color="000000"/>
              <w:bottom w:val="single" w:sz="4" w:color="000000"/>
              <w:right w:val="single" w:sz="4" w:color="000000"/>
            </w:tcBorders>
            <w:vAlign w:val="center"/>
          </w:tcPr>
          <w:p>
            <w:pPr>
              <w:spacing w:after="40" w:line="240" w:lineRule="auto"/>
            </w:pPr>
            <w:r>
              <w:rPr>
                <w:rFonts w:ascii="Times New Roman" w:hAnsi="Times New Roman" w:cs="Aptos" w:eastAsia="Aptos"/>
                <w:b w:val="0"/>
                <w:sz w:val="20"/>
              </w:rPr>
            </w:r>
            <w:r>
              <w:rPr>
                <w:rFonts w:ascii="Times New Roman" w:hAnsi="Times New Roman" w:cs="Aptos" w:eastAsia="Aptos"/>
                <w:b w:val="0"/>
                <w:i w:val="0"/>
                <w:color w:val="000000"/>
                <w:sz w:val="20"/>
              </w:rPr>
              <w:t>Residual risks remain unresolved after Blue Team response.</w:t>
            </w:r>
          </w:p>
        </w:tc>
      </w:tr>
    </w:tbl>
    <w:p/>
    <w:p>
      <w:pPr>
        <w:spacing w:before="240" w:line="480" w:lineRule="auto"/>
        <w:jc w:val="both"/>
      </w:pPr>
      <w:r>
        <w:rPr>
          <w:rFonts w:ascii="Times New Roman" w:hAnsi="Times New Roman" w:cs="Aptos" w:eastAsia="Aptos"/>
          <w:b/>
          <w:i w:val="0"/>
          <w:color w:val="000000"/>
          <w:sz w:val="24"/>
        </w:rPr>
        <w:t>REQUIRED FORMULAS</w:t>
      </w:r>
    </w:p>
    <w:p>
      <w:pPr>
        <w:pStyle w:val="ListBullet"/>
        <w:spacing w:line="480" w:lineRule="auto"/>
        <w:jc w:val="both"/>
      </w:pPr>
      <w:r>
        <w:rPr>
          <w:rFonts w:ascii="Times New Roman" w:hAnsi="Times New Roman" w:cs="Aptos" w:eastAsia="Aptos"/>
          <w:b/>
          <w:i w:val="0"/>
          <w:color w:val="000000"/>
          <w:sz w:val="24"/>
        </w:rPr>
        <w:t>USD_required = monetary_base_VES / conversion_rate</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M1 = currency + demand_deposits</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M2 = M1 + savings + time_deposits</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reserve_coverage = liquid_FX_reserves / dollarization_requirement</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capital_adequacy = regulatory_capital / risk_weighted_assets</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FX_conversion_gap = USD_liabilities - USD_assets</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liquidity_coverage = HQLA / 30-day_net_outflows</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fiscal_balance = revenue - expenditure</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seigniorage ≈ change_in_monetary_base / price_level</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net_oil_FX = gross_oil_revenue - imports - operating_costs - debt_payments</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debt_to_GDP</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interest_to_revenue</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annual_pension_cost = pensioners × monthly_pension × 12</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inflation = monetary + supply + imported + fiscal + structural</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M × V = P × Y</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inflation_yoy</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inflation_mom</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real_interest_rate</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real_wage_growth</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money_velocity</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monetization_ratio</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M2_to_GDP</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credit_to_GDP</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deposit_to_GDP</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loan_to_deposit</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reserves_to_imports</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reserves_to_M0</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reserves_to_M1</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reserves_to_M2</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debt_to_GDP</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debt_to_revenue</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interest_to_revenue</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fiscal_deficit_to_GDP</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oil_revenue_to_GDP</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oil_revenue_to_fiscal_revenue</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current_account_to_GDP</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remittances_to_GDP</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FDI_to_GDP</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bank_capital_to_assets</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NPL_ratio</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liquid_assets_to_deposits</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dollarization_ratio</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currency_substitution</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physical_cash_requirement</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bank_reserve_requirement</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liquidity_stabilization_fund</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deposit_insurance_reserve</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bank_recapitalization_requirement</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government_operating_cash_buffer</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total_dollarization_financing_package</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fair_value_conversion_rate_low</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fair_value_conversion_rate_base</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fair_value_conversion_rate_high</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post_conversion_capital_ratio</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post_conversion_FX_mismatch</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post_conversion_liquidity_ratio</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post_conversion_solvency_ratio</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bank_run_liquid_assets_exhausted</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bank_run_emergency_liquidity_needed</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credit_contraction</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credit_to_GDP_elasticity</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lender_of_last_resort_buffer</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required_tax_adjustment</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required_spending_adjustment</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required_external_financing</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required_oil_revenue</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pension_annual_cost</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public_sector_wage_cost</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gross_oil_revenue</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usable_sovereign_FX_inflow</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oil_break_even_price_production</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net_domestic_USD_liquidity</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capital_flight_liquidity_effect</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FDI_liquidity_effect</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gross_financing_need</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external_debt_service</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inflation_pass_through</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REER_misalignment</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household_purchasing_power_change</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corporate_FX_exposure</w:t>
      </w:r>
      <w:r>
        <w:rPr>
          <w:rFonts w:ascii="Times New Roman" w:hAnsi="Times New Roman" w:cs="Aptos" w:eastAsia="Aptos"/>
          <w:b w:val="0"/>
          <w:i w:val="0"/>
          <w:color w:val="000000"/>
          <w:sz w:val="24"/>
        </w:rPr>
        <w:t xml:space="preserve"> — BLOCKED. Not executed because required inputs or gates are blocked; no value is inferred.</w:t>
      </w:r>
    </w:p>
    <w:p>
      <w:pPr>
        <w:pStyle w:val="ListBullet"/>
        <w:spacing w:line="480" w:lineRule="auto"/>
        <w:jc w:val="both"/>
      </w:pPr>
      <w:r>
        <w:rPr>
          <w:rFonts w:ascii="Times New Roman" w:hAnsi="Times New Roman" w:cs="Aptos" w:eastAsia="Aptos"/>
          <w:b/>
          <w:i w:val="0"/>
          <w:color w:val="000000"/>
          <w:sz w:val="24"/>
        </w:rPr>
        <w:t>model_implied_policy_success_probability</w:t>
      </w:r>
      <w:r>
        <w:rPr>
          <w:rFonts w:ascii="Times New Roman" w:hAnsi="Times New Roman" w:cs="Aptos" w:eastAsia="Aptos"/>
          <w:b w:val="0"/>
          <w:i w:val="0"/>
          <w:color w:val="000000"/>
          <w:sz w:val="24"/>
        </w:rPr>
        <w:t xml:space="preserve"> — BLOCKED. Not executed because required inputs or gates are blocked; no value is inferred.</w:t>
      </w:r>
    </w:p>
    <w:p>
      <w:pPr>
        <w:spacing w:before="240" w:line="480" w:lineRule="auto"/>
        <w:jc w:val="both"/>
      </w:pPr>
      <w:r>
        <w:rPr>
          <w:rFonts w:ascii="Times New Roman" w:hAnsi="Times New Roman" w:cs="Aptos" w:eastAsia="Aptos"/>
          <w:b/>
          <w:i w:val="0"/>
          <w:color w:val="000000"/>
          <w:sz w:val="24"/>
        </w:rPr>
        <w:t>REQUIRED CHARTS</w:t>
      </w:r>
    </w:p>
    <w:p>
      <w:pPr>
        <w:pStyle w:val="ListBullet"/>
        <w:spacing w:line="480" w:lineRule="auto"/>
        <w:jc w:val="both"/>
      </w:pPr>
      <w:r>
        <w:rPr>
          <w:rFonts w:ascii="Times New Roman" w:hAnsi="Times New Roman" w:cs="Aptos" w:eastAsia="Aptos"/>
          <w:b/>
          <w:i w:val="0"/>
          <w:color w:val="000000"/>
          <w:sz w:val="24"/>
        </w:rPr>
        <w:t>Real GDP</w:t>
      </w:r>
      <w:r>
        <w:rPr>
          <w:rFonts w:ascii="Times New Roman" w:hAnsi="Times New Roman" w:cs="Aptos" w:eastAsia="Aptos"/>
          <w:b w:val="0"/>
          <w:i w:val="0"/>
          <w:color w:val="000000"/>
          <w:sz w:val="24"/>
        </w:rPr>
        <w:t xml:space="preserve"> — UNAVAILABLE. CHART-001: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Nominal GDP</w:t>
      </w:r>
      <w:r>
        <w:rPr>
          <w:rFonts w:ascii="Times New Roman" w:hAnsi="Times New Roman" w:cs="Aptos" w:eastAsia="Aptos"/>
          <w:b w:val="0"/>
          <w:i w:val="0"/>
          <w:color w:val="000000"/>
          <w:sz w:val="24"/>
        </w:rPr>
        <w:t xml:space="preserve"> — UNAVAILABLE. CHART-002: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GDP per capita</w:t>
      </w:r>
      <w:r>
        <w:rPr>
          <w:rFonts w:ascii="Times New Roman" w:hAnsi="Times New Roman" w:cs="Aptos" w:eastAsia="Aptos"/>
          <w:b w:val="0"/>
          <w:i w:val="0"/>
          <w:color w:val="000000"/>
          <w:sz w:val="24"/>
        </w:rPr>
        <w:t xml:space="preserve"> — UNAVAILABLE. CHART-003: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Annual GDP growth</w:t>
      </w:r>
      <w:r>
        <w:rPr>
          <w:rFonts w:ascii="Times New Roman" w:hAnsi="Times New Roman" w:cs="Aptos" w:eastAsia="Aptos"/>
          <w:b w:val="0"/>
          <w:i w:val="0"/>
          <w:color w:val="000000"/>
          <w:sz w:val="24"/>
        </w:rPr>
        <w:t xml:space="preserve"> — UNAVAILABLE. CHART-004: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GDP indexed to 1998=100</w:t>
      </w:r>
      <w:r>
        <w:rPr>
          <w:rFonts w:ascii="Times New Roman" w:hAnsi="Times New Roman" w:cs="Aptos" w:eastAsia="Aptos"/>
          <w:b w:val="0"/>
          <w:i w:val="0"/>
          <w:color w:val="000000"/>
          <w:sz w:val="24"/>
        </w:rPr>
        <w:t xml:space="preserve"> — UNAVAILABLE. CHART-005: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Oil vs non-oil GDP</w:t>
      </w:r>
      <w:r>
        <w:rPr>
          <w:rFonts w:ascii="Times New Roman" w:hAnsi="Times New Roman" w:cs="Aptos" w:eastAsia="Aptos"/>
          <w:b w:val="0"/>
          <w:i w:val="0"/>
          <w:color w:val="000000"/>
          <w:sz w:val="24"/>
        </w:rPr>
        <w:t xml:space="preserve"> — UNAVAILABLE. CHART-006: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Sector composition</w:t>
      </w:r>
      <w:r>
        <w:rPr>
          <w:rFonts w:ascii="Times New Roman" w:hAnsi="Times New Roman" w:cs="Aptos" w:eastAsia="Aptos"/>
          <w:b w:val="0"/>
          <w:i w:val="0"/>
          <w:color w:val="000000"/>
          <w:sz w:val="24"/>
        </w:rPr>
        <w:t xml:space="preserve"> — UNAVAILABLE. CHART-007: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Investment/GDP</w:t>
      </w:r>
      <w:r>
        <w:rPr>
          <w:rFonts w:ascii="Times New Roman" w:hAnsi="Times New Roman" w:cs="Aptos" w:eastAsia="Aptos"/>
          <w:b w:val="0"/>
          <w:i w:val="0"/>
          <w:color w:val="000000"/>
          <w:sz w:val="24"/>
        </w:rPr>
        <w:t xml:space="preserve"> — UNAVAILABLE. CHART-008: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Consumption/GDP</w:t>
      </w:r>
      <w:r>
        <w:rPr>
          <w:rFonts w:ascii="Times New Roman" w:hAnsi="Times New Roman" w:cs="Aptos" w:eastAsia="Aptos"/>
          <w:b w:val="0"/>
          <w:i w:val="0"/>
          <w:color w:val="000000"/>
          <w:sz w:val="24"/>
        </w:rPr>
        <w:t xml:space="preserve"> — UNAVAILABLE. CHART-009: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Government expenditure/GDP</w:t>
      </w:r>
      <w:r>
        <w:rPr>
          <w:rFonts w:ascii="Times New Roman" w:hAnsi="Times New Roman" w:cs="Aptos" w:eastAsia="Aptos"/>
          <w:b w:val="0"/>
          <w:i w:val="0"/>
          <w:color w:val="000000"/>
          <w:sz w:val="24"/>
        </w:rPr>
        <w:t xml:space="preserve"> — UNAVAILABLE. CHART-010: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CPI level</w:t>
      </w:r>
      <w:r>
        <w:rPr>
          <w:rFonts w:ascii="Times New Roman" w:hAnsi="Times New Roman" w:cs="Aptos" w:eastAsia="Aptos"/>
          <w:b w:val="0"/>
          <w:i w:val="0"/>
          <w:color w:val="000000"/>
          <w:sz w:val="24"/>
        </w:rPr>
        <w:t xml:space="preserve"> — UNAVAILABLE. CHART-011: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CPI YoY</w:t>
      </w:r>
      <w:r>
        <w:rPr>
          <w:rFonts w:ascii="Times New Roman" w:hAnsi="Times New Roman" w:cs="Aptos" w:eastAsia="Aptos"/>
          <w:b w:val="0"/>
          <w:i w:val="0"/>
          <w:color w:val="000000"/>
          <w:sz w:val="24"/>
        </w:rPr>
        <w:t xml:space="preserve"> — UNAVAILABLE. CHART-012: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CPI MoM</w:t>
      </w:r>
      <w:r>
        <w:rPr>
          <w:rFonts w:ascii="Times New Roman" w:hAnsi="Times New Roman" w:cs="Aptos" w:eastAsia="Aptos"/>
          <w:b w:val="0"/>
          <w:i w:val="0"/>
          <w:color w:val="000000"/>
          <w:sz w:val="24"/>
        </w:rPr>
        <w:t xml:space="preserve"> — UNAVAILABLE. CHART-013: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Cumulative inflation</w:t>
      </w:r>
      <w:r>
        <w:rPr>
          <w:rFonts w:ascii="Times New Roman" w:hAnsi="Times New Roman" w:cs="Aptos" w:eastAsia="Aptos"/>
          <w:b w:val="0"/>
          <w:i w:val="0"/>
          <w:color w:val="000000"/>
          <w:sz w:val="24"/>
        </w:rPr>
        <w:t xml:space="preserve"> — UNAVAILABLE. CHART-014: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Food inflation</w:t>
      </w:r>
      <w:r>
        <w:rPr>
          <w:rFonts w:ascii="Times New Roman" w:hAnsi="Times New Roman" w:cs="Aptos" w:eastAsia="Aptos"/>
          <w:b w:val="0"/>
          <w:i w:val="0"/>
          <w:color w:val="000000"/>
          <w:sz w:val="24"/>
        </w:rPr>
        <w:t xml:space="preserve"> — UNAVAILABLE. CHART-015: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Housing inflation</w:t>
      </w:r>
      <w:r>
        <w:rPr>
          <w:rFonts w:ascii="Times New Roman" w:hAnsi="Times New Roman" w:cs="Aptos" w:eastAsia="Aptos"/>
          <w:b w:val="0"/>
          <w:i w:val="0"/>
          <w:color w:val="000000"/>
          <w:sz w:val="24"/>
        </w:rPr>
        <w:t xml:space="preserve"> — UNAVAILABLE. CHART-016: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Transport inflation</w:t>
      </w:r>
      <w:r>
        <w:rPr>
          <w:rFonts w:ascii="Times New Roman" w:hAnsi="Times New Roman" w:cs="Aptos" w:eastAsia="Aptos"/>
          <w:b w:val="0"/>
          <w:i w:val="0"/>
          <w:color w:val="000000"/>
          <w:sz w:val="24"/>
        </w:rPr>
        <w:t xml:space="preserve"> — UNAVAILABLE. CHART-017: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Venezuela vs U.S. inflation</w:t>
      </w:r>
      <w:r>
        <w:rPr>
          <w:rFonts w:ascii="Times New Roman" w:hAnsi="Times New Roman" w:cs="Aptos" w:eastAsia="Aptos"/>
          <w:b w:val="0"/>
          <w:i w:val="0"/>
          <w:color w:val="000000"/>
          <w:sz w:val="24"/>
        </w:rPr>
        <w:t xml:space="preserve"> — UNAVAILABLE. CHART-018: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Inflation vs money growth</w:t>
      </w:r>
      <w:r>
        <w:rPr>
          <w:rFonts w:ascii="Times New Roman" w:hAnsi="Times New Roman" w:cs="Aptos" w:eastAsia="Aptos"/>
          <w:b w:val="0"/>
          <w:i w:val="0"/>
          <w:color w:val="000000"/>
          <w:sz w:val="24"/>
        </w:rPr>
        <w:t xml:space="preserve"> — UNAVAILABLE. CHART-019: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Inflation vs FX depreciation</w:t>
      </w:r>
      <w:r>
        <w:rPr>
          <w:rFonts w:ascii="Times New Roman" w:hAnsi="Times New Roman" w:cs="Aptos" w:eastAsia="Aptos"/>
          <w:b w:val="0"/>
          <w:i w:val="0"/>
          <w:color w:val="000000"/>
          <w:sz w:val="24"/>
        </w:rPr>
        <w:t xml:space="preserve"> — UNAVAILABLE. CHART-020: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Monetary base</w:t>
      </w:r>
      <w:r>
        <w:rPr>
          <w:rFonts w:ascii="Times New Roman" w:hAnsi="Times New Roman" w:cs="Aptos" w:eastAsia="Aptos"/>
          <w:b w:val="0"/>
          <w:i w:val="0"/>
          <w:color w:val="000000"/>
          <w:sz w:val="24"/>
        </w:rPr>
        <w:t xml:space="preserve"> — UNAVAILABLE. CHART-021: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Currency circulation</w:t>
      </w:r>
      <w:r>
        <w:rPr>
          <w:rFonts w:ascii="Times New Roman" w:hAnsi="Times New Roman" w:cs="Aptos" w:eastAsia="Aptos"/>
          <w:b w:val="0"/>
          <w:i w:val="0"/>
          <w:color w:val="000000"/>
          <w:sz w:val="24"/>
        </w:rPr>
        <w:t xml:space="preserve"> — UNAVAILABLE. CHART-022: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Bank reserves</w:t>
      </w:r>
      <w:r>
        <w:rPr>
          <w:rFonts w:ascii="Times New Roman" w:hAnsi="Times New Roman" w:cs="Aptos" w:eastAsia="Aptos"/>
          <w:b w:val="0"/>
          <w:i w:val="0"/>
          <w:color w:val="000000"/>
          <w:sz w:val="24"/>
        </w:rPr>
        <w:t xml:space="preserve"> — UNAVAILABLE. CHART-023: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M1</w:t>
      </w:r>
      <w:r>
        <w:rPr>
          <w:rFonts w:ascii="Times New Roman" w:hAnsi="Times New Roman" w:cs="Aptos" w:eastAsia="Aptos"/>
          <w:b w:val="0"/>
          <w:i w:val="0"/>
          <w:color w:val="000000"/>
          <w:sz w:val="24"/>
        </w:rPr>
        <w:t xml:space="preserve"> — UNAVAILABLE. CHART-024: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M2</w:t>
      </w:r>
      <w:r>
        <w:rPr>
          <w:rFonts w:ascii="Times New Roman" w:hAnsi="Times New Roman" w:cs="Aptos" w:eastAsia="Aptos"/>
          <w:b w:val="0"/>
          <w:i w:val="0"/>
          <w:color w:val="000000"/>
          <w:sz w:val="24"/>
        </w:rPr>
        <w:t xml:space="preserve"> — UNAVAILABLE. CHART-025: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M2/GDP</w:t>
      </w:r>
      <w:r>
        <w:rPr>
          <w:rFonts w:ascii="Times New Roman" w:hAnsi="Times New Roman" w:cs="Aptos" w:eastAsia="Aptos"/>
          <w:b w:val="0"/>
          <w:i w:val="0"/>
          <w:color w:val="000000"/>
          <w:sz w:val="24"/>
        </w:rPr>
        <w:t xml:space="preserve"> — UNAVAILABLE. CHART-026: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Money velocity</w:t>
      </w:r>
      <w:r>
        <w:rPr>
          <w:rFonts w:ascii="Times New Roman" w:hAnsi="Times New Roman" w:cs="Aptos" w:eastAsia="Aptos"/>
          <w:b w:val="0"/>
          <w:i w:val="0"/>
          <w:color w:val="000000"/>
          <w:sz w:val="24"/>
        </w:rPr>
        <w:t xml:space="preserve"> — UNAVAILABLE. CHART-027: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Money growth vs inflation</w:t>
      </w:r>
      <w:r>
        <w:rPr>
          <w:rFonts w:ascii="Times New Roman" w:hAnsi="Times New Roman" w:cs="Aptos" w:eastAsia="Aptos"/>
          <w:b w:val="0"/>
          <w:i w:val="0"/>
          <w:color w:val="000000"/>
          <w:sz w:val="24"/>
        </w:rPr>
        <w:t xml:space="preserve"> — UNAVAILABLE. CHART-028: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Monetary financing</w:t>
      </w:r>
      <w:r>
        <w:rPr>
          <w:rFonts w:ascii="Times New Roman" w:hAnsi="Times New Roman" w:cs="Aptos" w:eastAsia="Aptos"/>
          <w:b w:val="0"/>
          <w:i w:val="0"/>
          <w:color w:val="000000"/>
          <w:sz w:val="24"/>
        </w:rPr>
        <w:t xml:space="preserve"> — UNAVAILABLE. CHART-029: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Monetary aggregates in USD-equivalent terms</w:t>
      </w:r>
      <w:r>
        <w:rPr>
          <w:rFonts w:ascii="Times New Roman" w:hAnsi="Times New Roman" w:cs="Aptos" w:eastAsia="Aptos"/>
          <w:b w:val="0"/>
          <w:i w:val="0"/>
          <w:color w:val="000000"/>
          <w:sz w:val="24"/>
        </w:rPr>
        <w:t xml:space="preserve"> — UNAVAILABLE. CHART-030: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Official VES/USD</w:t>
      </w:r>
      <w:r>
        <w:rPr>
          <w:rFonts w:ascii="Times New Roman" w:hAnsi="Times New Roman" w:cs="Aptos" w:eastAsia="Aptos"/>
          <w:b w:val="0"/>
          <w:i w:val="0"/>
          <w:color w:val="000000"/>
          <w:sz w:val="24"/>
        </w:rPr>
        <w:t xml:space="preserve"> — UNAVAILABLE. CHART-031: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Parallel VES/USD</w:t>
      </w:r>
      <w:r>
        <w:rPr>
          <w:rFonts w:ascii="Times New Roman" w:hAnsi="Times New Roman" w:cs="Aptos" w:eastAsia="Aptos"/>
          <w:b w:val="0"/>
          <w:i w:val="0"/>
          <w:color w:val="000000"/>
          <w:sz w:val="24"/>
        </w:rPr>
        <w:t xml:space="preserve"> — UNAVAILABLE. CHART-032: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Official-parallel spread</w:t>
      </w:r>
      <w:r>
        <w:rPr>
          <w:rFonts w:ascii="Times New Roman" w:hAnsi="Times New Roman" w:cs="Aptos" w:eastAsia="Aptos"/>
          <w:b w:val="0"/>
          <w:i w:val="0"/>
          <w:color w:val="000000"/>
          <w:sz w:val="24"/>
        </w:rPr>
        <w:t xml:space="preserve"> — UNAVAILABLE. CHART-033: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Monthly depreciation</w:t>
      </w:r>
      <w:r>
        <w:rPr>
          <w:rFonts w:ascii="Times New Roman" w:hAnsi="Times New Roman" w:cs="Aptos" w:eastAsia="Aptos"/>
          <w:b w:val="0"/>
          <w:i w:val="0"/>
          <w:color w:val="000000"/>
          <w:sz w:val="24"/>
        </w:rPr>
        <w:t xml:space="preserve"> — UNAVAILABLE. CHART-034: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REER</w:t>
      </w:r>
      <w:r>
        <w:rPr>
          <w:rFonts w:ascii="Times New Roman" w:hAnsi="Times New Roman" w:cs="Aptos" w:eastAsia="Aptos"/>
          <w:b w:val="0"/>
          <w:i w:val="0"/>
          <w:color w:val="000000"/>
          <w:sz w:val="24"/>
        </w:rPr>
        <w:t xml:space="preserve"> — UNAVAILABLE. CHART-035: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NEER</w:t>
      </w:r>
      <w:r>
        <w:rPr>
          <w:rFonts w:ascii="Times New Roman" w:hAnsi="Times New Roman" w:cs="Aptos" w:eastAsia="Aptos"/>
          <w:b w:val="0"/>
          <w:i w:val="0"/>
          <w:color w:val="000000"/>
          <w:sz w:val="24"/>
        </w:rPr>
        <w:t xml:space="preserve"> — UNAVAILABLE. CHART-036: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FX volatility</w:t>
      </w:r>
      <w:r>
        <w:rPr>
          <w:rFonts w:ascii="Times New Roman" w:hAnsi="Times New Roman" w:cs="Aptos" w:eastAsia="Aptos"/>
          <w:b w:val="0"/>
          <w:i w:val="0"/>
          <w:color w:val="000000"/>
          <w:sz w:val="24"/>
        </w:rPr>
        <w:t xml:space="preserve"> — UNAVAILABLE. CHART-037: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FX turnover</w:t>
      </w:r>
      <w:r>
        <w:rPr>
          <w:rFonts w:ascii="Times New Roman" w:hAnsi="Times New Roman" w:cs="Aptos" w:eastAsia="Aptos"/>
          <w:b w:val="0"/>
          <w:i w:val="0"/>
          <w:color w:val="000000"/>
          <w:sz w:val="24"/>
        </w:rPr>
        <w:t xml:space="preserve"> — UNAVAILABLE. CHART-038: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Implied conversion rate by monetary aggregate</w:t>
      </w:r>
      <w:r>
        <w:rPr>
          <w:rFonts w:ascii="Times New Roman" w:hAnsi="Times New Roman" w:cs="Aptos" w:eastAsia="Aptos"/>
          <w:b w:val="0"/>
          <w:i w:val="0"/>
          <w:color w:val="000000"/>
          <w:sz w:val="24"/>
        </w:rPr>
        <w:t xml:space="preserve"> — UNAVAILABLE. CHART-039: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Proposed dollarization conversion-rate range</w:t>
      </w:r>
      <w:r>
        <w:rPr>
          <w:rFonts w:ascii="Times New Roman" w:hAnsi="Times New Roman" w:cs="Aptos" w:eastAsia="Aptos"/>
          <w:b w:val="0"/>
          <w:i w:val="0"/>
          <w:color w:val="000000"/>
          <w:sz w:val="24"/>
        </w:rPr>
        <w:t xml:space="preserve"> — UNAVAILABLE. CHART-040: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Gross international reserves</w:t>
      </w:r>
      <w:r>
        <w:rPr>
          <w:rFonts w:ascii="Times New Roman" w:hAnsi="Times New Roman" w:cs="Aptos" w:eastAsia="Aptos"/>
          <w:b w:val="0"/>
          <w:i w:val="0"/>
          <w:color w:val="000000"/>
          <w:sz w:val="24"/>
        </w:rPr>
        <w:t xml:space="preserve"> — UNAVAILABLE. CHART-041: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Liquid reserves</w:t>
      </w:r>
      <w:r>
        <w:rPr>
          <w:rFonts w:ascii="Times New Roman" w:hAnsi="Times New Roman" w:cs="Aptos" w:eastAsia="Aptos"/>
          <w:b w:val="0"/>
          <w:i w:val="0"/>
          <w:color w:val="000000"/>
          <w:sz w:val="24"/>
        </w:rPr>
        <w:t xml:space="preserve"> — UNAVAILABLE. CHART-042: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Gold reserves</w:t>
      </w:r>
      <w:r>
        <w:rPr>
          <w:rFonts w:ascii="Times New Roman" w:hAnsi="Times New Roman" w:cs="Aptos" w:eastAsia="Aptos"/>
          <w:b w:val="0"/>
          <w:i w:val="0"/>
          <w:color w:val="000000"/>
          <w:sz w:val="24"/>
        </w:rPr>
        <w:t xml:space="preserve"> — UNAVAILABLE. CHART-043: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Reserves excluding gold</w:t>
      </w:r>
      <w:r>
        <w:rPr>
          <w:rFonts w:ascii="Times New Roman" w:hAnsi="Times New Roman" w:cs="Aptos" w:eastAsia="Aptos"/>
          <w:b w:val="0"/>
          <w:i w:val="0"/>
          <w:color w:val="000000"/>
          <w:sz w:val="24"/>
        </w:rPr>
        <w:t xml:space="preserve"> — UNAVAILABLE. CHART-044: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Reserves/months imports</w:t>
      </w:r>
      <w:r>
        <w:rPr>
          <w:rFonts w:ascii="Times New Roman" w:hAnsi="Times New Roman" w:cs="Aptos" w:eastAsia="Aptos"/>
          <w:b w:val="0"/>
          <w:i w:val="0"/>
          <w:color w:val="000000"/>
          <w:sz w:val="24"/>
        </w:rPr>
        <w:t xml:space="preserve"> — UNAVAILABLE. CHART-045: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Reserves/M0</w:t>
      </w:r>
      <w:r>
        <w:rPr>
          <w:rFonts w:ascii="Times New Roman" w:hAnsi="Times New Roman" w:cs="Aptos" w:eastAsia="Aptos"/>
          <w:b w:val="0"/>
          <w:i w:val="0"/>
          <w:color w:val="000000"/>
          <w:sz w:val="24"/>
        </w:rPr>
        <w:t xml:space="preserve"> — UNAVAILABLE. CHART-046: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Reserves/M1</w:t>
      </w:r>
      <w:r>
        <w:rPr>
          <w:rFonts w:ascii="Times New Roman" w:hAnsi="Times New Roman" w:cs="Aptos" w:eastAsia="Aptos"/>
          <w:b w:val="0"/>
          <w:i w:val="0"/>
          <w:color w:val="000000"/>
          <w:sz w:val="24"/>
        </w:rPr>
        <w:t xml:space="preserve"> — UNAVAILABLE. CHART-047: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Reserves/M2</w:t>
      </w:r>
      <w:r>
        <w:rPr>
          <w:rFonts w:ascii="Times New Roman" w:hAnsi="Times New Roman" w:cs="Aptos" w:eastAsia="Aptos"/>
          <w:b w:val="0"/>
          <w:i w:val="0"/>
          <w:color w:val="000000"/>
          <w:sz w:val="24"/>
        </w:rPr>
        <w:t xml:space="preserve"> — UNAVAILABLE. CHART-048: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Reserve adequacy</w:t>
      </w:r>
      <w:r>
        <w:rPr>
          <w:rFonts w:ascii="Times New Roman" w:hAnsi="Times New Roman" w:cs="Aptos" w:eastAsia="Aptos"/>
          <w:b w:val="0"/>
          <w:i w:val="0"/>
          <w:color w:val="000000"/>
          <w:sz w:val="24"/>
        </w:rPr>
        <w:t xml:space="preserve"> — UNAVAILABLE. CHART-049: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Dollarization funding gap</w:t>
      </w:r>
      <w:r>
        <w:rPr>
          <w:rFonts w:ascii="Times New Roman" w:hAnsi="Times New Roman" w:cs="Aptos" w:eastAsia="Aptos"/>
          <w:b w:val="0"/>
          <w:i w:val="0"/>
          <w:color w:val="000000"/>
          <w:sz w:val="24"/>
        </w:rPr>
        <w:t xml:space="preserve"> — UNAVAILABLE. CHART-050: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Banking assets</w:t>
      </w:r>
      <w:r>
        <w:rPr>
          <w:rFonts w:ascii="Times New Roman" w:hAnsi="Times New Roman" w:cs="Aptos" w:eastAsia="Aptos"/>
          <w:b w:val="0"/>
          <w:i w:val="0"/>
          <w:color w:val="000000"/>
          <w:sz w:val="24"/>
        </w:rPr>
        <w:t xml:space="preserve"> — UNAVAILABLE. CHART-051: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Total deposits</w:t>
      </w:r>
      <w:r>
        <w:rPr>
          <w:rFonts w:ascii="Times New Roman" w:hAnsi="Times New Roman" w:cs="Aptos" w:eastAsia="Aptos"/>
          <w:b w:val="0"/>
          <w:i w:val="0"/>
          <w:color w:val="000000"/>
          <w:sz w:val="24"/>
        </w:rPr>
        <w:t xml:space="preserve"> — UNAVAILABLE. CHART-052: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VES deposits</w:t>
      </w:r>
      <w:r>
        <w:rPr>
          <w:rFonts w:ascii="Times New Roman" w:hAnsi="Times New Roman" w:cs="Aptos" w:eastAsia="Aptos"/>
          <w:b w:val="0"/>
          <w:i w:val="0"/>
          <w:color w:val="000000"/>
          <w:sz w:val="24"/>
        </w:rPr>
        <w:t xml:space="preserve"> — UNAVAILABLE. CHART-053: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USD deposits</w:t>
      </w:r>
      <w:r>
        <w:rPr>
          <w:rFonts w:ascii="Times New Roman" w:hAnsi="Times New Roman" w:cs="Aptos" w:eastAsia="Aptos"/>
          <w:b w:val="0"/>
          <w:i w:val="0"/>
          <w:color w:val="000000"/>
          <w:sz w:val="24"/>
        </w:rPr>
        <w:t xml:space="preserve"> — UNAVAILABLE. CHART-054: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Loans</w:t>
      </w:r>
      <w:r>
        <w:rPr>
          <w:rFonts w:ascii="Times New Roman" w:hAnsi="Times New Roman" w:cs="Aptos" w:eastAsia="Aptos"/>
          <w:b w:val="0"/>
          <w:i w:val="0"/>
          <w:color w:val="000000"/>
          <w:sz w:val="24"/>
        </w:rPr>
        <w:t xml:space="preserve"> — UNAVAILABLE. CHART-055: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Credit/GDP</w:t>
      </w:r>
      <w:r>
        <w:rPr>
          <w:rFonts w:ascii="Times New Roman" w:hAnsi="Times New Roman" w:cs="Aptos" w:eastAsia="Aptos"/>
          <w:b w:val="0"/>
          <w:i w:val="0"/>
          <w:color w:val="000000"/>
          <w:sz w:val="24"/>
        </w:rPr>
        <w:t xml:space="preserve"> — UNAVAILABLE. CHART-056: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Loan/deposit ratio</w:t>
      </w:r>
      <w:r>
        <w:rPr>
          <w:rFonts w:ascii="Times New Roman" w:hAnsi="Times New Roman" w:cs="Aptos" w:eastAsia="Aptos"/>
          <w:b w:val="0"/>
          <w:i w:val="0"/>
          <w:color w:val="000000"/>
          <w:sz w:val="24"/>
        </w:rPr>
        <w:t xml:space="preserve"> — UNAVAILABLE. CHART-057: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Bank capitalization</w:t>
      </w:r>
      <w:r>
        <w:rPr>
          <w:rFonts w:ascii="Times New Roman" w:hAnsi="Times New Roman" w:cs="Aptos" w:eastAsia="Aptos"/>
          <w:b w:val="0"/>
          <w:i w:val="0"/>
          <w:color w:val="000000"/>
          <w:sz w:val="24"/>
        </w:rPr>
        <w:t xml:space="preserve"> — UNAVAILABLE. CHART-058: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NPL ratio</w:t>
      </w:r>
      <w:r>
        <w:rPr>
          <w:rFonts w:ascii="Times New Roman" w:hAnsi="Times New Roman" w:cs="Aptos" w:eastAsia="Aptos"/>
          <w:b w:val="0"/>
          <w:i w:val="0"/>
          <w:color w:val="000000"/>
          <w:sz w:val="24"/>
        </w:rPr>
        <w:t xml:space="preserve"> — UNAVAILABLE. CHART-059: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Liquidity ratio</w:t>
      </w:r>
      <w:r>
        <w:rPr>
          <w:rFonts w:ascii="Times New Roman" w:hAnsi="Times New Roman" w:cs="Aptos" w:eastAsia="Aptos"/>
          <w:b w:val="0"/>
          <w:i w:val="0"/>
          <w:color w:val="000000"/>
          <w:sz w:val="24"/>
        </w:rPr>
        <w:t xml:space="preserve"> — UNAVAILABLE. CHART-060: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Bank profitability</w:t>
      </w:r>
      <w:r>
        <w:rPr>
          <w:rFonts w:ascii="Times New Roman" w:hAnsi="Times New Roman" w:cs="Aptos" w:eastAsia="Aptos"/>
          <w:b w:val="0"/>
          <w:i w:val="0"/>
          <w:color w:val="000000"/>
          <w:sz w:val="24"/>
        </w:rPr>
        <w:t xml:space="preserve"> — UNAVAILABLE. CHART-061: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Deposit concentration</w:t>
      </w:r>
      <w:r>
        <w:rPr>
          <w:rFonts w:ascii="Times New Roman" w:hAnsi="Times New Roman" w:cs="Aptos" w:eastAsia="Aptos"/>
          <w:b w:val="0"/>
          <w:i w:val="0"/>
          <w:color w:val="000000"/>
          <w:sz w:val="24"/>
        </w:rPr>
        <w:t xml:space="preserve"> — UNAVAILABLE. CHART-062: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Government exposure</w:t>
      </w:r>
      <w:r>
        <w:rPr>
          <w:rFonts w:ascii="Times New Roman" w:hAnsi="Times New Roman" w:cs="Aptos" w:eastAsia="Aptos"/>
          <w:b w:val="0"/>
          <w:i w:val="0"/>
          <w:color w:val="000000"/>
          <w:sz w:val="24"/>
        </w:rPr>
        <w:t xml:space="preserve"> — UNAVAILABLE. CHART-063: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FX mismatch</w:t>
      </w:r>
      <w:r>
        <w:rPr>
          <w:rFonts w:ascii="Times New Roman" w:hAnsi="Times New Roman" w:cs="Aptos" w:eastAsia="Aptos"/>
          <w:b w:val="0"/>
          <w:i w:val="0"/>
          <w:color w:val="000000"/>
          <w:sz w:val="24"/>
        </w:rPr>
        <w:t xml:space="preserve"> — UNAVAILABLE. CHART-064: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Banking recapitalization requirement</w:t>
      </w:r>
      <w:r>
        <w:rPr>
          <w:rFonts w:ascii="Times New Roman" w:hAnsi="Times New Roman" w:cs="Aptos" w:eastAsia="Aptos"/>
          <w:b w:val="0"/>
          <w:i w:val="0"/>
          <w:color w:val="000000"/>
          <w:sz w:val="24"/>
        </w:rPr>
        <w:t xml:space="preserve"> — UNAVAILABLE. CHART-065: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Credit under base scenario</w:t>
      </w:r>
      <w:r>
        <w:rPr>
          <w:rFonts w:ascii="Times New Roman" w:hAnsi="Times New Roman" w:cs="Aptos" w:eastAsia="Aptos"/>
          <w:b w:val="0"/>
          <w:i w:val="0"/>
          <w:color w:val="000000"/>
          <w:sz w:val="24"/>
        </w:rPr>
        <w:t xml:space="preserve"> — UNAVAILABLE. CHART-066: chart withheld until the underlying dated series is verified.</w:t>
      </w:r>
    </w:p>
    <w:p>
      <w:pPr>
        <w:pStyle w:val="ListBullet"/>
        <w:spacing w:before="180" w:line="480" w:lineRule="auto"/>
        <w:jc w:val="both"/>
      </w:pPr>
      <w:r>
        <w:rPr>
          <w:rFonts w:ascii="Times New Roman" w:hAnsi="Times New Roman" w:cs="Aptos" w:eastAsia="Aptos"/>
          <w:b/>
          <w:i w:val="0"/>
          <w:color w:val="373737"/>
          <w:sz w:val="24"/>
        </w:rPr>
        <w:t>10% credit contraction</w:t>
      </w:r>
      <w:r>
        <w:rPr>
          <w:rFonts w:ascii="Times New Roman" w:hAnsi="Times New Roman" w:cs="Aptos" w:eastAsia="Aptos"/>
          <w:b/>
          <w:i w:val="0"/>
          <w:color w:val="373737"/>
          <w:sz w:val="24"/>
        </w:rPr>
        <w:t xml:space="preserve"> — UNAVAILABLE. CHART-067: chart withheld until the underlying dated series is verified.</w:t>
      </w:r>
    </w:p>
    <w:p>
      <w:pPr>
        <w:pStyle w:val="ListBullet"/>
        <w:spacing w:before="180" w:line="480" w:lineRule="auto"/>
        <w:jc w:val="both"/>
      </w:pPr>
      <w:r>
        <w:rPr>
          <w:rFonts w:ascii="Times New Roman" w:hAnsi="Times New Roman" w:cs="Aptos" w:eastAsia="Aptos"/>
          <w:b/>
          <w:i w:val="0"/>
          <w:color w:val="373737"/>
          <w:sz w:val="24"/>
        </w:rPr>
        <w:t>20% credit contraction</w:t>
      </w:r>
      <w:r>
        <w:rPr>
          <w:rFonts w:ascii="Times New Roman" w:hAnsi="Times New Roman" w:cs="Aptos" w:eastAsia="Aptos"/>
          <w:b/>
          <w:i w:val="0"/>
          <w:color w:val="373737"/>
          <w:sz w:val="24"/>
        </w:rPr>
        <w:t xml:space="preserve"> — UNAVAILABLE. CHART-068: chart withheld until the underlying dated series is verified.</w:t>
      </w:r>
    </w:p>
    <w:p>
      <w:pPr>
        <w:pStyle w:val="ListBullet"/>
        <w:spacing w:before="180" w:line="480" w:lineRule="auto"/>
        <w:jc w:val="both"/>
      </w:pPr>
      <w:r>
        <w:rPr>
          <w:rFonts w:ascii="Times New Roman" w:hAnsi="Times New Roman" w:cs="Aptos" w:eastAsia="Aptos"/>
          <w:b/>
          <w:i w:val="0"/>
          <w:color w:val="373737"/>
          <w:sz w:val="24"/>
        </w:rPr>
        <w:t>30% credit contraction</w:t>
      </w:r>
      <w:r>
        <w:rPr>
          <w:rFonts w:ascii="Times New Roman" w:hAnsi="Times New Roman" w:cs="Aptos" w:eastAsia="Aptos"/>
          <w:b/>
          <w:i w:val="0"/>
          <w:color w:val="373737"/>
          <w:sz w:val="24"/>
        </w:rPr>
        <w:t xml:space="preserve"> — UNAVAILABLE. CHART-069: chart withheld until the underlying dated series is verified.</w:t>
      </w:r>
    </w:p>
    <w:p>
      <w:pPr>
        <w:pStyle w:val="ListBullet"/>
        <w:spacing w:before="180" w:line="480" w:lineRule="auto"/>
        <w:jc w:val="both"/>
      </w:pPr>
      <w:r>
        <w:rPr>
          <w:rFonts w:ascii="Times New Roman" w:hAnsi="Times New Roman" w:cs="Aptos" w:eastAsia="Aptos"/>
          <w:b/>
          <w:i w:val="0"/>
          <w:color w:val="373737"/>
          <w:sz w:val="24"/>
        </w:rPr>
        <w:t>50% credit contraction</w:t>
      </w:r>
      <w:r>
        <w:rPr>
          <w:rFonts w:ascii="Times New Roman" w:hAnsi="Times New Roman" w:cs="Aptos" w:eastAsia="Aptos"/>
          <w:b/>
          <w:i w:val="0"/>
          <w:color w:val="373737"/>
          <w:sz w:val="24"/>
        </w:rPr>
        <w:t xml:space="preserve"> — UNAVAILABLE. CHART-070: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Credit vs GDP</w:t>
      </w:r>
      <w:r>
        <w:rPr>
          <w:rFonts w:ascii="Times New Roman" w:hAnsi="Times New Roman" w:cs="Aptos" w:eastAsia="Aptos"/>
          <w:b w:val="0"/>
          <w:i w:val="0"/>
          <w:color w:val="000000"/>
          <w:sz w:val="24"/>
        </w:rPr>
        <w:t xml:space="preserve"> — UNAVAILABLE. CHART-071: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Credit vs employment</w:t>
      </w:r>
      <w:r>
        <w:rPr>
          <w:rFonts w:ascii="Times New Roman" w:hAnsi="Times New Roman" w:cs="Aptos" w:eastAsia="Aptos"/>
          <w:b w:val="0"/>
          <w:i w:val="0"/>
          <w:color w:val="000000"/>
          <w:sz w:val="24"/>
        </w:rPr>
        <w:t xml:space="preserve"> — UNAVAILABLE. CHART-072: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Deposit withdrawal stress</w:t>
      </w:r>
      <w:r>
        <w:rPr>
          <w:rFonts w:ascii="Times New Roman" w:hAnsi="Times New Roman" w:cs="Aptos" w:eastAsia="Aptos"/>
          <w:b w:val="0"/>
          <w:i w:val="0"/>
          <w:color w:val="000000"/>
          <w:sz w:val="24"/>
        </w:rPr>
        <w:t xml:space="preserve"> — UNAVAILABLE. CHART-073: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Emergency liquidity requirement</w:t>
      </w:r>
      <w:r>
        <w:rPr>
          <w:rFonts w:ascii="Times New Roman" w:hAnsi="Times New Roman" w:cs="Aptos" w:eastAsia="Aptos"/>
          <w:b w:val="0"/>
          <w:i w:val="0"/>
          <w:color w:val="000000"/>
          <w:sz w:val="24"/>
        </w:rPr>
        <w:t xml:space="preserve"> — UNAVAILABLE. CHART-074: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Lender-of-last-resort gap</w:t>
      </w:r>
      <w:r>
        <w:rPr>
          <w:rFonts w:ascii="Times New Roman" w:hAnsi="Times New Roman" w:cs="Aptos" w:eastAsia="Aptos"/>
          <w:b w:val="0"/>
          <w:i w:val="0"/>
          <w:color w:val="000000"/>
          <w:sz w:val="24"/>
        </w:rPr>
        <w:t xml:space="preserve"> — UNAVAILABLE. CHART-075: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Government revenue</w:t>
      </w:r>
      <w:r>
        <w:rPr>
          <w:rFonts w:ascii="Times New Roman" w:hAnsi="Times New Roman" w:cs="Aptos" w:eastAsia="Aptos"/>
          <w:b w:val="0"/>
          <w:i w:val="0"/>
          <w:color w:val="000000"/>
          <w:sz w:val="24"/>
        </w:rPr>
        <w:t xml:space="preserve"> — UNAVAILABLE. CHART-076: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Oil revenue</w:t>
      </w:r>
      <w:r>
        <w:rPr>
          <w:rFonts w:ascii="Times New Roman" w:hAnsi="Times New Roman" w:cs="Aptos" w:eastAsia="Aptos"/>
          <w:b w:val="0"/>
          <w:i w:val="0"/>
          <w:color w:val="000000"/>
          <w:sz w:val="24"/>
        </w:rPr>
        <w:t xml:space="preserve"> — UNAVAILABLE. CHART-077: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Non-oil revenue</w:t>
      </w:r>
      <w:r>
        <w:rPr>
          <w:rFonts w:ascii="Times New Roman" w:hAnsi="Times New Roman" w:cs="Aptos" w:eastAsia="Aptos"/>
          <w:b w:val="0"/>
          <w:i w:val="0"/>
          <w:color w:val="000000"/>
          <w:sz w:val="24"/>
        </w:rPr>
        <w:t xml:space="preserve"> — UNAVAILABLE. CHART-078: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Total spending</w:t>
      </w:r>
      <w:r>
        <w:rPr>
          <w:rFonts w:ascii="Times New Roman" w:hAnsi="Times New Roman" w:cs="Aptos" w:eastAsia="Aptos"/>
          <w:b w:val="0"/>
          <w:i w:val="0"/>
          <w:color w:val="000000"/>
          <w:sz w:val="24"/>
        </w:rPr>
        <w:t xml:space="preserve"> — UNAVAILABLE. CHART-079: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Wage bill</w:t>
      </w:r>
      <w:r>
        <w:rPr>
          <w:rFonts w:ascii="Times New Roman" w:hAnsi="Times New Roman" w:cs="Aptos" w:eastAsia="Aptos"/>
          <w:b w:val="0"/>
          <w:i w:val="0"/>
          <w:color w:val="000000"/>
          <w:sz w:val="24"/>
        </w:rPr>
        <w:t xml:space="preserve"> — UNAVAILABLE. CHART-080: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Pensions</w:t>
      </w:r>
      <w:r>
        <w:rPr>
          <w:rFonts w:ascii="Times New Roman" w:hAnsi="Times New Roman" w:cs="Aptos" w:eastAsia="Aptos"/>
          <w:b w:val="0"/>
          <w:i w:val="0"/>
          <w:color w:val="000000"/>
          <w:sz w:val="24"/>
        </w:rPr>
        <w:t xml:space="preserve"> — UNAVAILABLE. CHART-081: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Subsidies</w:t>
      </w:r>
      <w:r>
        <w:rPr>
          <w:rFonts w:ascii="Times New Roman" w:hAnsi="Times New Roman" w:cs="Aptos" w:eastAsia="Aptos"/>
          <w:b w:val="0"/>
          <w:i w:val="0"/>
          <w:color w:val="000000"/>
          <w:sz w:val="24"/>
        </w:rPr>
        <w:t xml:space="preserve"> — UNAVAILABLE. CHART-082: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Interest expenditure</w:t>
      </w:r>
      <w:r>
        <w:rPr>
          <w:rFonts w:ascii="Times New Roman" w:hAnsi="Times New Roman" w:cs="Aptos" w:eastAsia="Aptos"/>
          <w:b w:val="0"/>
          <w:i w:val="0"/>
          <w:color w:val="000000"/>
          <w:sz w:val="24"/>
        </w:rPr>
        <w:t xml:space="preserve"> — UNAVAILABLE. CHART-083: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Fiscal balance</w:t>
      </w:r>
      <w:r>
        <w:rPr>
          <w:rFonts w:ascii="Times New Roman" w:hAnsi="Times New Roman" w:cs="Aptos" w:eastAsia="Aptos"/>
          <w:b w:val="0"/>
          <w:i w:val="0"/>
          <w:color w:val="000000"/>
          <w:sz w:val="24"/>
        </w:rPr>
        <w:t xml:space="preserve"> — UNAVAILABLE. CHART-084: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Primary balance</w:t>
      </w:r>
      <w:r>
        <w:rPr>
          <w:rFonts w:ascii="Times New Roman" w:hAnsi="Times New Roman" w:cs="Aptos" w:eastAsia="Aptos"/>
          <w:b w:val="0"/>
          <w:i w:val="0"/>
          <w:color w:val="000000"/>
          <w:sz w:val="24"/>
        </w:rPr>
        <w:t xml:space="preserve"> — UNAVAILABLE. CHART-085: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Deficit/GDP</w:t>
      </w:r>
      <w:r>
        <w:rPr>
          <w:rFonts w:ascii="Times New Roman" w:hAnsi="Times New Roman" w:cs="Aptos" w:eastAsia="Aptos"/>
          <w:b w:val="0"/>
          <w:i w:val="0"/>
          <w:color w:val="000000"/>
          <w:sz w:val="24"/>
        </w:rPr>
        <w:t xml:space="preserve"> — UNAVAILABLE. CHART-086: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Monetary financing</w:t>
      </w:r>
      <w:r>
        <w:rPr>
          <w:rFonts w:ascii="Times New Roman" w:hAnsi="Times New Roman" w:cs="Aptos" w:eastAsia="Aptos"/>
          <w:b w:val="0"/>
          <w:i w:val="0"/>
          <w:color w:val="000000"/>
          <w:sz w:val="24"/>
        </w:rPr>
        <w:t xml:space="preserve"> — UNAVAILABLE. CHART-087: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Seigniorage</w:t>
      </w:r>
      <w:r>
        <w:rPr>
          <w:rFonts w:ascii="Times New Roman" w:hAnsi="Times New Roman" w:cs="Aptos" w:eastAsia="Aptos"/>
          <w:b w:val="0"/>
          <w:i w:val="0"/>
          <w:color w:val="000000"/>
          <w:sz w:val="24"/>
        </w:rPr>
        <w:t xml:space="preserve"> — UNAVAILABLE. CHART-088: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Tax revenue/GDP</w:t>
      </w:r>
      <w:r>
        <w:rPr>
          <w:rFonts w:ascii="Times New Roman" w:hAnsi="Times New Roman" w:cs="Aptos" w:eastAsia="Aptos"/>
          <w:b w:val="0"/>
          <w:i w:val="0"/>
          <w:color w:val="000000"/>
          <w:sz w:val="24"/>
        </w:rPr>
        <w:t xml:space="preserve"> — UNAVAILABLE. CHART-089: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Fiscal adjustment requirement</w:t>
      </w:r>
      <w:r>
        <w:rPr>
          <w:rFonts w:ascii="Times New Roman" w:hAnsi="Times New Roman" w:cs="Aptos" w:eastAsia="Aptos"/>
          <w:b w:val="0"/>
          <w:i w:val="0"/>
          <w:color w:val="000000"/>
          <w:sz w:val="24"/>
        </w:rPr>
        <w:t xml:space="preserve"> — UNAVAILABLE. CHART-090: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Oil production 1970-present</w:t>
      </w:r>
      <w:r>
        <w:rPr>
          <w:rFonts w:ascii="Times New Roman" w:hAnsi="Times New Roman" w:cs="Aptos" w:eastAsia="Aptos"/>
          <w:b w:val="0"/>
          <w:i w:val="0"/>
          <w:color w:val="000000"/>
          <w:sz w:val="24"/>
        </w:rPr>
        <w:t xml:space="preserve"> — UNAVAILABLE. CHART-091: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Oil exports</w:t>
      </w:r>
      <w:r>
        <w:rPr>
          <w:rFonts w:ascii="Times New Roman" w:hAnsi="Times New Roman" w:cs="Aptos" w:eastAsia="Aptos"/>
          <w:b w:val="0"/>
          <w:i w:val="0"/>
          <w:color w:val="000000"/>
          <w:sz w:val="24"/>
        </w:rPr>
        <w:t xml:space="preserve"> — UNAVAILABLE. CHART-092: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Domestic consumption</w:t>
      </w:r>
      <w:r>
        <w:rPr>
          <w:rFonts w:ascii="Times New Roman" w:hAnsi="Times New Roman" w:cs="Aptos" w:eastAsia="Aptos"/>
          <w:b w:val="0"/>
          <w:i w:val="0"/>
          <w:color w:val="000000"/>
          <w:sz w:val="24"/>
        </w:rPr>
        <w:t xml:space="preserve"> — UNAVAILABLE. CHART-093: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Oil price</w:t>
      </w:r>
      <w:r>
        <w:rPr>
          <w:rFonts w:ascii="Times New Roman" w:hAnsi="Times New Roman" w:cs="Aptos" w:eastAsia="Aptos"/>
          <w:b w:val="0"/>
          <w:i w:val="0"/>
          <w:color w:val="000000"/>
          <w:sz w:val="24"/>
        </w:rPr>
        <w:t xml:space="preserve"> — UNAVAILABLE. CHART-094: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Production x price matrix</w:t>
      </w:r>
      <w:r>
        <w:rPr>
          <w:rFonts w:ascii="Times New Roman" w:hAnsi="Times New Roman" w:cs="Aptos" w:eastAsia="Aptos"/>
          <w:b w:val="0"/>
          <w:i w:val="0"/>
          <w:color w:val="000000"/>
          <w:sz w:val="24"/>
        </w:rPr>
        <w:t xml:space="preserve"> — UNAVAILABLE. CHART-095: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Gross oil revenue</w:t>
      </w:r>
      <w:r>
        <w:rPr>
          <w:rFonts w:ascii="Times New Roman" w:hAnsi="Times New Roman" w:cs="Aptos" w:eastAsia="Aptos"/>
          <w:b w:val="0"/>
          <w:i w:val="0"/>
          <w:color w:val="000000"/>
          <w:sz w:val="24"/>
        </w:rPr>
        <w:t xml:space="preserve"> — UNAVAILABLE. CHART-096: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Estimated net oil FX</w:t>
      </w:r>
      <w:r>
        <w:rPr>
          <w:rFonts w:ascii="Times New Roman" w:hAnsi="Times New Roman" w:cs="Aptos" w:eastAsia="Aptos"/>
          <w:b w:val="0"/>
          <w:i w:val="0"/>
          <w:color w:val="000000"/>
          <w:sz w:val="24"/>
        </w:rPr>
        <w:t xml:space="preserve"> — UNAVAILABLE. CHART-097: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Oil revenue/GDP</w:t>
      </w:r>
      <w:r>
        <w:rPr>
          <w:rFonts w:ascii="Times New Roman" w:hAnsi="Times New Roman" w:cs="Aptos" w:eastAsia="Aptos"/>
          <w:b w:val="0"/>
          <w:i w:val="0"/>
          <w:color w:val="000000"/>
          <w:sz w:val="24"/>
        </w:rPr>
        <w:t xml:space="preserve"> — UNAVAILABLE. CHART-098: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Oil revenue/fiscal revenue</w:t>
      </w:r>
      <w:r>
        <w:rPr>
          <w:rFonts w:ascii="Times New Roman" w:hAnsi="Times New Roman" w:cs="Aptos" w:eastAsia="Aptos"/>
          <w:b w:val="0"/>
          <w:i w:val="0"/>
          <w:color w:val="000000"/>
          <w:sz w:val="24"/>
        </w:rPr>
        <w:t xml:space="preserve"> — UNAVAILABLE. CHART-099: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PDVSA investment</w:t>
      </w:r>
      <w:r>
        <w:rPr>
          <w:rFonts w:ascii="Times New Roman" w:hAnsi="Times New Roman" w:cs="Aptos" w:eastAsia="Aptos"/>
          <w:b w:val="0"/>
          <w:i w:val="0"/>
          <w:color w:val="000000"/>
          <w:sz w:val="24"/>
        </w:rPr>
        <w:t xml:space="preserve"> — UNAVAILABLE. CHART-100: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Rig count</w:t>
      </w:r>
      <w:r>
        <w:rPr>
          <w:rFonts w:ascii="Times New Roman" w:hAnsi="Times New Roman" w:cs="Aptos" w:eastAsia="Aptos"/>
          <w:b w:val="0"/>
          <w:i w:val="0"/>
          <w:color w:val="000000"/>
          <w:sz w:val="24"/>
        </w:rPr>
        <w:t xml:space="preserve"> — UNAVAILABLE. CHART-101: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Refinery capacity utilization</w:t>
      </w:r>
      <w:r>
        <w:rPr>
          <w:rFonts w:ascii="Times New Roman" w:hAnsi="Times New Roman" w:cs="Aptos" w:eastAsia="Aptos"/>
          <w:b w:val="0"/>
          <w:i w:val="0"/>
          <w:color w:val="000000"/>
          <w:sz w:val="24"/>
        </w:rPr>
        <w:t xml:space="preserve"> — UNAVAILABLE. CHART-102: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Export destinations</w:t>
      </w:r>
      <w:r>
        <w:rPr>
          <w:rFonts w:ascii="Times New Roman" w:hAnsi="Times New Roman" w:cs="Aptos" w:eastAsia="Aptos"/>
          <w:b w:val="0"/>
          <w:i w:val="0"/>
          <w:color w:val="000000"/>
          <w:sz w:val="24"/>
        </w:rPr>
        <w:t xml:space="preserve"> — UNAVAILABLE. CHART-103: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Production scenarios</w:t>
      </w:r>
      <w:r>
        <w:rPr>
          <w:rFonts w:ascii="Times New Roman" w:hAnsi="Times New Roman" w:cs="Aptos" w:eastAsia="Aptos"/>
          <w:b w:val="0"/>
          <w:i w:val="0"/>
          <w:color w:val="000000"/>
          <w:sz w:val="24"/>
        </w:rPr>
        <w:t xml:space="preserve"> — UNAVAILABLE. CHART-104: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Oil break-even dollarization heat map</w:t>
      </w:r>
      <w:r>
        <w:rPr>
          <w:rFonts w:ascii="Times New Roman" w:hAnsi="Times New Roman" w:cs="Aptos" w:eastAsia="Aptos"/>
          <w:b w:val="0"/>
          <w:i w:val="0"/>
          <w:color w:val="000000"/>
          <w:sz w:val="24"/>
        </w:rPr>
        <w:t xml:space="preserve"> — UNAVAILABLE. CHART-105: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Exports</w:t>
      </w:r>
      <w:r>
        <w:rPr>
          <w:rFonts w:ascii="Times New Roman" w:hAnsi="Times New Roman" w:cs="Aptos" w:eastAsia="Aptos"/>
          <w:b w:val="0"/>
          <w:i w:val="0"/>
          <w:color w:val="000000"/>
          <w:sz w:val="24"/>
        </w:rPr>
        <w:t xml:space="preserve"> — UNAVAILABLE. CHART-106: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Imports</w:t>
      </w:r>
      <w:r>
        <w:rPr>
          <w:rFonts w:ascii="Times New Roman" w:hAnsi="Times New Roman" w:cs="Aptos" w:eastAsia="Aptos"/>
          <w:b w:val="0"/>
          <w:i w:val="0"/>
          <w:color w:val="000000"/>
          <w:sz w:val="24"/>
        </w:rPr>
        <w:t xml:space="preserve"> — UNAVAILABLE. CHART-107: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Trade balance</w:t>
      </w:r>
      <w:r>
        <w:rPr>
          <w:rFonts w:ascii="Times New Roman" w:hAnsi="Times New Roman" w:cs="Aptos" w:eastAsia="Aptos"/>
          <w:b w:val="0"/>
          <w:i w:val="0"/>
          <w:color w:val="000000"/>
          <w:sz w:val="24"/>
        </w:rPr>
        <w:t xml:space="preserve"> — UNAVAILABLE. CHART-108: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Current account</w:t>
      </w:r>
      <w:r>
        <w:rPr>
          <w:rFonts w:ascii="Times New Roman" w:hAnsi="Times New Roman" w:cs="Aptos" w:eastAsia="Aptos"/>
          <w:b w:val="0"/>
          <w:i w:val="0"/>
          <w:color w:val="000000"/>
          <w:sz w:val="24"/>
        </w:rPr>
        <w:t xml:space="preserve"> — UNAVAILABLE. CHART-109: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Remittances</w:t>
      </w:r>
      <w:r>
        <w:rPr>
          <w:rFonts w:ascii="Times New Roman" w:hAnsi="Times New Roman" w:cs="Aptos" w:eastAsia="Aptos"/>
          <w:b w:val="0"/>
          <w:i w:val="0"/>
          <w:color w:val="000000"/>
          <w:sz w:val="24"/>
        </w:rPr>
        <w:t xml:space="preserve"> — UNAVAILABLE. CHART-110: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FDI</w:t>
      </w:r>
      <w:r>
        <w:rPr>
          <w:rFonts w:ascii="Times New Roman" w:hAnsi="Times New Roman" w:cs="Aptos" w:eastAsia="Aptos"/>
          <w:b w:val="0"/>
          <w:i w:val="0"/>
          <w:color w:val="000000"/>
          <w:sz w:val="24"/>
        </w:rPr>
        <w:t xml:space="preserve"> — UNAVAILABLE. CHART-111: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Capital flows</w:t>
      </w:r>
      <w:r>
        <w:rPr>
          <w:rFonts w:ascii="Times New Roman" w:hAnsi="Times New Roman" w:cs="Aptos" w:eastAsia="Aptos"/>
          <w:b w:val="0"/>
          <w:i w:val="0"/>
          <w:color w:val="000000"/>
          <w:sz w:val="24"/>
        </w:rPr>
        <w:t xml:space="preserve"> — UNAVAILABLE. CHART-112: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Capital flight</w:t>
      </w:r>
      <w:r>
        <w:rPr>
          <w:rFonts w:ascii="Times New Roman" w:hAnsi="Times New Roman" w:cs="Aptos" w:eastAsia="Aptos"/>
          <w:b w:val="0"/>
          <w:i w:val="0"/>
          <w:color w:val="000000"/>
          <w:sz w:val="24"/>
        </w:rPr>
        <w:t xml:space="preserve"> — UNAVAILABLE. CHART-113: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External financing need</w:t>
      </w:r>
      <w:r>
        <w:rPr>
          <w:rFonts w:ascii="Times New Roman" w:hAnsi="Times New Roman" w:cs="Aptos" w:eastAsia="Aptos"/>
          <w:b w:val="0"/>
          <w:i w:val="0"/>
          <w:color w:val="000000"/>
          <w:sz w:val="24"/>
        </w:rPr>
        <w:t xml:space="preserve"> — UNAVAILABLE. CHART-114: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Net USD inflows</w:t>
      </w:r>
      <w:r>
        <w:rPr>
          <w:rFonts w:ascii="Times New Roman" w:hAnsi="Times New Roman" w:cs="Aptos" w:eastAsia="Aptos"/>
          <w:b w:val="0"/>
          <w:i w:val="0"/>
          <w:color w:val="000000"/>
          <w:sz w:val="24"/>
        </w:rPr>
        <w:t xml:space="preserve"> — UNAVAILABLE. CHART-115: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USD inflow waterfall</w:t>
      </w:r>
      <w:r>
        <w:rPr>
          <w:rFonts w:ascii="Times New Roman" w:hAnsi="Times New Roman" w:cs="Aptos" w:eastAsia="Aptos"/>
          <w:b w:val="0"/>
          <w:i w:val="0"/>
          <w:color w:val="000000"/>
          <w:sz w:val="24"/>
        </w:rPr>
        <w:t xml:space="preserve"> — UNAVAILABLE. CHART-116: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Imports vs FX receipts</w:t>
      </w:r>
      <w:r>
        <w:rPr>
          <w:rFonts w:ascii="Times New Roman" w:hAnsi="Times New Roman" w:cs="Aptos" w:eastAsia="Aptos"/>
          <w:b w:val="0"/>
          <w:i w:val="0"/>
          <w:color w:val="000000"/>
          <w:sz w:val="24"/>
        </w:rPr>
        <w:t xml:space="preserve"> — UNAVAILABLE. CHART-117: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Current-account stress</w:t>
      </w:r>
      <w:r>
        <w:rPr>
          <w:rFonts w:ascii="Times New Roman" w:hAnsi="Times New Roman" w:cs="Aptos" w:eastAsia="Aptos"/>
          <w:b w:val="0"/>
          <w:i w:val="0"/>
          <w:color w:val="000000"/>
          <w:sz w:val="24"/>
        </w:rPr>
        <w:t xml:space="preserve"> — UNAVAILABLE. CHART-118: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Sovereign debt</w:t>
      </w:r>
      <w:r>
        <w:rPr>
          <w:rFonts w:ascii="Times New Roman" w:hAnsi="Times New Roman" w:cs="Aptos" w:eastAsia="Aptos"/>
          <w:b w:val="0"/>
          <w:i w:val="0"/>
          <w:color w:val="000000"/>
          <w:sz w:val="24"/>
        </w:rPr>
        <w:t xml:space="preserve"> — UNAVAILABLE. CHART-119: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PDVSA debt</w:t>
      </w:r>
      <w:r>
        <w:rPr>
          <w:rFonts w:ascii="Times New Roman" w:hAnsi="Times New Roman" w:cs="Aptos" w:eastAsia="Aptos"/>
          <w:b w:val="0"/>
          <w:i w:val="0"/>
          <w:color w:val="000000"/>
          <w:sz w:val="24"/>
        </w:rPr>
        <w:t xml:space="preserve"> — UNAVAILABLE. CHART-120: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Total public external claims</w:t>
      </w:r>
      <w:r>
        <w:rPr>
          <w:rFonts w:ascii="Times New Roman" w:hAnsi="Times New Roman" w:cs="Aptos" w:eastAsia="Aptos"/>
          <w:b w:val="0"/>
          <w:i w:val="0"/>
          <w:color w:val="000000"/>
          <w:sz w:val="24"/>
        </w:rPr>
        <w:t xml:space="preserve"> — UNAVAILABLE. CHART-121: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Debt/GDP</w:t>
      </w:r>
      <w:r>
        <w:rPr>
          <w:rFonts w:ascii="Times New Roman" w:hAnsi="Times New Roman" w:cs="Aptos" w:eastAsia="Aptos"/>
          <w:b w:val="0"/>
          <w:i w:val="0"/>
          <w:color w:val="000000"/>
          <w:sz w:val="24"/>
        </w:rPr>
        <w:t xml:space="preserve"> — UNAVAILABLE. CHART-122: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Debt/revenue</w:t>
      </w:r>
      <w:r>
        <w:rPr>
          <w:rFonts w:ascii="Times New Roman" w:hAnsi="Times New Roman" w:cs="Aptos" w:eastAsia="Aptos"/>
          <w:b w:val="0"/>
          <w:i w:val="0"/>
          <w:color w:val="000000"/>
          <w:sz w:val="24"/>
        </w:rPr>
        <w:t xml:space="preserve"> — UNAVAILABLE. CHART-123: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Debt service</w:t>
      </w:r>
      <w:r>
        <w:rPr>
          <w:rFonts w:ascii="Times New Roman" w:hAnsi="Times New Roman" w:cs="Aptos" w:eastAsia="Aptos"/>
          <w:b w:val="0"/>
          <w:i w:val="0"/>
          <w:color w:val="000000"/>
          <w:sz w:val="24"/>
        </w:rPr>
        <w:t xml:space="preserve"> — UNAVAILABLE. CHART-124: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Maturity wall</w:t>
      </w:r>
      <w:r>
        <w:rPr>
          <w:rFonts w:ascii="Times New Roman" w:hAnsi="Times New Roman" w:cs="Aptos" w:eastAsia="Aptos"/>
          <w:b w:val="0"/>
          <w:i w:val="0"/>
          <w:color w:val="000000"/>
          <w:sz w:val="24"/>
        </w:rPr>
        <w:t xml:space="preserve"> — UNAVAILABLE. CHART-125: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Creditor composition</w:t>
      </w:r>
      <w:r>
        <w:rPr>
          <w:rFonts w:ascii="Times New Roman" w:hAnsi="Times New Roman" w:cs="Aptos" w:eastAsia="Aptos"/>
          <w:b w:val="0"/>
          <w:i w:val="0"/>
          <w:color w:val="000000"/>
          <w:sz w:val="24"/>
        </w:rPr>
        <w:t xml:space="preserve"> — UNAVAILABLE. CHART-126: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Restructuring haircut scenarios</w:t>
      </w:r>
      <w:r>
        <w:rPr>
          <w:rFonts w:ascii="Times New Roman" w:hAnsi="Times New Roman" w:cs="Aptos" w:eastAsia="Aptos"/>
          <w:b w:val="0"/>
          <w:i w:val="0"/>
          <w:color w:val="000000"/>
          <w:sz w:val="24"/>
        </w:rPr>
        <w:t xml:space="preserve"> — UNAVAILABLE. CHART-127: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Debt sustainability paths</w:t>
      </w:r>
      <w:r>
        <w:rPr>
          <w:rFonts w:ascii="Times New Roman" w:hAnsi="Times New Roman" w:cs="Aptos" w:eastAsia="Aptos"/>
          <w:b w:val="0"/>
          <w:i w:val="0"/>
          <w:color w:val="000000"/>
          <w:sz w:val="24"/>
        </w:rPr>
        <w:t xml:space="preserve"> — UNAVAILABLE. CHART-128: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Minimum wage</w:t>
      </w:r>
      <w:r>
        <w:rPr>
          <w:rFonts w:ascii="Times New Roman" w:hAnsi="Times New Roman" w:cs="Aptos" w:eastAsia="Aptos"/>
          <w:b w:val="0"/>
          <w:i w:val="0"/>
          <w:color w:val="000000"/>
          <w:sz w:val="24"/>
        </w:rPr>
        <w:t xml:space="preserve"> — UNAVAILABLE. CHART-129: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Median wage</w:t>
      </w:r>
      <w:r>
        <w:rPr>
          <w:rFonts w:ascii="Times New Roman" w:hAnsi="Times New Roman" w:cs="Aptos" w:eastAsia="Aptos"/>
          <w:b w:val="0"/>
          <w:i w:val="0"/>
          <w:color w:val="000000"/>
          <w:sz w:val="24"/>
        </w:rPr>
        <w:t xml:space="preserve"> — UNAVAILABLE. CHART-130: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Public salary</w:t>
      </w:r>
      <w:r>
        <w:rPr>
          <w:rFonts w:ascii="Times New Roman" w:hAnsi="Times New Roman" w:cs="Aptos" w:eastAsia="Aptos"/>
          <w:b w:val="0"/>
          <w:i w:val="0"/>
          <w:color w:val="000000"/>
          <w:sz w:val="24"/>
        </w:rPr>
        <w:t xml:space="preserve"> — UNAVAILABLE. CHART-131: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Pension</w:t>
      </w:r>
      <w:r>
        <w:rPr>
          <w:rFonts w:ascii="Times New Roman" w:hAnsi="Times New Roman" w:cs="Aptos" w:eastAsia="Aptos"/>
          <w:b w:val="0"/>
          <w:i w:val="0"/>
          <w:color w:val="000000"/>
          <w:sz w:val="24"/>
        </w:rPr>
        <w:t xml:space="preserve"> — UNAVAILABLE. CHART-132: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Food basket</w:t>
      </w:r>
      <w:r>
        <w:rPr>
          <w:rFonts w:ascii="Times New Roman" w:hAnsi="Times New Roman" w:cs="Aptos" w:eastAsia="Aptos"/>
          <w:b w:val="0"/>
          <w:i w:val="0"/>
          <w:color w:val="000000"/>
          <w:sz w:val="24"/>
        </w:rPr>
        <w:t xml:space="preserve"> — UNAVAILABLE. CHART-133: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Household purchasing power</w:t>
      </w:r>
      <w:r>
        <w:rPr>
          <w:rFonts w:ascii="Times New Roman" w:hAnsi="Times New Roman" w:cs="Aptos" w:eastAsia="Aptos"/>
          <w:b w:val="0"/>
          <w:i w:val="0"/>
          <w:color w:val="000000"/>
          <w:sz w:val="24"/>
        </w:rPr>
        <w:t xml:space="preserve"> — UNAVAILABLE. CHART-134: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Poverty</w:t>
      </w:r>
      <w:r>
        <w:rPr>
          <w:rFonts w:ascii="Times New Roman" w:hAnsi="Times New Roman" w:cs="Aptos" w:eastAsia="Aptos"/>
          <w:b w:val="0"/>
          <w:i w:val="0"/>
          <w:color w:val="000000"/>
          <w:sz w:val="24"/>
        </w:rPr>
        <w:t xml:space="preserve"> — UNAVAILABLE. CHART-135: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Extreme poverty</w:t>
      </w:r>
      <w:r>
        <w:rPr>
          <w:rFonts w:ascii="Times New Roman" w:hAnsi="Times New Roman" w:cs="Aptos" w:eastAsia="Aptos"/>
          <w:b w:val="0"/>
          <w:i w:val="0"/>
          <w:color w:val="000000"/>
          <w:sz w:val="24"/>
        </w:rPr>
        <w:t xml:space="preserve"> — UNAVAILABLE. CHART-136: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Employment</w:t>
      </w:r>
      <w:r>
        <w:rPr>
          <w:rFonts w:ascii="Times New Roman" w:hAnsi="Times New Roman" w:cs="Aptos" w:eastAsia="Aptos"/>
          <w:b w:val="0"/>
          <w:i w:val="0"/>
          <w:color w:val="000000"/>
          <w:sz w:val="24"/>
        </w:rPr>
        <w:t xml:space="preserve"> — UNAVAILABLE. CHART-137: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Unemployment</w:t>
      </w:r>
      <w:r>
        <w:rPr>
          <w:rFonts w:ascii="Times New Roman" w:hAnsi="Times New Roman" w:cs="Aptos" w:eastAsia="Aptos"/>
          <w:b w:val="0"/>
          <w:i w:val="0"/>
          <w:color w:val="000000"/>
          <w:sz w:val="24"/>
        </w:rPr>
        <w:t xml:space="preserve"> — UNAVAILABLE. CHART-138: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Informality</w:t>
      </w:r>
      <w:r>
        <w:rPr>
          <w:rFonts w:ascii="Times New Roman" w:hAnsi="Times New Roman" w:cs="Aptos" w:eastAsia="Aptos"/>
          <w:b w:val="0"/>
          <w:i w:val="0"/>
          <w:color w:val="000000"/>
          <w:sz w:val="24"/>
        </w:rPr>
        <w:t xml:space="preserve"> — UNAVAILABLE. CHART-139: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Remittances by household</w:t>
      </w:r>
      <w:r>
        <w:rPr>
          <w:rFonts w:ascii="Times New Roman" w:hAnsi="Times New Roman" w:cs="Aptos" w:eastAsia="Aptos"/>
          <w:b w:val="0"/>
          <w:i w:val="0"/>
          <w:color w:val="000000"/>
          <w:sz w:val="24"/>
        </w:rPr>
        <w:t xml:space="preserve"> — UNAVAILABLE. CHART-140: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USD-income share</w:t>
      </w:r>
      <w:r>
        <w:rPr>
          <w:rFonts w:ascii="Times New Roman" w:hAnsi="Times New Roman" w:cs="Aptos" w:eastAsia="Aptos"/>
          <w:b w:val="0"/>
          <w:i w:val="0"/>
          <w:color w:val="000000"/>
          <w:sz w:val="24"/>
        </w:rPr>
        <w:t xml:space="preserve"> — UNAVAILABLE. CHART-141: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Income-decile impact</w:t>
      </w:r>
      <w:r>
        <w:rPr>
          <w:rFonts w:ascii="Times New Roman" w:hAnsi="Times New Roman" w:cs="Aptos" w:eastAsia="Aptos"/>
          <w:b w:val="0"/>
          <w:i w:val="0"/>
          <w:color w:val="000000"/>
          <w:sz w:val="24"/>
        </w:rPr>
        <w:t xml:space="preserve"> — UNAVAILABLE. CHART-142: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Dollarization winners/losers</w:t>
      </w:r>
      <w:r>
        <w:rPr>
          <w:rFonts w:ascii="Times New Roman" w:hAnsi="Times New Roman" w:cs="Aptos" w:eastAsia="Aptos"/>
          <w:b w:val="0"/>
          <w:i w:val="0"/>
          <w:color w:val="000000"/>
          <w:sz w:val="24"/>
        </w:rPr>
        <w:t xml:space="preserve"> — UNAVAILABLE. CHART-143: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SME credit</w:t>
      </w:r>
      <w:r>
        <w:rPr>
          <w:rFonts w:ascii="Times New Roman" w:hAnsi="Times New Roman" w:cs="Aptos" w:eastAsia="Aptos"/>
          <w:b w:val="0"/>
          <w:i w:val="0"/>
          <w:color w:val="000000"/>
          <w:sz w:val="24"/>
        </w:rPr>
        <w:t xml:space="preserve"> — UNAVAILABLE. CHART-144: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Commercial lending</w:t>
      </w:r>
      <w:r>
        <w:rPr>
          <w:rFonts w:ascii="Times New Roman" w:hAnsi="Times New Roman" w:cs="Aptos" w:eastAsia="Aptos"/>
          <w:b w:val="0"/>
          <w:i w:val="0"/>
          <w:color w:val="000000"/>
          <w:sz w:val="24"/>
        </w:rPr>
        <w:t xml:space="preserve"> — UNAVAILABLE. CHART-145: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Borrowing rates</w:t>
      </w:r>
      <w:r>
        <w:rPr>
          <w:rFonts w:ascii="Times New Roman" w:hAnsi="Times New Roman" w:cs="Aptos" w:eastAsia="Aptos"/>
          <w:b w:val="0"/>
          <w:i w:val="0"/>
          <w:color w:val="000000"/>
          <w:sz w:val="24"/>
        </w:rPr>
        <w:t xml:space="preserve"> — UNAVAILABLE. CHART-146: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Working-capital requirements</w:t>
      </w:r>
      <w:r>
        <w:rPr>
          <w:rFonts w:ascii="Times New Roman" w:hAnsi="Times New Roman" w:cs="Aptos" w:eastAsia="Aptos"/>
          <w:b w:val="0"/>
          <w:i w:val="0"/>
          <w:color w:val="000000"/>
          <w:sz w:val="24"/>
        </w:rPr>
        <w:t xml:space="preserve"> — UNAVAILABLE. CHART-147: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Business formation</w:t>
      </w:r>
      <w:r>
        <w:rPr>
          <w:rFonts w:ascii="Times New Roman" w:hAnsi="Times New Roman" w:cs="Aptos" w:eastAsia="Aptos"/>
          <w:b w:val="0"/>
          <w:i w:val="0"/>
          <w:color w:val="000000"/>
          <w:sz w:val="24"/>
        </w:rPr>
        <w:t xml:space="preserve"> — UNAVAILABLE. CHART-148: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Business closures</w:t>
      </w:r>
      <w:r>
        <w:rPr>
          <w:rFonts w:ascii="Times New Roman" w:hAnsi="Times New Roman" w:cs="Aptos" w:eastAsia="Aptos"/>
          <w:b w:val="0"/>
          <w:i w:val="0"/>
          <w:color w:val="000000"/>
          <w:sz w:val="24"/>
        </w:rPr>
        <w:t xml:space="preserve"> — UNAVAILABLE. CHART-149: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Construction activity</w:t>
      </w:r>
      <w:r>
        <w:rPr>
          <w:rFonts w:ascii="Times New Roman" w:hAnsi="Times New Roman" w:cs="Aptos" w:eastAsia="Aptos"/>
          <w:b w:val="0"/>
          <w:i w:val="0"/>
          <w:color w:val="000000"/>
          <w:sz w:val="24"/>
        </w:rPr>
        <w:t xml:space="preserve"> — UNAVAILABLE. CHART-150: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Industrial production</w:t>
      </w:r>
      <w:r>
        <w:rPr>
          <w:rFonts w:ascii="Times New Roman" w:hAnsi="Times New Roman" w:cs="Aptos" w:eastAsia="Aptos"/>
          <w:b w:val="0"/>
          <w:i w:val="0"/>
          <w:color w:val="000000"/>
          <w:sz w:val="24"/>
        </w:rPr>
        <w:t xml:space="preserve"> — UNAVAILABLE. CHART-151: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Retail sales</w:t>
      </w:r>
      <w:r>
        <w:rPr>
          <w:rFonts w:ascii="Times New Roman" w:hAnsi="Times New Roman" w:cs="Aptos" w:eastAsia="Aptos"/>
          <w:b w:val="0"/>
          <w:i w:val="0"/>
          <w:color w:val="000000"/>
          <w:sz w:val="24"/>
        </w:rPr>
        <w:t xml:space="preserve"> — UNAVAILABLE. CHART-152: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Imports dependence</w:t>
      </w:r>
      <w:r>
        <w:rPr>
          <w:rFonts w:ascii="Times New Roman" w:hAnsi="Times New Roman" w:cs="Aptos" w:eastAsia="Aptos"/>
          <w:b w:val="0"/>
          <w:i w:val="0"/>
          <w:color w:val="000000"/>
          <w:sz w:val="24"/>
        </w:rPr>
        <w:t xml:space="preserve"> — UNAVAILABLE. CHART-153: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Corporate FX exposure</w:t>
      </w:r>
      <w:r>
        <w:rPr>
          <w:rFonts w:ascii="Times New Roman" w:hAnsi="Times New Roman" w:cs="Aptos" w:eastAsia="Aptos"/>
          <w:b w:val="0"/>
          <w:i w:val="0"/>
          <w:color w:val="000000"/>
          <w:sz w:val="24"/>
        </w:rPr>
        <w:t xml:space="preserve"> — UNAVAILABLE. CHART-154: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Ecuador inflation before/after</w:t>
      </w:r>
      <w:r>
        <w:rPr>
          <w:rFonts w:ascii="Times New Roman" w:hAnsi="Times New Roman" w:cs="Aptos" w:eastAsia="Aptos"/>
          <w:b w:val="0"/>
          <w:i w:val="0"/>
          <w:color w:val="000000"/>
          <w:sz w:val="24"/>
        </w:rPr>
        <w:t xml:space="preserve"> — UNAVAILABLE. CHART-155: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Ecuador GDP</w:t>
      </w:r>
      <w:r>
        <w:rPr>
          <w:rFonts w:ascii="Times New Roman" w:hAnsi="Times New Roman" w:cs="Aptos" w:eastAsia="Aptos"/>
          <w:b w:val="0"/>
          <w:i w:val="0"/>
          <w:color w:val="000000"/>
          <w:sz w:val="24"/>
        </w:rPr>
        <w:t xml:space="preserve"> — UNAVAILABLE. CHART-156: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Ecuador bank credit</w:t>
      </w:r>
      <w:r>
        <w:rPr>
          <w:rFonts w:ascii="Times New Roman" w:hAnsi="Times New Roman" w:cs="Aptos" w:eastAsia="Aptos"/>
          <w:b w:val="0"/>
          <w:i w:val="0"/>
          <w:color w:val="000000"/>
          <w:sz w:val="24"/>
        </w:rPr>
        <w:t xml:space="preserve"> — UNAVAILABLE. CHART-157: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Ecuador unemployment</w:t>
      </w:r>
      <w:r>
        <w:rPr>
          <w:rFonts w:ascii="Times New Roman" w:hAnsi="Times New Roman" w:cs="Aptos" w:eastAsia="Aptos"/>
          <w:b w:val="0"/>
          <w:i w:val="0"/>
          <w:color w:val="000000"/>
          <w:sz w:val="24"/>
        </w:rPr>
        <w:t xml:space="preserve"> — UNAVAILABLE. CHART-158: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Ecuador fiscal balance</w:t>
      </w:r>
      <w:r>
        <w:rPr>
          <w:rFonts w:ascii="Times New Roman" w:hAnsi="Times New Roman" w:cs="Aptos" w:eastAsia="Aptos"/>
          <w:b w:val="0"/>
          <w:i w:val="0"/>
          <w:color w:val="000000"/>
          <w:sz w:val="24"/>
        </w:rPr>
        <w:t xml:space="preserve"> — UNAVAILABLE. CHART-159: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Panama GDP</w:t>
      </w:r>
      <w:r>
        <w:rPr>
          <w:rFonts w:ascii="Times New Roman" w:hAnsi="Times New Roman" w:cs="Aptos" w:eastAsia="Aptos"/>
          <w:b w:val="0"/>
          <w:i w:val="0"/>
          <w:color w:val="000000"/>
          <w:sz w:val="24"/>
        </w:rPr>
        <w:t xml:space="preserve"> — UNAVAILABLE. CHART-160: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Panama banking credit</w:t>
      </w:r>
      <w:r>
        <w:rPr>
          <w:rFonts w:ascii="Times New Roman" w:hAnsi="Times New Roman" w:cs="Aptos" w:eastAsia="Aptos"/>
          <w:b w:val="0"/>
          <w:i w:val="0"/>
          <w:color w:val="000000"/>
          <w:sz w:val="24"/>
        </w:rPr>
        <w:t xml:space="preserve"> — UNAVAILABLE. CHART-161: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El Salvador growth</w:t>
      </w:r>
      <w:r>
        <w:rPr>
          <w:rFonts w:ascii="Times New Roman" w:hAnsi="Times New Roman" w:cs="Aptos" w:eastAsia="Aptos"/>
          <w:b w:val="0"/>
          <w:i w:val="0"/>
          <w:color w:val="000000"/>
          <w:sz w:val="24"/>
        </w:rPr>
        <w:t xml:space="preserve"> — UNAVAILABLE. CHART-162: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El Salvador debt</w:t>
      </w:r>
      <w:r>
        <w:rPr>
          <w:rFonts w:ascii="Times New Roman" w:hAnsi="Times New Roman" w:cs="Aptos" w:eastAsia="Aptos"/>
          <w:b w:val="0"/>
          <w:i w:val="0"/>
          <w:color w:val="000000"/>
          <w:sz w:val="24"/>
        </w:rPr>
        <w:t xml:space="preserve"> — UNAVAILABLE. CHART-163: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Cross-country inflation</w:t>
      </w:r>
      <w:r>
        <w:rPr>
          <w:rFonts w:ascii="Times New Roman" w:hAnsi="Times New Roman" w:cs="Aptos" w:eastAsia="Aptos"/>
          <w:b w:val="0"/>
          <w:i w:val="0"/>
          <w:color w:val="000000"/>
          <w:sz w:val="24"/>
        </w:rPr>
        <w:t xml:space="preserve"> — UNAVAILABLE. CHART-164: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Cross-country GDP</w:t>
      </w:r>
      <w:r>
        <w:rPr>
          <w:rFonts w:ascii="Times New Roman" w:hAnsi="Times New Roman" w:cs="Aptos" w:eastAsia="Aptos"/>
          <w:b w:val="0"/>
          <w:i w:val="0"/>
          <w:color w:val="000000"/>
          <w:sz w:val="24"/>
        </w:rPr>
        <w:t xml:space="preserve"> — UNAVAILABLE. CHART-165: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Cross-country credit/GDP</w:t>
      </w:r>
      <w:r>
        <w:rPr>
          <w:rFonts w:ascii="Times New Roman" w:hAnsi="Times New Roman" w:cs="Aptos" w:eastAsia="Aptos"/>
          <w:b w:val="0"/>
          <w:i w:val="0"/>
          <w:color w:val="000000"/>
          <w:sz w:val="24"/>
        </w:rPr>
        <w:t xml:space="preserve"> — UNAVAILABLE. CHART-166: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Cross-country debt/GDP</w:t>
      </w:r>
      <w:r>
        <w:rPr>
          <w:rFonts w:ascii="Times New Roman" w:hAnsi="Times New Roman" w:cs="Aptos" w:eastAsia="Aptos"/>
          <w:b w:val="0"/>
          <w:i w:val="0"/>
          <w:color w:val="000000"/>
          <w:sz w:val="24"/>
        </w:rPr>
        <w:t xml:space="preserve"> — UNAVAILABLE. CHART-167: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Dollarization outcomes matrix</w:t>
      </w:r>
      <w:r>
        <w:rPr>
          <w:rFonts w:ascii="Times New Roman" w:hAnsi="Times New Roman" w:cs="Aptos" w:eastAsia="Aptos"/>
          <w:b w:val="0"/>
          <w:i w:val="0"/>
          <w:color w:val="000000"/>
          <w:sz w:val="24"/>
        </w:rPr>
        <w:t xml:space="preserve"> — UNAVAILABLE. CHART-168: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DSGE GDP impulse</w:t>
      </w:r>
      <w:r>
        <w:rPr>
          <w:rFonts w:ascii="Times New Roman" w:hAnsi="Times New Roman" w:cs="Aptos" w:eastAsia="Aptos"/>
          <w:b w:val="0"/>
          <w:i w:val="0"/>
          <w:color w:val="000000"/>
          <w:sz w:val="24"/>
        </w:rPr>
        <w:t xml:space="preserve"> — UNAVAILABLE. CHART-169: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DSGE inflation impulse</w:t>
      </w:r>
      <w:r>
        <w:rPr>
          <w:rFonts w:ascii="Times New Roman" w:hAnsi="Times New Roman" w:cs="Aptos" w:eastAsia="Aptos"/>
          <w:b w:val="0"/>
          <w:i w:val="0"/>
          <w:color w:val="000000"/>
          <w:sz w:val="24"/>
        </w:rPr>
        <w:t xml:space="preserve"> — UNAVAILABLE. CHART-170: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DSGE credit impulse</w:t>
      </w:r>
      <w:r>
        <w:rPr>
          <w:rFonts w:ascii="Times New Roman" w:hAnsi="Times New Roman" w:cs="Aptos" w:eastAsia="Aptos"/>
          <w:b w:val="0"/>
          <w:i w:val="0"/>
          <w:color w:val="000000"/>
          <w:sz w:val="24"/>
        </w:rPr>
        <w:t xml:space="preserve"> — UNAVAILABLE. CHART-171: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Oil shock</w:t>
      </w:r>
      <w:r>
        <w:rPr>
          <w:rFonts w:ascii="Times New Roman" w:hAnsi="Times New Roman" w:cs="Aptos" w:eastAsia="Aptos"/>
          <w:b w:val="0"/>
          <w:i w:val="0"/>
          <w:color w:val="000000"/>
          <w:sz w:val="24"/>
        </w:rPr>
        <w:t xml:space="preserve"> — UNAVAILABLE. CHART-172: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Fiscal shock</w:t>
      </w:r>
      <w:r>
        <w:rPr>
          <w:rFonts w:ascii="Times New Roman" w:hAnsi="Times New Roman" w:cs="Aptos" w:eastAsia="Aptos"/>
          <w:b w:val="0"/>
          <w:i w:val="0"/>
          <w:color w:val="000000"/>
          <w:sz w:val="24"/>
        </w:rPr>
        <w:t xml:space="preserve"> — UNAVAILABLE. CHART-173: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Bank-run shock</w:t>
      </w:r>
      <w:r>
        <w:rPr>
          <w:rFonts w:ascii="Times New Roman" w:hAnsi="Times New Roman" w:cs="Aptos" w:eastAsia="Aptos"/>
          <w:b w:val="0"/>
          <w:i w:val="0"/>
          <w:color w:val="000000"/>
          <w:sz w:val="24"/>
        </w:rPr>
        <w:t xml:space="preserve"> — UNAVAILABLE. CHART-174: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Capital-flight shock</w:t>
      </w:r>
      <w:r>
        <w:rPr>
          <w:rFonts w:ascii="Times New Roman" w:hAnsi="Times New Roman" w:cs="Aptos" w:eastAsia="Aptos"/>
          <w:b w:val="0"/>
          <w:i w:val="0"/>
          <w:color w:val="000000"/>
          <w:sz w:val="24"/>
        </w:rPr>
        <w:t xml:space="preserve"> — UNAVAILABLE. CHART-175: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Monte Carlo GDP distribution</w:t>
      </w:r>
      <w:r>
        <w:rPr>
          <w:rFonts w:ascii="Times New Roman" w:hAnsi="Times New Roman" w:cs="Aptos" w:eastAsia="Aptos"/>
          <w:b w:val="0"/>
          <w:i w:val="0"/>
          <w:color w:val="000000"/>
          <w:sz w:val="24"/>
        </w:rPr>
        <w:t xml:space="preserve"> — UNAVAILABLE. CHART-176: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Reserve distribution</w:t>
      </w:r>
      <w:r>
        <w:rPr>
          <w:rFonts w:ascii="Times New Roman" w:hAnsi="Times New Roman" w:cs="Aptos" w:eastAsia="Aptos"/>
          <w:b w:val="0"/>
          <w:i w:val="0"/>
          <w:color w:val="000000"/>
          <w:sz w:val="24"/>
        </w:rPr>
        <w:t xml:space="preserve"> — UNAVAILABLE. CHART-177: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Fiscal-deficit distribution</w:t>
      </w:r>
      <w:r>
        <w:rPr>
          <w:rFonts w:ascii="Times New Roman" w:hAnsi="Times New Roman" w:cs="Aptos" w:eastAsia="Aptos"/>
          <w:b w:val="0"/>
          <w:i w:val="0"/>
          <w:color w:val="000000"/>
          <w:sz w:val="24"/>
        </w:rPr>
        <w:t xml:space="preserve"> — UNAVAILABLE. CHART-178: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Banking-crisis risk distribution</w:t>
      </w:r>
      <w:r>
        <w:rPr>
          <w:rFonts w:ascii="Times New Roman" w:hAnsi="Times New Roman" w:cs="Aptos" w:eastAsia="Aptos"/>
          <w:b w:val="0"/>
          <w:i w:val="0"/>
          <w:color w:val="000000"/>
          <w:sz w:val="24"/>
        </w:rPr>
        <w:t xml:space="preserve"> — UNAVAILABLE. CHART-179: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Regime success distribution</w:t>
      </w:r>
      <w:r>
        <w:rPr>
          <w:rFonts w:ascii="Times New Roman" w:hAnsi="Times New Roman" w:cs="Aptos" w:eastAsia="Aptos"/>
          <w:b w:val="0"/>
          <w:i w:val="0"/>
          <w:color w:val="000000"/>
          <w:sz w:val="24"/>
        </w:rPr>
        <w:t xml:space="preserve"> — UNAVAILABLE. CHART-180: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Sensitivity tornado chart</w:t>
      </w:r>
      <w:r>
        <w:rPr>
          <w:rFonts w:ascii="Times New Roman" w:hAnsi="Times New Roman" w:cs="Aptos" w:eastAsia="Aptos"/>
          <w:b w:val="0"/>
          <w:i w:val="0"/>
          <w:color w:val="000000"/>
          <w:sz w:val="24"/>
        </w:rPr>
        <w:t xml:space="preserve"> — UNAVAILABLE. CHART-181: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Parameter sensitivity</w:t>
      </w:r>
      <w:r>
        <w:rPr>
          <w:rFonts w:ascii="Times New Roman" w:hAnsi="Times New Roman" w:cs="Aptos" w:eastAsia="Aptos"/>
          <w:b w:val="0"/>
          <w:i w:val="0"/>
          <w:color w:val="000000"/>
          <w:sz w:val="24"/>
        </w:rPr>
        <w:t xml:space="preserve"> — UNAVAILABLE. CHART-182: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Scenario fan chart</w:t>
      </w:r>
      <w:r>
        <w:rPr>
          <w:rFonts w:ascii="Times New Roman" w:hAnsi="Times New Roman" w:cs="Aptos" w:eastAsia="Aptos"/>
          <w:b w:val="0"/>
          <w:i w:val="0"/>
          <w:color w:val="000000"/>
          <w:sz w:val="24"/>
        </w:rPr>
        <w:t xml:space="preserve"> — UNAVAILABLE. CHART-183: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Dollarization Readiness Index</w:t>
      </w:r>
      <w:r>
        <w:rPr>
          <w:rFonts w:ascii="Times New Roman" w:hAnsi="Times New Roman" w:cs="Aptos" w:eastAsia="Aptos"/>
          <w:b w:val="0"/>
          <w:i w:val="0"/>
          <w:color w:val="000000"/>
          <w:sz w:val="24"/>
        </w:rPr>
        <w:t xml:space="preserve"> — UNAVAILABLE. CHART-184: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Monetary readiness</w:t>
      </w:r>
      <w:r>
        <w:rPr>
          <w:rFonts w:ascii="Times New Roman" w:hAnsi="Times New Roman" w:cs="Aptos" w:eastAsia="Aptos"/>
          <w:b w:val="0"/>
          <w:i w:val="0"/>
          <w:color w:val="000000"/>
          <w:sz w:val="24"/>
        </w:rPr>
        <w:t xml:space="preserve"> — UNAVAILABLE. CHART-185: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Banking readiness</w:t>
      </w:r>
      <w:r>
        <w:rPr>
          <w:rFonts w:ascii="Times New Roman" w:hAnsi="Times New Roman" w:cs="Aptos" w:eastAsia="Aptos"/>
          <w:b w:val="0"/>
          <w:i w:val="0"/>
          <w:color w:val="000000"/>
          <w:sz w:val="24"/>
        </w:rPr>
        <w:t xml:space="preserve"> — UNAVAILABLE. CHART-186: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Fiscal readiness</w:t>
      </w:r>
      <w:r>
        <w:rPr>
          <w:rFonts w:ascii="Times New Roman" w:hAnsi="Times New Roman" w:cs="Aptos" w:eastAsia="Aptos"/>
          <w:b w:val="0"/>
          <w:i w:val="0"/>
          <w:color w:val="000000"/>
          <w:sz w:val="24"/>
        </w:rPr>
        <w:t xml:space="preserve"> — UNAVAILABLE. CHART-187: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Reserve readiness</w:t>
      </w:r>
      <w:r>
        <w:rPr>
          <w:rFonts w:ascii="Times New Roman" w:hAnsi="Times New Roman" w:cs="Aptos" w:eastAsia="Aptos"/>
          <w:b w:val="0"/>
          <w:i w:val="0"/>
          <w:color w:val="000000"/>
          <w:sz w:val="24"/>
        </w:rPr>
        <w:t xml:space="preserve"> — UNAVAILABLE. CHART-188: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External readiness</w:t>
      </w:r>
      <w:r>
        <w:rPr>
          <w:rFonts w:ascii="Times New Roman" w:hAnsi="Times New Roman" w:cs="Aptos" w:eastAsia="Aptos"/>
          <w:b w:val="0"/>
          <w:i w:val="0"/>
          <w:color w:val="000000"/>
          <w:sz w:val="24"/>
        </w:rPr>
        <w:t xml:space="preserve"> — UNAVAILABLE. CHART-189: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Debt readiness</w:t>
      </w:r>
      <w:r>
        <w:rPr>
          <w:rFonts w:ascii="Times New Roman" w:hAnsi="Times New Roman" w:cs="Aptos" w:eastAsia="Aptos"/>
          <w:b w:val="0"/>
          <w:i w:val="0"/>
          <w:color w:val="000000"/>
          <w:sz w:val="24"/>
        </w:rPr>
        <w:t xml:space="preserve"> — UNAVAILABLE. CHART-190: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Institutional readiness</w:t>
      </w:r>
      <w:r>
        <w:rPr>
          <w:rFonts w:ascii="Times New Roman" w:hAnsi="Times New Roman" w:cs="Aptos" w:eastAsia="Aptos"/>
          <w:b w:val="0"/>
          <w:i w:val="0"/>
          <w:color w:val="000000"/>
          <w:sz w:val="24"/>
        </w:rPr>
        <w:t xml:space="preserve"> — UNAVAILABLE. CHART-191: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Social readiness</w:t>
      </w:r>
      <w:r>
        <w:rPr>
          <w:rFonts w:ascii="Times New Roman" w:hAnsi="Times New Roman" w:cs="Aptos" w:eastAsia="Aptos"/>
          <w:b w:val="0"/>
          <w:i w:val="0"/>
          <w:color w:val="000000"/>
          <w:sz w:val="24"/>
        </w:rPr>
        <w:t xml:space="preserve"> — UNAVAILABLE. CHART-192: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Regime scorecard</w:t>
      </w:r>
      <w:r>
        <w:rPr>
          <w:rFonts w:ascii="Times New Roman" w:hAnsi="Times New Roman" w:cs="Aptos" w:eastAsia="Aptos"/>
          <w:b w:val="0"/>
          <w:i w:val="0"/>
          <w:color w:val="000000"/>
          <w:sz w:val="24"/>
        </w:rPr>
        <w:t xml:space="preserve"> — UNAVAILABLE. CHART-193: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Policy trade-off frontier</w:t>
      </w:r>
      <w:r>
        <w:rPr>
          <w:rFonts w:ascii="Times New Roman" w:hAnsi="Times New Roman" w:cs="Aptos" w:eastAsia="Aptos"/>
          <w:b w:val="0"/>
          <w:i w:val="0"/>
          <w:color w:val="000000"/>
          <w:sz w:val="24"/>
        </w:rPr>
        <w:t xml:space="preserve"> — UNAVAILABLE. CHART-194: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Implementation timeline</w:t>
      </w:r>
      <w:r>
        <w:rPr>
          <w:rFonts w:ascii="Times New Roman" w:hAnsi="Times New Roman" w:cs="Aptos" w:eastAsia="Aptos"/>
          <w:b w:val="0"/>
          <w:i w:val="0"/>
          <w:color w:val="000000"/>
          <w:sz w:val="24"/>
        </w:rPr>
        <w:t xml:space="preserve"> — UNAVAILABLE. CHART-195: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Funding waterfall</w:t>
      </w:r>
      <w:r>
        <w:rPr>
          <w:rFonts w:ascii="Times New Roman" w:hAnsi="Times New Roman" w:cs="Aptos" w:eastAsia="Aptos"/>
          <w:b w:val="0"/>
          <w:i w:val="0"/>
          <w:color w:val="000000"/>
          <w:sz w:val="24"/>
        </w:rPr>
        <w:t xml:space="preserve"> — UNAVAILABLE. CHART-196: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Dependency diagram</w:t>
      </w:r>
      <w:r>
        <w:rPr>
          <w:rFonts w:ascii="Times New Roman" w:hAnsi="Times New Roman" w:cs="Aptos" w:eastAsia="Aptos"/>
          <w:b w:val="0"/>
          <w:i w:val="0"/>
          <w:color w:val="000000"/>
          <w:sz w:val="24"/>
        </w:rPr>
        <w:t xml:space="preserve"> — UNAVAILABLE. CHART-197: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Critical-path chart</w:t>
      </w:r>
      <w:r>
        <w:rPr>
          <w:rFonts w:ascii="Times New Roman" w:hAnsi="Times New Roman" w:cs="Aptos" w:eastAsia="Aptos"/>
          <w:b w:val="0"/>
          <w:i w:val="0"/>
          <w:color w:val="000000"/>
          <w:sz w:val="24"/>
        </w:rPr>
        <w:t xml:space="preserve"> — UNAVAILABLE. CHART-198: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GO / NO-GO dashboard</w:t>
      </w:r>
      <w:r>
        <w:rPr>
          <w:rFonts w:ascii="Times New Roman" w:hAnsi="Times New Roman" w:cs="Aptos" w:eastAsia="Aptos"/>
          <w:b w:val="0"/>
          <w:i w:val="0"/>
          <w:color w:val="000000"/>
          <w:sz w:val="24"/>
        </w:rPr>
        <w:t xml:space="preserve"> — UNAVAILABLE. CHART-199: chart withheld until the underlying dated series is verified.</w:t>
      </w:r>
    </w:p>
    <w:p>
      <w:pPr>
        <w:pStyle w:val="ListBullet"/>
        <w:spacing w:line="480" w:lineRule="auto"/>
        <w:jc w:val="both"/>
      </w:pPr>
      <w:r>
        <w:rPr>
          <w:rFonts w:ascii="Times New Roman" w:hAnsi="Times New Roman" w:cs="Aptos" w:eastAsia="Aptos"/>
          <w:b/>
          <w:i w:val="0"/>
          <w:color w:val="000000"/>
          <w:sz w:val="24"/>
        </w:rPr>
        <w:t>Sankey USD flows</w:t>
      </w:r>
      <w:r>
        <w:rPr>
          <w:rFonts w:ascii="Times New Roman" w:hAnsi="Times New Roman" w:cs="Aptos" w:eastAsia="Aptos"/>
          <w:b w:val="0"/>
          <w:i w:val="0"/>
          <w:color w:val="000000"/>
          <w:sz w:val="24"/>
        </w:rPr>
        <w:t xml:space="preserve"> — UNAVAILABLE. CHART-200: chart withheld until the underlying dated series is verified.</w:t>
      </w:r>
    </w:p>
    <w:p>
      <w:pPr>
        <w:spacing w:before="240" w:line="480" w:lineRule="auto"/>
        <w:jc w:val="both"/>
      </w:pPr>
      <w:r>
        <w:rPr>
          <w:rFonts w:ascii="Times New Roman" w:hAnsi="Times New Roman" w:cs="Aptos" w:eastAsia="Aptos"/>
          <w:b/>
          <w:i w:val="0"/>
          <w:color w:val="000000"/>
          <w:sz w:val="24"/>
        </w:rPr>
        <w:t>REVIEW</w:t>
      </w:r>
    </w:p>
    <w:p>
      <w:pPr>
        <w:spacing w:line="480" w:lineRule="auto"/>
        <w:jc w:val="both"/>
      </w:pPr>
      <w:r>
        <w:rPr>
          <w:rFonts w:ascii="Times New Roman" w:hAnsi="Times New Roman" w:cs="Aptos" w:eastAsia="Aptos"/>
          <w:b w:val="0"/>
          <w:i w:val="0"/>
          <w:color w:val="000000"/>
          <w:sz w:val="24"/>
        </w:rPr>
        <w:t>Human review is optional and post-run only: `review_required: false`. [[END MACHINE-VALIDATED INDEX]]</w:t>
      </w:r>
    </w:p>
    <w:sectPr w:rsidR="00FC693F" w:rsidRPr="0006063C" w:rsidSect="00034616">
      <w:headerReference w:type="default" r:id="rId9"/>
      <w:footerReference w:type="default" r:id="rId10"/>
      <w:pgSz w:w="12240" w:h="15840"/>
      <w:pgMar w:top="1440" w:right="1440" w:bottom="1440"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HAEIS THESIS REVIEW EDITION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s="Aptos" w:eastAsia="Aptos"/>
        <w:color w:val="646464"/>
        <w:sz w:val="16"/>
      </w:rPr>
      <w:t>HAEIS  |  Venezuela Dollarization White Paper  |  Preliminary Review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3737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Venezuela Dollarization — Thesis Research Report</dc:title>
  <dc:subject>HAEIS evidence-led sovereign-macro thesis review edition</dc:subject>
  <dc:creator>Hanke Applied Economics Intelligence System (HAEIS)</dc:creator>
  <cp:keywords/>
  <dc:description>Preliminary reading draft. Not decision-grade. Missing and disputed data are explicitly marked.</dc:description>
  <cp:lastModifiedBy/>
  <cp:revision>1</cp:revision>
  <dcterms:created xsi:type="dcterms:W3CDTF">2013-12-23T23:15:00Z</dcterms:created>
  <dcterms:modified xsi:type="dcterms:W3CDTF">2013-12-23T23:15:00Z</dcterms:modified>
  <cp:category/>
</cp:coreProperties>
</file>