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rFonts w:ascii="Times New Roman" w:hAnsi="Times New Roman" w:cs="Times New Roman"/>
          <w:b/>
          <w:i w:val="0"/>
          <w:color w:val="000000"/>
          <w:sz w:val="20"/>
        </w:rPr>
        <w:t>Venezuela Dollarization White Paper</w:t>
      </w:r>
    </w:p>
    <w:p>
      <w:pPr>
        <w:spacing w:before="240"/>
        <w:jc w:val="center"/>
      </w:pPr>
      <w:r>
        <w:rPr>
          <w:rFonts w:ascii="Times New Roman" w:hAnsi="Times New Roman" w:cs="Times New Roman"/>
          <w:b/>
          <w:i w:val="0"/>
          <w:color w:val="000000"/>
          <w:sz w:val="20"/>
        </w:rPr>
        <w:t>MONETARY, BANKING, FISCAL, EXTERNAL-SECTOR, LEGAL, AND SOCIAL ANALYSIS</w:t>
      </w:r>
    </w:p>
    <w:p>
      <w:pPr>
        <w:jc w:val="both"/>
      </w:pPr>
      <w:r>
        <w:rPr>
          <w:rFonts w:ascii="Times New Roman" w:hAnsi="Times New Roman" w:cs="Times New Roman"/>
          <w:b/>
          <w:i w:val="0"/>
          <w:color w:val="000000"/>
          <w:sz w:val="20"/>
        </w:rPr>
        <w:t>Edition:</w:t>
      </w:r>
      <w:r>
        <w:rPr>
          <w:rFonts w:ascii="Times New Roman" w:hAnsi="Times New Roman" w:cs="Times New Roman"/>
          <w:b w:val="0"/>
          <w:i w:val="0"/>
          <w:color w:val="000000"/>
          <w:sz w:val="20"/>
        </w:rPr>
        <w:t xml:space="preserve"> Preliminary white-paper reading draft  </w:t>
      </w:r>
    </w:p>
    <w:p>
      <w:pPr>
        <w:jc w:val="both"/>
      </w:pPr>
      <w:r>
        <w:rPr>
          <w:rFonts w:ascii="Times New Roman" w:hAnsi="Times New Roman" w:cs="Times New Roman"/>
          <w:b/>
          <w:i w:val="0"/>
          <w:color w:val="000000"/>
          <w:sz w:val="20"/>
        </w:rPr>
        <w:t>Status:</w:t>
      </w:r>
      <w:r>
        <w:rPr>
          <w:rFonts w:ascii="Times New Roman" w:hAnsi="Times New Roman" w:cs="Times New Roman"/>
          <w:b w:val="0"/>
          <w:i w:val="0"/>
          <w:color w:val="000000"/>
          <w:sz w:val="20"/>
        </w:rPr>
        <w:t xml:space="preserve"> `UNVERIFIED / NON-DECISION-GRADE`  </w:t>
      </w:r>
    </w:p>
    <w:p>
      <w:pPr>
        <w:jc w:val="both"/>
      </w:pPr>
      <w:r>
        <w:rPr>
          <w:rFonts w:ascii="Times New Roman" w:hAnsi="Times New Roman" w:cs="Times New Roman"/>
          <w:b/>
          <w:i w:val="0"/>
          <w:color w:val="000000"/>
          <w:sz w:val="20"/>
        </w:rPr>
        <w:t>Method:</w:t>
      </w:r>
      <w:r>
        <w:rPr>
          <w:rFonts w:ascii="Times New Roman" w:hAnsi="Times New Roman" w:cs="Times New Roman"/>
          <w:b w:val="0"/>
          <w:i w:val="0"/>
          <w:color w:val="000000"/>
          <w:sz w:val="20"/>
        </w:rPr>
        <w:t xml:space="preserve"> HAEIS Economic Reporting skill  </w:t>
      </w:r>
    </w:p>
    <w:p>
      <w:pPr>
        <w:jc w:val="both"/>
      </w:pPr>
      <w:r>
        <w:rPr>
          <w:rFonts w:ascii="Times New Roman" w:hAnsi="Times New Roman" w:cs="Times New Roman"/>
          <w:b/>
          <w:i w:val="0"/>
          <w:color w:val="000000"/>
          <w:sz w:val="20"/>
        </w:rPr>
        <w:t>Scope:</w:t>
      </w:r>
      <w:r>
        <w:rPr>
          <w:rFonts w:ascii="Times New Roman" w:hAnsi="Times New Roman" w:cs="Times New Roman"/>
          <w:b w:val="0"/>
          <w:i w:val="0"/>
          <w:color w:val="000000"/>
          <w:sz w:val="20"/>
        </w:rPr>
        <w:t xml:space="preserve"> Venezuela official dollarization, currency-board, dual-currency, and alternative monetary regimes</w:t>
      </w:r>
    </w:p>
    <w:p>
      <w:pPr>
        <w:spacing w:after="160"/>
      </w:pPr>
      <w:r>
        <w:rPr>
          <w:rFonts w:ascii="Times New Roman" w:hAnsi="Times New Roman" w:cs="Times New Roman"/>
          <w:b w:val="0"/>
          <w:i/>
          <w:color w:val="505050"/>
          <w:sz w:val="18"/>
        </w:rPr>
        <w:t>This white paper is a structured research draft. It is designed for reading and review while the full 80-case evidence universe and current Venezuela data are being ingested. It does not constitute a final policy recommendation.</w:t>
      </w:r>
    </w:p>
    <w:p>
      <w:pPr>
        <w:spacing w:before="240"/>
        <w:jc w:val="center"/>
      </w:pPr>
      <w:r>
        <w:rPr>
          <w:rFonts w:ascii="Times New Roman" w:hAnsi="Times New Roman" w:cs="Times New Roman"/>
          <w:b/>
          <w:i w:val="0"/>
          <w:color w:val="000000"/>
          <w:sz w:val="20"/>
        </w:rPr>
        <w:t>EVIDENCE LABELS</w:t>
      </w:r>
    </w:p>
    <w:p>
      <w:pPr>
        <w:jc w:val="both"/>
      </w:pPr>
      <w:r>
        <w:rPr>
          <w:rFonts w:ascii="Times New Roman" w:hAnsi="Times New Roman" w:cs="Times New Roman"/>
          <w:b w:val="0"/>
          <w:i w:val="0"/>
          <w:color w:val="000000"/>
          <w:sz w:val="20"/>
        </w:rPr>
        <w:t>`VERIFIED` = locally inspected primary or authoritative record with locator.   `PROVISIONAL` = source is credible but the complete verification boundary is incomplete.   `ESTIMATED` = estimate from a documented external source.   `MODELED` = scenario output or assumption.   `DISPUTED` = conflicting or contested evidence.   `UNAVAILABLE` = no defensible observation currently ingested.</w:t>
      </w:r>
    </w:p>
    <w:p>
      <w:pPr>
        <w:spacing w:before="240"/>
        <w:jc w:val="center"/>
      </w:pPr>
      <w:r>
        <w:rPr>
          <w:rFonts w:ascii="Times New Roman" w:hAnsi="Times New Roman" w:cs="Times New Roman"/>
          <w:b/>
          <w:i w:val="0"/>
          <w:color w:val="000000"/>
          <w:sz w:val="20"/>
        </w:rPr>
        <w:t>PART I — Executive Policy Assessment</w:t>
      </w:r>
    </w:p>
    <w:p>
      <w:pPr>
        <w:spacing w:before="240"/>
        <w:jc w:val="center"/>
      </w:pPr>
      <w:r>
        <w:rPr>
          <w:rFonts w:ascii="Times New Roman" w:hAnsi="Times New Roman" w:cs="Times New Roman"/>
          <w:b/>
          <w:i w:val="0"/>
          <w:color w:val="000000"/>
          <w:sz w:val="20"/>
        </w:rPr>
        <w:t>1. EXECUTIVE SUMMARY</w:t>
      </w:r>
    </w:p>
    <w:p>
      <w:pPr>
        <w:jc w:val="both"/>
      </w:pPr>
      <w:r>
        <w:rPr>
          <w:rFonts w:ascii="Times New Roman" w:hAnsi="Times New Roman" w:cs="Times New Roman"/>
          <w:b w:val="0"/>
          <w:i w:val="0"/>
          <w:color w:val="000000"/>
          <w:sz w:val="20"/>
        </w:rPr>
        <w:t>Venezuela’s dollarization question is a question about institutional redesign, not simply currency substitution. Formal dollarization would affect the central bank, commercial banks, government financing, public contracts, wages, pensions, debt service, payment systems, and external adjustment.</w:t>
      </w:r>
    </w:p>
    <w:p>
      <w:pPr>
        <w:jc w:val="both"/>
      </w:pPr>
      <w:r>
        <w:rPr>
          <w:rFonts w:ascii="Times New Roman" w:hAnsi="Times New Roman" w:cs="Times New Roman"/>
          <w:b w:val="0"/>
          <w:i w:val="0"/>
          <w:color w:val="000000"/>
          <w:sz w:val="20"/>
        </w:rPr>
        <w:t>The principal possible benefit is monetary credibility. The principal possible cost is the loss of domestic monetary flexibility and a conventional lender of last resort. The outcome would depend on reserve liquidity, bank capitalization, fiscal adjustment, external dollar inflows, debt restructuring, legal execution, and institutional credibility.</w:t>
      </w:r>
    </w:p>
    <w:p>
      <w:pPr>
        <w:jc w:val="both"/>
      </w:pPr>
      <w:r>
        <w:rPr>
          <w:rFonts w:ascii="Times New Roman" w:hAnsi="Times New Roman" w:cs="Times New Roman"/>
          <w:b/>
          <w:i w:val="0"/>
          <w:color w:val="000000"/>
          <w:sz w:val="20"/>
        </w:rPr>
        <w:t>Current evidence status:</w:t>
      </w:r>
      <w:r>
        <w:rPr>
          <w:rFonts w:ascii="Times New Roman" w:hAnsi="Times New Roman" w:cs="Times New Roman"/>
          <w:b w:val="0"/>
          <w:i w:val="0"/>
          <w:color w:val="000000"/>
          <w:sz w:val="20"/>
        </w:rPr>
        <w:t xml:space="preserve"> current BCV monetary aggregates, SUDEBAN banking aggregates, liquid reserves, fiscal financing, net oil FX, current PDVSA debt, and USD circulation are not sufficiently verified for a decision-grade conclusion.</w:t>
      </w:r>
    </w:p>
    <w:p>
      <w:pPr>
        <w:spacing w:before="240"/>
        <w:jc w:val="center"/>
      </w:pPr>
      <w:r>
        <w:rPr>
          <w:rFonts w:ascii="Times New Roman" w:hAnsi="Times New Roman" w:cs="Times New Roman"/>
          <w:b/>
          <w:i w:val="0"/>
          <w:color w:val="000000"/>
          <w:sz w:val="20"/>
        </w:rPr>
        <w:t>2. POLICY VERDICT</w:t>
      </w:r>
    </w:p>
    <w:tbl>
      <w:tblPr>
        <w:tblW w:type="auto" w:w="0"/>
        <w:tblLook w:firstColumn="1" w:firstRow="1" w:lastColumn="0" w:lastRow="0" w:noHBand="0" w:noVBand="1" w:val="04A0"/>
      </w:tblPr>
      <w:tblGrid>
        <w:gridCol w:w="3130"/>
        <w:gridCol w:w="3130"/>
        <w:gridCol w:w="3130"/>
      </w:tblGrid>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Dimension</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Preliminary assessment</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Evidence status</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Monetary stabilization</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Potentially positive</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MODELED / UNVERIFIED</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Inflation credibility</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Potentially positive</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FRAMEWORK-BASED</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Fiscal adjustment requirement</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Severe if monetary financing is material</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Banking liquidity</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High transition risk</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Initial credit availability</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High risk</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MODELED</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External-shock resilience</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Dependent on net USD inflows</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Political feasibility</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Unresolved</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Institutional readiness</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Unresolved</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Reserve adequacy</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To be verified</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Long-term viability</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Conditional</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UNRESOLVED</w:t>
            </w:r>
          </w:p>
        </w:tc>
      </w:tr>
    </w:tbl>
    <w:p/>
    <w:p>
      <w:pPr>
        <w:jc w:val="both"/>
      </w:pPr>
      <w:r>
        <w:rPr>
          <w:rFonts w:ascii="Times New Roman" w:hAnsi="Times New Roman" w:cs="Times New Roman"/>
          <w:b w:val="0"/>
          <w:i w:val="0"/>
          <w:color w:val="000000"/>
          <w:sz w:val="20"/>
        </w:rPr>
        <w:t>This table is not a recommendation. It identifies the questions that must be answered.</w:t>
      </w:r>
    </w:p>
    <w:p>
      <w:pPr>
        <w:spacing w:before="240"/>
        <w:jc w:val="center"/>
      </w:pPr>
      <w:r>
        <w:rPr>
          <w:rFonts w:ascii="Times New Roman" w:hAnsi="Times New Roman" w:cs="Times New Roman"/>
          <w:b/>
          <w:i w:val="0"/>
          <w:color w:val="000000"/>
          <w:sz w:val="20"/>
        </w:rPr>
        <w:t>3. CONDITIONS REQUIRED BEFORE CONVERSION</w:t>
      </w:r>
    </w:p>
    <w:p>
      <w:pPr>
        <w:jc w:val="both"/>
      </w:pPr>
      <w:r>
        <w:rPr>
          <w:rFonts w:ascii="Times New Roman" w:hAnsi="Times New Roman" w:cs="Times New Roman"/>
          <w:b w:val="0"/>
          <w:i w:val="0"/>
          <w:color w:val="000000"/>
          <w:sz w:val="20"/>
        </w:rPr>
        <w:t>Required conditions include an audited BCV balance sheet, verified monetary aggregates, bank asset-quality reviews, reserve classification, fiscal stabilization, debt restructuring, deposit-conversion rules, emergency liquidity, payment-system testing, contract-conversion law, and protection for low-income households.</w:t>
      </w:r>
    </w:p>
    <w:p>
      <w:pPr>
        <w:spacing w:before="240"/>
        <w:jc w:val="center"/>
      </w:pPr>
      <w:r>
        <w:rPr>
          <w:rFonts w:ascii="Times New Roman" w:hAnsi="Times New Roman" w:cs="Times New Roman"/>
          <w:b/>
          <w:i w:val="0"/>
          <w:color w:val="000000"/>
          <w:sz w:val="20"/>
        </w:rPr>
        <w:t>PART II — Venezuelan Macroeconomic Baseline</w:t>
      </w:r>
    </w:p>
    <w:p>
      <w:pPr>
        <w:spacing w:before="240"/>
        <w:jc w:val="center"/>
      </w:pPr>
      <w:r>
        <w:rPr>
          <w:rFonts w:ascii="Times New Roman" w:hAnsi="Times New Roman" w:cs="Times New Roman"/>
          <w:b/>
          <w:i w:val="0"/>
          <w:color w:val="000000"/>
          <w:sz w:val="20"/>
        </w:rPr>
        <w:t>4. ECONOMIC STRUCTURE</w:t>
      </w:r>
    </w:p>
    <w:p>
      <w:pPr>
        <w:jc w:val="both"/>
      </w:pPr>
      <w:r>
        <w:rPr>
          <w:rFonts w:ascii="Times New Roman" w:hAnsi="Times New Roman" w:cs="Times New Roman"/>
          <w:b w:val="0"/>
          <w:i w:val="0"/>
          <w:color w:val="000000"/>
          <w:sz w:val="20"/>
        </w:rPr>
        <w:t>The white paper must separate oil and non-oil GDP, public and private activity, formal and informal employment, infrastructure, capital stock, migration, and productivity. Current source-bound values for this full baseline are `UNAVAILABLE` in the present intake.</w:t>
      </w:r>
    </w:p>
    <w:p>
      <w:pPr>
        <w:spacing w:before="240"/>
        <w:jc w:val="center"/>
      </w:pPr>
      <w:r>
        <w:rPr>
          <w:rFonts w:ascii="Times New Roman" w:hAnsi="Times New Roman" w:cs="Times New Roman"/>
          <w:b/>
          <w:i w:val="0"/>
          <w:color w:val="000000"/>
          <w:sz w:val="20"/>
        </w:rPr>
        <w:t>5. HISTORICAL CONTRACTION</w:t>
      </w:r>
    </w:p>
    <w:p>
      <w:pPr>
        <w:jc w:val="both"/>
      </w:pPr>
      <w:r>
        <w:rPr>
          <w:rFonts w:ascii="Times New Roman" w:hAnsi="Times New Roman" w:cs="Times New Roman"/>
          <w:b w:val="0"/>
          <w:i w:val="0"/>
          <w:color w:val="000000"/>
          <w:sz w:val="20"/>
        </w:rPr>
        <w:t>The final version will construct a real-GDP index beginning in 1998 and annotate oil shocks, nationalizations, currency controls, hyperinflation, sanctions, COVID-era effects, and later stabilization episodes. Historical context exists in the corpus, but the complete 1998–2026 series is not yet verified.</w:t>
      </w:r>
    </w:p>
    <w:p>
      <w:pPr>
        <w:spacing w:before="240"/>
        <w:jc w:val="center"/>
      </w:pPr>
      <w:r>
        <w:rPr>
          <w:rFonts w:ascii="Times New Roman" w:hAnsi="Times New Roman" w:cs="Times New Roman"/>
          <w:b/>
          <w:i w:val="0"/>
          <w:color w:val="000000"/>
          <w:sz w:val="20"/>
        </w:rPr>
        <w:t>6. LABOR AND SOCIAL STRUCTURE</w:t>
      </w:r>
    </w:p>
    <w:p>
      <w:pPr>
        <w:jc w:val="both"/>
      </w:pPr>
      <w:r>
        <w:rPr>
          <w:rFonts w:ascii="Times New Roman" w:hAnsi="Times New Roman" w:cs="Times New Roman"/>
          <w:b w:val="0"/>
          <w:i w:val="0"/>
          <w:color w:val="000000"/>
          <w:sz w:val="20"/>
        </w:rPr>
        <w:t>Wages, public payroll, informality, migration, pensions, poverty, and household dollar exposure must be measured before distributional effects can be estimated. Current values remain `UNAVAILABLE` or `DISPUTED`.</w:t>
      </w:r>
    </w:p>
    <w:p>
      <w:pPr>
        <w:spacing w:before="240"/>
        <w:jc w:val="center"/>
      </w:pPr>
      <w:r>
        <w:rPr>
          <w:rFonts w:ascii="Times New Roman" w:hAnsi="Times New Roman" w:cs="Times New Roman"/>
          <w:b/>
          <w:i w:val="0"/>
          <w:color w:val="000000"/>
          <w:sz w:val="20"/>
        </w:rPr>
        <w:t>PART III — Monetary History and Dollarization Models</w:t>
      </w:r>
    </w:p>
    <w:p>
      <w:pPr>
        <w:spacing w:before="240"/>
        <w:jc w:val="center"/>
      </w:pPr>
      <w:r>
        <w:rPr>
          <w:rFonts w:ascii="Times New Roman" w:hAnsi="Times New Roman" w:cs="Times New Roman"/>
          <w:b/>
          <w:i w:val="0"/>
          <w:color w:val="000000"/>
          <w:sz w:val="20"/>
        </w:rPr>
        <w:t>7. BOLÍVAR REGIMES AND CREDIBILITY</w:t>
      </w:r>
    </w:p>
    <w:p>
      <w:pPr>
        <w:jc w:val="both"/>
      </w:pPr>
      <w:r>
        <w:rPr>
          <w:rFonts w:ascii="Times New Roman" w:hAnsi="Times New Roman" w:cs="Times New Roman"/>
          <w:b w:val="0"/>
          <w:i w:val="0"/>
          <w:color w:val="000000"/>
          <w:sz w:val="20"/>
        </w:rPr>
        <w:t>The analysis must distinguish redenominations, official exchange-rate regimes, parallel-market behavior, monetary financing, inflation expectations, and currency substitution. Historical monetary evidence is not automatically current evidence.</w:t>
      </w:r>
    </w:p>
    <w:p>
      <w:pPr>
        <w:spacing w:before="240"/>
        <w:jc w:val="center"/>
      </w:pPr>
      <w:r>
        <w:rPr>
          <w:rFonts w:ascii="Times New Roman" w:hAnsi="Times New Roman" w:cs="Times New Roman"/>
          <w:b/>
          <w:i w:val="0"/>
          <w:color w:val="000000"/>
          <w:sz w:val="20"/>
        </w:rPr>
        <w:t>8. DOLLARIZATION DEFINITIONS</w:t>
      </w:r>
    </w:p>
    <w:p>
      <w:pPr>
        <w:jc w:val="both"/>
      </w:pPr>
      <w:r>
        <w:rPr>
          <w:rFonts w:ascii="Times New Roman" w:hAnsi="Times New Roman" w:cs="Times New Roman"/>
          <w:b w:val="0"/>
          <w:i w:val="0"/>
          <w:color w:val="000000"/>
          <w:sz w:val="20"/>
        </w:rPr>
        <w:t>The report compares informal dollar use, partial dollarization, currency boards, full official dollarization, synthetic dollar balances, stablecoin layers, and currency competition. These systems have different reserve, legal, banking, and fiscal requirements.</w:t>
      </w:r>
    </w:p>
    <w:p>
      <w:pPr>
        <w:spacing w:before="240"/>
        <w:jc w:val="center"/>
      </w:pPr>
      <w:r>
        <w:rPr>
          <w:rFonts w:ascii="Times New Roman" w:hAnsi="Times New Roman" w:cs="Times New Roman"/>
          <w:b/>
          <w:i w:val="0"/>
          <w:color w:val="000000"/>
          <w:sz w:val="20"/>
        </w:rPr>
        <w:t>PART IV — Balance-Sheet Requirement</w:t>
      </w:r>
    </w:p>
    <w:p>
      <w:pPr>
        <w:spacing w:before="240"/>
        <w:jc w:val="center"/>
      </w:pPr>
      <w:r>
        <w:rPr>
          <w:rFonts w:ascii="Times New Roman" w:hAnsi="Times New Roman" w:cs="Times New Roman"/>
          <w:b/>
          <w:i w:val="0"/>
          <w:color w:val="000000"/>
          <w:sz w:val="20"/>
        </w:rPr>
        <w:t>9. DOLLAR CONVERSION REQUIREMENT</w:t>
      </w:r>
    </w:p>
    <w:p>
      <w:pPr>
        <w:jc w:val="both"/>
      </w:pPr>
      <w:r>
        <w:rPr>
          <w:rFonts w:ascii="Times New Roman" w:hAnsi="Times New Roman" w:cs="Times New Roman"/>
          <w:b w:val="0"/>
          <w:i w:val="0"/>
          <w:color w:val="000000"/>
          <w:sz w:val="20"/>
        </w:rPr>
        <w:t>The required conversion amount depends on the monetary object being converted:</w:t>
      </w:r>
    </w:p>
    <w:p>
      <w:pPr>
        <w:jc w:val="both"/>
      </w:pPr>
      <w:r>
        <w:rPr>
          <w:rFonts w:ascii="Times New Roman" w:hAnsi="Times New Roman" w:cs="Times New Roman"/>
          <w:b w:val="0"/>
          <w:i w:val="0"/>
          <w:color w:val="000000"/>
          <w:sz w:val="20"/>
        </w:rPr>
        <w:t>```text Physical currency = VES currency in circulation / R Monetary base     = VES monetary base / R M1                = VES M1 / R M2                = VES M2 / R ```</w:t>
      </w:r>
    </w:p>
    <w:p>
      <w:pPr>
        <w:jc w:val="both"/>
      </w:pPr>
      <w:r>
        <w:rPr>
          <w:rFonts w:ascii="Times New Roman" w:hAnsi="Times New Roman" w:cs="Times New Roman"/>
          <w:b w:val="0"/>
          <w:i w:val="0"/>
          <w:color w:val="000000"/>
          <w:sz w:val="20"/>
        </w:rPr>
        <w:t>The report must not equate M2 with physical dollars. Bank deposits, reserves, credit, foreign assets, and cash outside banks must be modeled separately.</w:t>
      </w:r>
    </w:p>
    <w:p>
      <w:pPr>
        <w:spacing w:before="240"/>
        <w:jc w:val="center"/>
      </w:pPr>
      <w:r>
        <w:rPr>
          <w:rFonts w:ascii="Times New Roman" w:hAnsi="Times New Roman" w:cs="Times New Roman"/>
          <w:b/>
          <w:i w:val="0"/>
          <w:color w:val="000000"/>
          <w:sz w:val="20"/>
        </w:rPr>
        <w:t>10. RESERVES</w:t>
      </w:r>
    </w:p>
    <w:p>
      <w:pPr>
        <w:jc w:val="both"/>
      </w:pPr>
      <w:r>
        <w:rPr>
          <w:rFonts w:ascii="Times New Roman" w:hAnsi="Times New Roman" w:cs="Times New Roman"/>
          <w:b w:val="0"/>
          <w:i w:val="0"/>
          <w:color w:val="000000"/>
          <w:sz w:val="20"/>
        </w:rPr>
        <w:t>Gross reserves, liquid reserves, gold, SDRs, foreign securities, encumbered assets, and immediately usable FX must be separated. Gold is not automatically equivalent to deployable dollar liquidity.</w:t>
      </w:r>
    </w:p>
    <w:p>
      <w:pPr>
        <w:spacing w:before="240"/>
        <w:jc w:val="center"/>
      </w:pPr>
      <w:r>
        <w:rPr>
          <w:rFonts w:ascii="Times New Roman" w:hAnsi="Times New Roman" w:cs="Times New Roman"/>
          <w:b/>
          <w:i w:val="0"/>
          <w:color w:val="000000"/>
          <w:sz w:val="20"/>
        </w:rPr>
        <w:t>PART V — Banking System</w:t>
      </w:r>
    </w:p>
    <w:p>
      <w:pPr>
        <w:spacing w:before="240"/>
        <w:jc w:val="center"/>
      </w:pPr>
      <w:r>
        <w:rPr>
          <w:rFonts w:ascii="Times New Roman" w:hAnsi="Times New Roman" w:cs="Times New Roman"/>
          <w:b/>
          <w:i w:val="0"/>
          <w:color w:val="000000"/>
          <w:sz w:val="20"/>
        </w:rPr>
        <w:t>11. COMMERCIAL-BANK BALANCE SHEETS</w:t>
      </w:r>
    </w:p>
    <w:p>
      <w:pPr>
        <w:jc w:val="both"/>
      </w:pPr>
      <w:r>
        <w:rPr>
          <w:rFonts w:ascii="Times New Roman" w:hAnsi="Times New Roman" w:cs="Times New Roman"/>
          <w:b w:val="0"/>
          <w:i w:val="0"/>
          <w:color w:val="000000"/>
          <w:sz w:val="20"/>
        </w:rPr>
        <w:t>Required variables are deposits, loans, reserves, securities, capital, NPLs, provisions, government exposure, USD assets, USD liabilities, and maturity structure. No bank-specific solvency conclusion may be issued without reliable bank-level evidence.</w:t>
      </w:r>
    </w:p>
    <w:p>
      <w:pPr>
        <w:spacing w:before="240"/>
        <w:jc w:val="center"/>
      </w:pPr>
      <w:r>
        <w:rPr>
          <w:rFonts w:ascii="Times New Roman" w:hAnsi="Times New Roman" w:cs="Times New Roman"/>
          <w:b/>
          <w:i w:val="0"/>
          <w:color w:val="000000"/>
          <w:sz w:val="20"/>
        </w:rPr>
        <w:t>12. CREDIT-CONTRACTION RISK</w:t>
      </w:r>
    </w:p>
    <w:p>
      <w:pPr>
        <w:jc w:val="both"/>
      </w:pPr>
      <w:r>
        <w:rPr>
          <w:rFonts w:ascii="Times New Roman" w:hAnsi="Times New Roman" w:cs="Times New Roman"/>
          <w:b w:val="0"/>
          <w:i w:val="0"/>
          <w:color w:val="000000"/>
          <w:sz w:val="20"/>
        </w:rPr>
        <w:t>Possible sequence:</w:t>
      </w:r>
    </w:p>
    <w:p>
      <w:pPr>
        <w:jc w:val="both"/>
      </w:pPr>
      <w:r>
        <w:rPr>
          <w:rFonts w:ascii="Times New Roman" w:hAnsi="Times New Roman" w:cs="Times New Roman"/>
          <w:b w:val="0"/>
          <w:i w:val="0"/>
          <w:color w:val="000000"/>
          <w:sz w:val="20"/>
        </w:rPr>
        <w:t>```text Dollarization → reserve scarcity → tighter lending → lower investment → employment pressure → lower demand → weaker fiscal revenue ```</w:t>
      </w:r>
    </w:p>
    <w:p>
      <w:pPr>
        <w:jc w:val="both"/>
      </w:pPr>
      <w:r>
        <w:rPr>
          <w:rFonts w:ascii="Times New Roman" w:hAnsi="Times New Roman" w:cs="Times New Roman"/>
          <w:b w:val="0"/>
          <w:i w:val="0"/>
          <w:color w:val="000000"/>
          <w:sz w:val="20"/>
        </w:rPr>
        <w:t>This is a `MODELED` mechanism, not a forecast. The credit-to-GDP elasticity must be estimated from verified data.</w:t>
      </w:r>
    </w:p>
    <w:p>
      <w:pPr>
        <w:spacing w:before="240"/>
        <w:jc w:val="center"/>
      </w:pPr>
      <w:r>
        <w:rPr>
          <w:rFonts w:ascii="Times New Roman" w:hAnsi="Times New Roman" w:cs="Times New Roman"/>
          <w:b/>
          <w:i w:val="0"/>
          <w:color w:val="000000"/>
          <w:sz w:val="20"/>
        </w:rPr>
        <w:t>PART VI — Lender of Last Resort</w:t>
      </w:r>
    </w:p>
    <w:p>
      <w:pPr>
        <w:spacing w:before="240"/>
        <w:jc w:val="center"/>
      </w:pPr>
      <w:r>
        <w:rPr>
          <w:rFonts w:ascii="Times New Roman" w:hAnsi="Times New Roman" w:cs="Times New Roman"/>
          <w:b/>
          <w:i w:val="0"/>
          <w:color w:val="000000"/>
          <w:sz w:val="20"/>
        </w:rPr>
        <w:t>13. LIQUIDITY BACKSTOP</w:t>
      </w:r>
    </w:p>
    <w:p>
      <w:pPr>
        <w:jc w:val="both"/>
      </w:pPr>
      <w:r>
        <w:rPr>
          <w:rFonts w:ascii="Times New Roman" w:hAnsi="Times New Roman" w:cs="Times New Roman"/>
          <w:b w:val="0"/>
          <w:i w:val="0"/>
          <w:color w:val="000000"/>
          <w:sz w:val="20"/>
        </w:rPr>
        <w:t>Dollarization would constrain the central bank’s ability to create domestic base money. Alternatives include a fiscal liquidity fund, external credit lines, multilateral facilities, private interbank liquidity, deposit insurance, and an oil-backed stabilization facility.</w:t>
      </w:r>
    </w:p>
    <w:p>
      <w:pPr>
        <w:jc w:val="both"/>
      </w:pPr>
      <w:r>
        <w:rPr>
          <w:rFonts w:ascii="Times New Roman" w:hAnsi="Times New Roman" w:cs="Times New Roman"/>
          <w:b w:val="0"/>
          <w:i w:val="0"/>
          <w:color w:val="000000"/>
          <w:sz w:val="20"/>
        </w:rPr>
        <w:t>Required stress cases are 5%, 10%, 20%, 30%, 40%, and 50% deposit withdrawals.</w:t>
      </w:r>
    </w:p>
    <w:p>
      <w:pPr>
        <w:spacing w:before="240"/>
        <w:jc w:val="center"/>
      </w:pPr>
      <w:r>
        <w:rPr>
          <w:rFonts w:ascii="Times New Roman" w:hAnsi="Times New Roman" w:cs="Times New Roman"/>
          <w:b/>
          <w:i w:val="0"/>
          <w:color w:val="000000"/>
          <w:sz w:val="20"/>
        </w:rPr>
        <w:t>PART VII — Fiscal Policy</w:t>
      </w:r>
    </w:p>
    <w:p>
      <w:pPr>
        <w:spacing w:before="240"/>
        <w:jc w:val="center"/>
      </w:pPr>
      <w:r>
        <w:rPr>
          <w:rFonts w:ascii="Times New Roman" w:hAnsi="Times New Roman" w:cs="Times New Roman"/>
          <w:b/>
          <w:i w:val="0"/>
          <w:color w:val="000000"/>
          <w:sz w:val="20"/>
        </w:rPr>
        <w:t>14. FISCAL SUSTAINABILITY</w:t>
      </w:r>
    </w:p>
    <w:p>
      <w:pPr>
        <w:jc w:val="both"/>
      </w:pPr>
      <w:r>
        <w:rPr>
          <w:rFonts w:ascii="Times New Roman" w:hAnsi="Times New Roman" w:cs="Times New Roman"/>
          <w:b w:val="0"/>
          <w:i w:val="0"/>
          <w:color w:val="000000"/>
          <w:sz w:val="20"/>
        </w:rPr>
        <w:t>The fiscal model must separate oil revenue, taxes, royalties, customs, wages, pensions, subsidies, health, education, security, infrastructure, interest, and transfers.</w:t>
      </w:r>
    </w:p>
    <w:p>
      <w:pPr>
        <w:jc w:val="both"/>
      </w:pPr>
      <w:r>
        <w:rPr>
          <w:rFonts w:ascii="Times New Roman" w:hAnsi="Times New Roman" w:cs="Times New Roman"/>
          <w:b w:val="0"/>
          <w:i w:val="0"/>
          <w:color w:val="000000"/>
          <w:sz w:val="20"/>
        </w:rPr>
        <w:t>```text Fiscal balance = revenue − expenditure Primary balance = revenue − non-interest expenditure Interest/revenue = interest expense / government revenue ```</w:t>
      </w:r>
    </w:p>
    <w:p>
      <w:pPr>
        <w:jc w:val="both"/>
      </w:pPr>
      <w:r>
        <w:rPr>
          <w:rFonts w:ascii="Times New Roman" w:hAnsi="Times New Roman" w:cs="Times New Roman"/>
          <w:b w:val="0"/>
          <w:i w:val="0"/>
          <w:color w:val="000000"/>
          <w:sz w:val="20"/>
        </w:rPr>
        <w:t>The loss of monetary financing would require fiscal replacement. The size of that adjustment is currently `UNAVAILABLE`.</w:t>
      </w:r>
    </w:p>
    <w:p>
      <w:pPr>
        <w:spacing w:before="240"/>
        <w:jc w:val="center"/>
      </w:pPr>
      <w:r>
        <w:rPr>
          <w:rFonts w:ascii="Times New Roman" w:hAnsi="Times New Roman" w:cs="Times New Roman"/>
          <w:b/>
          <w:i w:val="0"/>
          <w:color w:val="000000"/>
          <w:sz w:val="20"/>
        </w:rPr>
        <w:t>15. SEIGNIORAGE</w:t>
      </w:r>
    </w:p>
    <w:p>
      <w:pPr>
        <w:jc w:val="both"/>
      </w:pPr>
      <w:r>
        <w:rPr>
          <w:rFonts w:ascii="Times New Roman" w:hAnsi="Times New Roman" w:cs="Times New Roman"/>
          <w:b w:val="0"/>
          <w:i w:val="0"/>
          <w:color w:val="000000"/>
          <w:sz w:val="20"/>
        </w:rPr>
        <w:t>Historical seigniorage must be estimated from verified monetary and price data. It must not be inferred from a narrative description alone.</w:t>
      </w:r>
    </w:p>
    <w:p>
      <w:pPr>
        <w:spacing w:before="240"/>
        <w:jc w:val="center"/>
      </w:pPr>
      <w:r>
        <w:rPr>
          <w:rFonts w:ascii="Times New Roman" w:hAnsi="Times New Roman" w:cs="Times New Roman"/>
          <w:b/>
          <w:i w:val="0"/>
          <w:color w:val="000000"/>
          <w:sz w:val="20"/>
        </w:rPr>
        <w:t>PART VIII — Oil and External Accounts</w:t>
      </w:r>
    </w:p>
    <w:p>
      <w:pPr>
        <w:spacing w:before="240"/>
        <w:jc w:val="center"/>
      </w:pPr>
      <w:r>
        <w:rPr>
          <w:rFonts w:ascii="Times New Roman" w:hAnsi="Times New Roman" w:cs="Times New Roman"/>
          <w:b/>
          <w:i w:val="0"/>
          <w:color w:val="000000"/>
          <w:sz w:val="20"/>
        </w:rPr>
        <w:t>16. NET OIL FX</w:t>
      </w:r>
    </w:p>
    <w:p>
      <w:pPr>
        <w:jc w:val="both"/>
      </w:pPr>
      <w:r>
        <w:rPr>
          <w:rFonts w:ascii="Times New Roman" w:hAnsi="Times New Roman" w:cs="Times New Roman"/>
          <w:b w:val="0"/>
          <w:i w:val="0"/>
          <w:color w:val="000000"/>
          <w:sz w:val="20"/>
        </w:rPr>
        <w:t>Gross oil revenue is not sovereign liquidity. The final model must subtract operating costs, imports, partner shares, royalties, taxes, domestic consumption, debt service, and blocked or encumbered funds.</w:t>
      </w:r>
    </w:p>
    <w:p>
      <w:pPr>
        <w:jc w:val="both"/>
      </w:pPr>
      <w:r>
        <w:rPr>
          <w:rFonts w:ascii="Times New Roman" w:hAnsi="Times New Roman" w:cs="Times New Roman"/>
          <w:b w:val="0"/>
          <w:i w:val="0"/>
          <w:color w:val="000000"/>
          <w:sz w:val="20"/>
        </w:rPr>
        <w:t>```text Net sovereign oil FX = gross oil revenue − committed dollar outflows ```</w:t>
      </w:r>
    </w:p>
    <w:p>
      <w:pPr>
        <w:spacing w:before="240"/>
        <w:jc w:val="center"/>
      </w:pPr>
      <w:r>
        <w:rPr>
          <w:rFonts w:ascii="Times New Roman" w:hAnsi="Times New Roman" w:cs="Times New Roman"/>
          <w:b/>
          <w:i w:val="0"/>
          <w:color w:val="000000"/>
          <w:sz w:val="20"/>
        </w:rPr>
        <w:t>17. BALANCE OF PAYMENTS</w:t>
      </w:r>
    </w:p>
    <w:p>
      <w:pPr>
        <w:jc w:val="both"/>
      </w:pPr>
      <w:r>
        <w:rPr>
          <w:rFonts w:ascii="Times New Roman" w:hAnsi="Times New Roman" w:cs="Times New Roman"/>
          <w:b w:val="0"/>
          <w:i w:val="0"/>
          <w:color w:val="000000"/>
          <w:sz w:val="20"/>
        </w:rPr>
        <w:t>Oil exports, non-oil exports, remittances, FDI, borrowing, imports, debt service, capital flight, and profit repatriation must be reconciled in a dollar-flow waterfall.</w:t>
      </w:r>
    </w:p>
    <w:p>
      <w:pPr>
        <w:spacing w:before="240"/>
        <w:jc w:val="center"/>
      </w:pPr>
      <w:r>
        <w:rPr>
          <w:rFonts w:ascii="Times New Roman" w:hAnsi="Times New Roman" w:cs="Times New Roman"/>
          <w:b/>
          <w:i w:val="0"/>
          <w:color w:val="000000"/>
          <w:sz w:val="20"/>
        </w:rPr>
        <w:t>PART IX — Debt and Legal Claims</w:t>
      </w:r>
    </w:p>
    <w:p>
      <w:pPr>
        <w:spacing w:before="240"/>
        <w:jc w:val="center"/>
      </w:pPr>
      <w:r>
        <w:rPr>
          <w:rFonts w:ascii="Times New Roman" w:hAnsi="Times New Roman" w:cs="Times New Roman"/>
          <w:b/>
          <w:i w:val="0"/>
          <w:color w:val="000000"/>
          <w:sz w:val="20"/>
        </w:rPr>
        <w:t>18. REPUBLIC, PDVSA, AND CITGO EXPOSURE</w:t>
      </w:r>
    </w:p>
    <w:p>
      <w:pPr>
        <w:jc w:val="both"/>
      </w:pPr>
      <w:r>
        <w:rPr>
          <w:rFonts w:ascii="Times New Roman" w:hAnsi="Times New Roman" w:cs="Times New Roman"/>
          <w:b w:val="0"/>
          <w:i w:val="0"/>
          <w:color w:val="000000"/>
          <w:sz w:val="20"/>
        </w:rPr>
        <w:t>The legal evidence stack confirms that creditor claims, awards, judgments, bond references, collateral, and enforcement proceedings exist, but these are not automatically a single debt total.</w:t>
      </w:r>
    </w:p>
    <w:p>
      <w:pPr>
        <w:jc w:val="both"/>
      </w:pPr>
      <w:r>
        <w:rPr>
          <w:rFonts w:ascii="Times New Roman" w:hAnsi="Times New Roman" w:cs="Times New Roman"/>
          <w:b w:val="0"/>
          <w:i w:val="0"/>
          <w:color w:val="000000"/>
          <w:sz w:val="20"/>
        </w:rPr>
        <w:t>The CITGO stack records the PDVSA → PDVH → CITGO Holding → CITGO Petroleum chain, PDVH attachment litigation, collateral references, and enforcement evidence. The Crystallex judgment and OI appellate record are locally hashed and page-anchored.</w:t>
      </w:r>
    </w:p>
    <w:p>
      <w:pPr>
        <w:spacing w:before="240"/>
        <w:jc w:val="center"/>
      </w:pPr>
      <w:r>
        <w:rPr>
          <w:rFonts w:ascii="Times New Roman" w:hAnsi="Times New Roman" w:cs="Times New Roman"/>
          <w:b/>
          <w:i w:val="0"/>
          <w:color w:val="000000"/>
          <w:sz w:val="20"/>
        </w:rPr>
        <w:t>19. CASE-LOSS UNIVERSE</w:t>
      </w:r>
    </w:p>
    <w:p>
      <w:pPr>
        <w:jc w:val="both"/>
      </w:pPr>
      <w:r>
        <w:rPr>
          <w:rFonts w:ascii="Times New Roman" w:hAnsi="Times New Roman" w:cs="Times New Roman"/>
          <w:b w:val="0"/>
          <w:i w:val="0"/>
          <w:color w:val="000000"/>
          <w:sz w:val="20"/>
        </w:rPr>
        <w:t>The 80-case audit is active. A case becomes `VERIFIED` only after reading the award, judgment, indictment, docket, memorandum, exhibit, or official case record. Awards, settlements, judgments, interest, costs, forfeitures, and enforcement claims remain separate to prevent double counting.</w:t>
      </w:r>
    </w:p>
    <w:p>
      <w:pPr>
        <w:spacing w:before="240"/>
        <w:jc w:val="center"/>
      </w:pPr>
      <w:r>
        <w:rPr>
          <w:rFonts w:ascii="Times New Roman" w:hAnsi="Times New Roman" w:cs="Times New Roman"/>
          <w:b/>
          <w:i w:val="0"/>
          <w:color w:val="000000"/>
          <w:sz w:val="20"/>
        </w:rPr>
        <w:t>PART X — Households and Social Effects</w:t>
      </w:r>
    </w:p>
    <w:p>
      <w:pPr>
        <w:spacing w:before="240"/>
        <w:jc w:val="center"/>
      </w:pPr>
      <w:r>
        <w:rPr>
          <w:rFonts w:ascii="Times New Roman" w:hAnsi="Times New Roman" w:cs="Times New Roman"/>
          <w:b/>
          <w:i w:val="0"/>
          <w:color w:val="000000"/>
          <w:sz w:val="20"/>
        </w:rPr>
        <w:t>20. WAGES, PENSIONS, AND POVERTY</w:t>
      </w:r>
    </w:p>
    <w:p>
      <w:pPr>
        <w:jc w:val="both"/>
      </w:pPr>
      <w:r>
        <w:rPr>
          <w:rFonts w:ascii="Times New Roman" w:hAnsi="Times New Roman" w:cs="Times New Roman"/>
          <w:b w:val="0"/>
          <w:i w:val="0"/>
          <w:color w:val="000000"/>
          <w:sz w:val="20"/>
        </w:rPr>
        <w:t>The final model will test wage and pension scenarios in USD and compare them with verified GDP, fiscal revenue, oil revenue, and household-income data. Current distributional winners and losers cannot be quantified responsibly.</w:t>
      </w:r>
    </w:p>
    <w:p>
      <w:pPr>
        <w:jc w:val="both"/>
      </w:pPr>
      <w:r>
        <w:rPr>
          <w:rFonts w:ascii="Times New Roman" w:hAnsi="Times New Roman" w:cs="Times New Roman"/>
          <w:b w:val="0"/>
          <w:i w:val="0"/>
          <w:color w:val="000000"/>
          <w:sz w:val="20"/>
        </w:rPr>
        <w:t>Potentially exposed groups include bolívar-income households, pensioners, public employees, SMEs dependent on credit, and households without bank access.</w:t>
      </w:r>
    </w:p>
    <w:p>
      <w:pPr>
        <w:spacing w:before="240"/>
        <w:jc w:val="center"/>
      </w:pPr>
      <w:r>
        <w:rPr>
          <w:rFonts w:ascii="Times New Roman" w:hAnsi="Times New Roman" w:cs="Times New Roman"/>
          <w:b/>
          <w:i w:val="0"/>
          <w:color w:val="000000"/>
          <w:sz w:val="20"/>
        </w:rPr>
        <w:t>PART XI — Business and Investment</w:t>
      </w:r>
    </w:p>
    <w:p>
      <w:pPr>
        <w:spacing w:before="240"/>
        <w:jc w:val="center"/>
      </w:pPr>
      <w:r>
        <w:rPr>
          <w:rFonts w:ascii="Times New Roman" w:hAnsi="Times New Roman" w:cs="Times New Roman"/>
          <w:b/>
          <w:i w:val="0"/>
          <w:color w:val="000000"/>
          <w:sz w:val="20"/>
        </w:rPr>
        <w:t>21. PRIVATE SECTOR</w:t>
      </w:r>
    </w:p>
    <w:p>
      <w:pPr>
        <w:jc w:val="both"/>
      </w:pPr>
      <w:r>
        <w:rPr>
          <w:rFonts w:ascii="Times New Roman" w:hAnsi="Times New Roman" w:cs="Times New Roman"/>
          <w:b w:val="0"/>
          <w:i w:val="0"/>
          <w:color w:val="000000"/>
          <w:sz w:val="20"/>
        </w:rPr>
        <w:t>Dollarization could reduce exchange-rate risk for importers and exporters but could also increase working-capital constraints if banks cannot provide dollar credit. SMEs, construction, manufacturing, agriculture, retail, and oil-service firms require separate treatment.</w:t>
      </w:r>
    </w:p>
    <w:p>
      <w:pPr>
        <w:spacing w:before="240"/>
        <w:jc w:val="center"/>
      </w:pPr>
      <w:r>
        <w:rPr>
          <w:rFonts w:ascii="Times New Roman" w:hAnsi="Times New Roman" w:cs="Times New Roman"/>
          <w:b/>
          <w:i w:val="0"/>
          <w:color w:val="000000"/>
          <w:sz w:val="20"/>
        </w:rPr>
        <w:t>PART XII — Inflation and Real Exchange Rate</w:t>
      </w:r>
    </w:p>
    <w:p>
      <w:pPr>
        <w:spacing w:before="240"/>
        <w:jc w:val="center"/>
      </w:pPr>
      <w:r>
        <w:rPr>
          <w:rFonts w:ascii="Times New Roman" w:hAnsi="Times New Roman" w:cs="Times New Roman"/>
          <w:b/>
          <w:i w:val="0"/>
          <w:color w:val="000000"/>
          <w:sz w:val="20"/>
        </w:rPr>
        <w:t>22. INFLATION</w:t>
      </w:r>
    </w:p>
    <w:p>
      <w:pPr>
        <w:jc w:val="both"/>
      </w:pPr>
      <w:r>
        <w:rPr>
          <w:rFonts w:ascii="Times New Roman" w:hAnsi="Times New Roman" w:cs="Times New Roman"/>
          <w:b w:val="0"/>
          <w:i w:val="0"/>
          <w:color w:val="000000"/>
          <w:sz w:val="20"/>
        </w:rPr>
        <w:t>Dollarization could suppress domestic monetary inflation but would not eliminate imported inflation, supply shocks, transportation costs, food-price changes, housing costs, or fiscal pressures.</w:t>
      </w:r>
    </w:p>
    <w:p>
      <w:pPr>
        <w:jc w:val="both"/>
      </w:pPr>
      <w:r>
        <w:rPr>
          <w:rFonts w:ascii="Times New Roman" w:hAnsi="Times New Roman" w:cs="Times New Roman"/>
          <w:b w:val="0"/>
          <w:i w:val="0"/>
          <w:color w:val="000000"/>
          <w:sz w:val="20"/>
        </w:rPr>
        <w:t>```text Inflation = monetary + exchange-rate + imported + supply + fiscal + structural components ```</w:t>
      </w:r>
    </w:p>
    <w:p>
      <w:pPr>
        <w:jc w:val="both"/>
      </w:pPr>
      <w:r>
        <w:rPr>
          <w:rFonts w:ascii="Times New Roman" w:hAnsi="Times New Roman" w:cs="Times New Roman"/>
          <w:b w:val="0"/>
          <w:i w:val="0"/>
          <w:color w:val="000000"/>
          <w:sz w:val="20"/>
        </w:rPr>
        <w:t>The decomposition is not currently estimated because the required current series are incomplete.</w:t>
      </w:r>
    </w:p>
    <w:p>
      <w:pPr>
        <w:spacing w:before="240"/>
        <w:jc w:val="center"/>
      </w:pPr>
      <w:r>
        <w:rPr>
          <w:rFonts w:ascii="Times New Roman" w:hAnsi="Times New Roman" w:cs="Times New Roman"/>
          <w:b/>
          <w:i w:val="0"/>
          <w:color w:val="000000"/>
          <w:sz w:val="20"/>
        </w:rPr>
        <w:t>PART XIII — International Comparables</w:t>
      </w:r>
    </w:p>
    <w:p>
      <w:pPr>
        <w:spacing w:before="240"/>
        <w:jc w:val="center"/>
      </w:pPr>
      <w:r>
        <w:rPr>
          <w:rFonts w:ascii="Times New Roman" w:hAnsi="Times New Roman" w:cs="Times New Roman"/>
          <w:b/>
          <w:i w:val="0"/>
          <w:color w:val="000000"/>
          <w:sz w:val="20"/>
        </w:rPr>
        <w:t>23. ECUADOR, PANAMA, EL SALVADOR, ZIMBABWE, ARGENTINA, MONTENEGRO, AND KOSOVO</w:t>
      </w:r>
    </w:p>
    <w:p>
      <w:pPr>
        <w:jc w:val="both"/>
      </w:pPr>
      <w:r>
        <w:rPr>
          <w:rFonts w:ascii="Times New Roman" w:hAnsi="Times New Roman" w:cs="Times New Roman"/>
          <w:b w:val="0"/>
          <w:i w:val="0"/>
          <w:color w:val="000000"/>
          <w:sz w:val="20"/>
        </w:rPr>
        <w:t>Comparables must be matched by banking depth, reserves, fiscal structure, debt, external income, legal institutions, and political conditions. Before-and-after comparisons alone do not establish causality.</w:t>
      </w:r>
    </w:p>
    <w:p>
      <w:pPr>
        <w:spacing w:before="240"/>
        <w:jc w:val="center"/>
      </w:pPr>
      <w:r>
        <w:rPr>
          <w:rFonts w:ascii="Times New Roman" w:hAnsi="Times New Roman" w:cs="Times New Roman"/>
          <w:b/>
          <w:i w:val="0"/>
          <w:color w:val="000000"/>
          <w:sz w:val="20"/>
        </w:rPr>
        <w:t>PART XIV — Economic Postures</w:t>
      </w:r>
    </w:p>
    <w:p>
      <w:pPr>
        <w:spacing w:before="240"/>
        <w:jc w:val="center"/>
      </w:pPr>
      <w:r>
        <w:rPr>
          <w:rFonts w:ascii="Times New Roman" w:hAnsi="Times New Roman" w:cs="Times New Roman"/>
          <w:b/>
          <w:i w:val="0"/>
          <w:color w:val="000000"/>
          <w:sz w:val="20"/>
        </w:rPr>
        <w:t>24. COMPETING INTERPRETATIONS</w:t>
      </w:r>
    </w:p>
    <w:p>
      <w:pPr>
        <w:pStyle w:val="ListBullet"/>
      </w:pPr>
      <w:r>
        <w:rPr>
          <w:rFonts w:ascii="Times New Roman" w:hAnsi="Times New Roman" w:cs="Times New Roman"/>
          <w:b/>
          <w:i w:val="0"/>
          <w:color w:val="000000"/>
          <w:sz w:val="20"/>
        </w:rPr>
        <w:t>Hanke/currency-board:</w:t>
      </w:r>
      <w:r>
        <w:rPr>
          <w:rFonts w:ascii="Times New Roman" w:hAnsi="Times New Roman" w:cs="Times New Roman"/>
          <w:b w:val="0"/>
          <w:i w:val="0"/>
          <w:color w:val="000000"/>
          <w:sz w:val="20"/>
        </w:rPr>
        <w:t xml:space="preserve"> credibility, hard constraints, convertibility, and reduced discretion.</w:t>
      </w:r>
    </w:p>
    <w:p>
      <w:pPr>
        <w:pStyle w:val="ListBullet"/>
      </w:pPr>
      <w:r>
        <w:rPr>
          <w:rFonts w:ascii="Times New Roman" w:hAnsi="Times New Roman" w:cs="Times New Roman"/>
          <w:b/>
          <w:i w:val="0"/>
          <w:color w:val="000000"/>
          <w:sz w:val="20"/>
        </w:rPr>
        <w:t>Monetarist:</w:t>
      </w:r>
      <w:r>
        <w:rPr>
          <w:rFonts w:ascii="Times New Roman" w:hAnsi="Times New Roman" w:cs="Times New Roman"/>
          <w:b w:val="0"/>
          <w:i w:val="0"/>
          <w:color w:val="000000"/>
          <w:sz w:val="20"/>
        </w:rPr>
        <w:t xml:space="preserve"> control of money growth, expectations, and inflation.</w:t>
      </w:r>
    </w:p>
    <w:p>
      <w:pPr>
        <w:pStyle w:val="ListBullet"/>
      </w:pPr>
      <w:r>
        <w:rPr>
          <w:rFonts w:ascii="Times New Roman" w:hAnsi="Times New Roman" w:cs="Times New Roman"/>
          <w:b/>
          <w:i w:val="0"/>
          <w:color w:val="000000"/>
          <w:sz w:val="20"/>
        </w:rPr>
        <w:t>Keynesian:</w:t>
      </w:r>
      <w:r>
        <w:rPr>
          <w:rFonts w:ascii="Times New Roman" w:hAnsi="Times New Roman" w:cs="Times New Roman"/>
          <w:b w:val="0"/>
          <w:i w:val="0"/>
          <w:color w:val="000000"/>
          <w:sz w:val="20"/>
        </w:rPr>
        <w:t xml:space="preserve"> adjustment output loss, unemployment, fiscal multipliers, and liquidity.</w:t>
      </w:r>
    </w:p>
    <w:p>
      <w:pPr>
        <w:pStyle w:val="ListBullet"/>
      </w:pPr>
      <w:r>
        <w:rPr>
          <w:rFonts w:ascii="Times New Roman" w:hAnsi="Times New Roman" w:cs="Times New Roman"/>
          <w:b/>
          <w:i w:val="0"/>
          <w:color w:val="000000"/>
          <w:sz w:val="20"/>
        </w:rPr>
        <w:t>New Keynesian:</w:t>
      </w:r>
      <w:r>
        <w:rPr>
          <w:rFonts w:ascii="Times New Roman" w:hAnsi="Times New Roman" w:cs="Times New Roman"/>
          <w:b w:val="0"/>
          <w:i w:val="0"/>
          <w:color w:val="000000"/>
          <w:sz w:val="20"/>
        </w:rPr>
        <w:t xml:space="preserve"> expectations, nominal rigidities, credibility, and transmission.</w:t>
      </w:r>
    </w:p>
    <w:p>
      <w:pPr>
        <w:pStyle w:val="ListBullet"/>
      </w:pPr>
      <w:r>
        <w:rPr>
          <w:rFonts w:ascii="Times New Roman" w:hAnsi="Times New Roman" w:cs="Times New Roman"/>
          <w:b/>
          <w:i w:val="0"/>
          <w:color w:val="000000"/>
          <w:sz w:val="20"/>
        </w:rPr>
        <w:t>Austrian:</w:t>
      </w:r>
      <w:r>
        <w:rPr>
          <w:rFonts w:ascii="Times New Roman" w:hAnsi="Times New Roman" w:cs="Times New Roman"/>
          <w:b w:val="0"/>
          <w:i w:val="0"/>
          <w:color w:val="000000"/>
          <w:sz w:val="20"/>
        </w:rPr>
        <w:t xml:space="preserve"> credit distortion, capital structure, and malinvestment.</w:t>
      </w:r>
    </w:p>
    <w:p>
      <w:pPr>
        <w:pStyle w:val="ListBullet"/>
      </w:pPr>
      <w:r>
        <w:rPr>
          <w:rFonts w:ascii="Times New Roman" w:hAnsi="Times New Roman" w:cs="Times New Roman"/>
          <w:b/>
          <w:i w:val="0"/>
          <w:color w:val="000000"/>
          <w:sz w:val="20"/>
        </w:rPr>
        <w:t>IMF-style:</w:t>
      </w:r>
      <w:r>
        <w:rPr>
          <w:rFonts w:ascii="Times New Roman" w:hAnsi="Times New Roman" w:cs="Times New Roman"/>
          <w:b w:val="0"/>
          <w:i w:val="0"/>
          <w:color w:val="000000"/>
          <w:sz w:val="20"/>
        </w:rPr>
        <w:t xml:space="preserve"> reserves, fiscal sustainability, banking solvency, debt, and balance of payments.</w:t>
      </w:r>
    </w:p>
    <w:p>
      <w:pPr>
        <w:pStyle w:val="ListBullet"/>
      </w:pPr>
      <w:r>
        <w:rPr>
          <w:rFonts w:ascii="Times New Roman" w:hAnsi="Times New Roman" w:cs="Times New Roman"/>
          <w:b/>
          <w:i w:val="0"/>
          <w:color w:val="000000"/>
          <w:sz w:val="20"/>
        </w:rPr>
        <w:t>Central-bank:</w:t>
      </w:r>
      <w:r>
        <w:rPr>
          <w:rFonts w:ascii="Times New Roman" w:hAnsi="Times New Roman" w:cs="Times New Roman"/>
          <w:b w:val="0"/>
          <w:i w:val="0"/>
          <w:color w:val="000000"/>
          <w:sz w:val="20"/>
        </w:rPr>
        <w:t xml:space="preserve"> payment settlement, emergency liquidity, and financial stability.</w:t>
      </w:r>
    </w:p>
    <w:p>
      <w:pPr>
        <w:jc w:val="both"/>
      </w:pPr>
      <w:r>
        <w:rPr>
          <w:rFonts w:ascii="Times New Roman" w:hAnsi="Times New Roman" w:cs="Times New Roman"/>
          <w:b w:val="0"/>
          <w:i w:val="0"/>
          <w:color w:val="000000"/>
          <w:sz w:val="20"/>
        </w:rPr>
        <w:t>No posture is allowed to dominate automatically.</w:t>
      </w:r>
    </w:p>
    <w:p>
      <w:pPr>
        <w:spacing w:before="240"/>
        <w:jc w:val="center"/>
      </w:pPr>
      <w:r>
        <w:rPr>
          <w:rFonts w:ascii="Times New Roman" w:hAnsi="Times New Roman" w:cs="Times New Roman"/>
          <w:b/>
          <w:i w:val="0"/>
          <w:color w:val="000000"/>
          <w:sz w:val="20"/>
        </w:rPr>
        <w:t>PART XV — Red Team and Blue Team</w:t>
      </w:r>
    </w:p>
    <w:p>
      <w:pPr>
        <w:spacing w:before="240"/>
        <w:jc w:val="center"/>
      </w:pPr>
      <w:r>
        <w:rPr>
          <w:rFonts w:ascii="Times New Roman" w:hAnsi="Times New Roman" w:cs="Times New Roman"/>
          <w:b/>
          <w:i w:val="0"/>
          <w:color w:val="000000"/>
          <w:sz w:val="20"/>
        </w:rPr>
        <w:t>25. RED-TEAM QUESTIONS</w:t>
      </w:r>
    </w:p>
    <w:p>
      <w:pPr>
        <w:jc w:val="both"/>
      </w:pPr>
      <w:r>
        <w:rPr>
          <w:rFonts w:ascii="Times New Roman" w:hAnsi="Times New Roman" w:cs="Times New Roman"/>
          <w:b w:val="0"/>
          <w:i w:val="0"/>
          <w:color w:val="000000"/>
          <w:sz w:val="20"/>
        </w:rPr>
        <w:t>The Red Team must test whether dollarization fails through reserve scarcity, bank runs, fiscal insolvency, debt-service pressure, oil shocks, capital flight, legal barriers, sanctions, or political resistance.</w:t>
      </w:r>
    </w:p>
    <w:p>
      <w:pPr>
        <w:spacing w:before="240"/>
        <w:jc w:val="center"/>
      </w:pPr>
      <w:r>
        <w:rPr>
          <w:rFonts w:ascii="Times New Roman" w:hAnsi="Times New Roman" w:cs="Times New Roman"/>
          <w:b/>
          <w:i w:val="0"/>
          <w:color w:val="000000"/>
          <w:sz w:val="20"/>
        </w:rPr>
        <w:t>26. BLUE-TEAM RESPONSE</w:t>
      </w:r>
    </w:p>
    <w:p>
      <w:pPr>
        <w:jc w:val="both"/>
      </w:pPr>
      <w:r>
        <w:rPr>
          <w:rFonts w:ascii="Times New Roman" w:hAnsi="Times New Roman" w:cs="Times New Roman"/>
          <w:b w:val="0"/>
          <w:i w:val="0"/>
          <w:color w:val="000000"/>
          <w:sz w:val="20"/>
        </w:rPr>
        <w:t>The Blue Team may modify the proposal through staged fiscal stabilization, bank recapitalization, reserve transparency, parallel-currency liberalization, a currency board, or gradual dollarization. It cannot declare victory without evidence.</w:t>
      </w:r>
    </w:p>
    <w:p>
      <w:pPr>
        <w:spacing w:before="240"/>
        <w:jc w:val="center"/>
      </w:pPr>
      <w:r>
        <w:rPr>
          <w:rFonts w:ascii="Times New Roman" w:hAnsi="Times New Roman" w:cs="Times New Roman"/>
          <w:b/>
          <w:i w:val="0"/>
          <w:color w:val="000000"/>
          <w:sz w:val="20"/>
        </w:rPr>
        <w:t>PART XVI — Quantitative Models</w:t>
      </w:r>
    </w:p>
    <w:p>
      <w:pPr>
        <w:spacing w:before="240"/>
        <w:jc w:val="center"/>
      </w:pPr>
      <w:r>
        <w:rPr>
          <w:rFonts w:ascii="Times New Roman" w:hAnsi="Times New Roman" w:cs="Times New Roman"/>
          <w:b/>
          <w:i w:val="0"/>
          <w:color w:val="000000"/>
          <w:sz w:val="20"/>
        </w:rPr>
        <w:t>27. SCENARIO AND STRESS MODELS</w:t>
      </w:r>
    </w:p>
    <w:p>
      <w:pPr>
        <w:jc w:val="both"/>
      </w:pPr>
      <w:r>
        <w:rPr>
          <w:rFonts w:ascii="Times New Roman" w:hAnsi="Times New Roman" w:cs="Times New Roman"/>
          <w:b w:val="0"/>
          <w:i w:val="0"/>
          <w:color w:val="000000"/>
          <w:sz w:val="20"/>
        </w:rPr>
        <w:t>Required scenarios include current system, immediate dollarization, gradual dollarization, currency board, dual currency, managed float, and monetary reform without dollarization.</w:t>
      </w:r>
    </w:p>
    <w:p>
      <w:pPr>
        <w:jc w:val="both"/>
      </w:pPr>
      <w:r>
        <w:rPr>
          <w:rFonts w:ascii="Times New Roman" w:hAnsi="Times New Roman" w:cs="Times New Roman"/>
          <w:b w:val="0"/>
          <w:i w:val="0"/>
          <w:color w:val="000000"/>
          <w:sz w:val="20"/>
        </w:rPr>
        <w:t>Required shocks include deposit withdrawals, oil-revenue declines, capital flight, sanctions-related transfer limits, debt restructuring, and credit contraction.</w:t>
      </w:r>
    </w:p>
    <w:p>
      <w:pPr>
        <w:spacing w:before="240"/>
        <w:jc w:val="center"/>
      </w:pPr>
      <w:r>
        <w:rPr>
          <w:rFonts w:ascii="Times New Roman" w:hAnsi="Times New Roman" w:cs="Times New Roman"/>
          <w:b/>
          <w:i w:val="0"/>
          <w:color w:val="000000"/>
          <w:sz w:val="20"/>
        </w:rPr>
        <w:t>28. ADVANCED MODELS</w:t>
      </w:r>
    </w:p>
    <w:p>
      <w:pPr>
        <w:jc w:val="both"/>
      </w:pPr>
      <w:r>
        <w:rPr>
          <w:rFonts w:ascii="Times New Roman" w:hAnsi="Times New Roman" w:cs="Times New Roman"/>
          <w:b w:val="0"/>
          <w:i w:val="0"/>
          <w:color w:val="000000"/>
          <w:sz w:val="20"/>
        </w:rPr>
        <w:t>The HAEIS architecture includes deterministic formulas, stress grids, Monte Carlo design, system dynamics, aggregate agent modeling, and a transparent macro prototype. These are `MODELED` tools and cannot replace verified observations.</w:t>
      </w:r>
    </w:p>
    <w:p>
      <w:pPr>
        <w:spacing w:before="240"/>
        <w:jc w:val="center"/>
      </w:pPr>
      <w:r>
        <w:rPr>
          <w:rFonts w:ascii="Times New Roman" w:hAnsi="Times New Roman" w:cs="Times New Roman"/>
          <w:b/>
          <w:i w:val="0"/>
          <w:color w:val="000000"/>
          <w:sz w:val="20"/>
        </w:rPr>
        <w:t>PART XVII — Legal and Institutional Requirements</w:t>
      </w:r>
    </w:p>
    <w:p>
      <w:pPr>
        <w:spacing w:before="240"/>
        <w:jc w:val="center"/>
      </w:pPr>
      <w:r>
        <w:rPr>
          <w:rFonts w:ascii="Times New Roman" w:hAnsi="Times New Roman" w:cs="Times New Roman"/>
          <w:b/>
          <w:i w:val="0"/>
          <w:color w:val="000000"/>
          <w:sz w:val="20"/>
        </w:rPr>
        <w:t>29. LEGAL FRAMEWORK</w:t>
      </w:r>
    </w:p>
    <w:p>
      <w:pPr>
        <w:jc w:val="both"/>
      </w:pPr>
      <w:r>
        <w:rPr>
          <w:rFonts w:ascii="Times New Roman" w:hAnsi="Times New Roman" w:cs="Times New Roman"/>
          <w:b w:val="0"/>
          <w:i w:val="0"/>
          <w:color w:val="000000"/>
          <w:sz w:val="20"/>
        </w:rPr>
        <w:t>The final legal workstream must review the Constitution, Article 318, BCV law, banking law, tax law, labor law, contract law, public-debt law, foreign-exchange rules, sanctions, and payment-system authority.</w:t>
      </w:r>
    </w:p>
    <w:p>
      <w:pPr>
        <w:jc w:val="both"/>
      </w:pPr>
      <w:r>
        <w:rPr>
          <w:rFonts w:ascii="Times New Roman" w:hAnsi="Times New Roman" w:cs="Times New Roman"/>
          <w:b w:val="0"/>
          <w:i w:val="0"/>
          <w:color w:val="000000"/>
          <w:sz w:val="20"/>
        </w:rPr>
        <w:t>Every legal statement must be classified as fact, interpretation, or unresolved legal question.</w:t>
      </w:r>
    </w:p>
    <w:p>
      <w:pPr>
        <w:spacing w:before="240"/>
        <w:jc w:val="center"/>
      </w:pPr>
      <w:r>
        <w:rPr>
          <w:rFonts w:ascii="Times New Roman" w:hAnsi="Times New Roman" w:cs="Times New Roman"/>
          <w:b/>
          <w:i w:val="0"/>
          <w:color w:val="000000"/>
          <w:sz w:val="20"/>
        </w:rPr>
        <w:t>PART XVIII — Implementation Architecture</w:t>
      </w:r>
    </w:p>
    <w:p>
      <w:pPr>
        <w:spacing w:before="240"/>
        <w:jc w:val="center"/>
      </w:pPr>
      <w:r>
        <w:rPr>
          <w:rFonts w:ascii="Times New Roman" w:hAnsi="Times New Roman" w:cs="Times New Roman"/>
          <w:b/>
          <w:i w:val="0"/>
          <w:color w:val="000000"/>
          <w:sz w:val="20"/>
        </w:rPr>
        <w:t>30. TRANSITION</w:t>
      </w:r>
    </w:p>
    <w:p>
      <w:pPr>
        <w:jc w:val="both"/>
      </w:pPr>
      <w:r>
        <w:rPr>
          <w:rFonts w:ascii="Times New Roman" w:hAnsi="Times New Roman" w:cs="Times New Roman"/>
          <w:b w:val="0"/>
          <w:i w:val="0"/>
          <w:color w:val="000000"/>
          <w:sz w:val="20"/>
        </w:rPr>
        <w:t>The transition design includes data verification, fiscal stabilization, bank recapitalization, reserve verification, conversion mechanics, payment-system testing, contract conversion, cash distribution, and post-conversion monitoring.</w:t>
      </w:r>
    </w:p>
    <w:p>
      <w:pPr>
        <w:spacing w:before="240"/>
        <w:jc w:val="center"/>
      </w:pPr>
      <w:r>
        <w:rPr>
          <w:rFonts w:ascii="Times New Roman" w:hAnsi="Times New Roman" w:cs="Times New Roman"/>
          <w:b/>
          <w:i w:val="0"/>
          <w:color w:val="000000"/>
          <w:sz w:val="20"/>
        </w:rPr>
        <w:t>PART XIX — Advantages and Risks</w:t>
      </w:r>
    </w:p>
    <w:p>
      <w:pPr>
        <w:spacing w:before="240"/>
        <w:jc w:val="center"/>
      </w:pPr>
      <w:r>
        <w:rPr>
          <w:rFonts w:ascii="Times New Roman" w:hAnsi="Times New Roman" w:cs="Times New Roman"/>
          <w:b/>
          <w:i w:val="0"/>
          <w:color w:val="000000"/>
          <w:sz w:val="20"/>
        </w:rPr>
        <w:t>31. POTENTIAL BENEFITS</w:t>
      </w:r>
    </w:p>
    <w:p>
      <w:pPr>
        <w:jc w:val="both"/>
      </w:pPr>
      <w:r>
        <w:rPr>
          <w:rFonts w:ascii="Times New Roman" w:hAnsi="Times New Roman" w:cs="Times New Roman"/>
          <w:b w:val="0"/>
          <w:i w:val="0"/>
          <w:color w:val="000000"/>
          <w:sz w:val="20"/>
        </w:rPr>
        <w:t>Potential benefits include reduced domestic currency risk, greater price transparency, lower exchange-rate uncertainty, and constraints on monetary financing. These benefits remain conditional.</w:t>
      </w:r>
    </w:p>
    <w:p>
      <w:pPr>
        <w:spacing w:before="240"/>
        <w:jc w:val="center"/>
      </w:pPr>
      <w:r>
        <w:rPr>
          <w:rFonts w:ascii="Times New Roman" w:hAnsi="Times New Roman" w:cs="Times New Roman"/>
          <w:b/>
          <w:i w:val="0"/>
          <w:color w:val="000000"/>
          <w:sz w:val="20"/>
        </w:rPr>
        <w:t>32. POTENTIAL RISKS</w:t>
      </w:r>
    </w:p>
    <w:p>
      <w:pPr>
        <w:jc w:val="both"/>
      </w:pPr>
      <w:r>
        <w:rPr>
          <w:rFonts w:ascii="Times New Roman" w:hAnsi="Times New Roman" w:cs="Times New Roman"/>
          <w:b w:val="0"/>
          <w:i w:val="0"/>
          <w:color w:val="000000"/>
          <w:sz w:val="20"/>
        </w:rPr>
        <w:t>Potential risks include credit compression, bank runs, loss of lender of last resort, fiscal austerity, external-liquidity dependence, unemployment pressure, loss of seigniorage, and exposure to U.S. monetary conditions.</w:t>
      </w:r>
    </w:p>
    <w:p>
      <w:pPr>
        <w:spacing w:before="240"/>
        <w:jc w:val="center"/>
      </w:pPr>
      <w:r>
        <w:rPr>
          <w:rFonts w:ascii="Times New Roman" w:hAnsi="Times New Roman" w:cs="Times New Roman"/>
          <w:b/>
          <w:i w:val="0"/>
          <w:color w:val="000000"/>
          <w:sz w:val="20"/>
        </w:rPr>
        <w:t>PART XX — Policy Alternatives</w:t>
      </w:r>
    </w:p>
    <w:p>
      <w:pPr>
        <w:spacing w:before="240"/>
        <w:jc w:val="center"/>
      </w:pPr>
      <w:r>
        <w:rPr>
          <w:rFonts w:ascii="Times New Roman" w:hAnsi="Times New Roman" w:cs="Times New Roman"/>
          <w:b/>
          <w:i w:val="0"/>
          <w:color w:val="000000"/>
          <w:sz w:val="20"/>
        </w:rPr>
        <w:t>33. ALTERNATIVES</w:t>
      </w:r>
    </w:p>
    <w:p>
      <w:pPr>
        <w:jc w:val="both"/>
      </w:pPr>
      <w:r>
        <w:rPr>
          <w:rFonts w:ascii="Times New Roman" w:hAnsi="Times New Roman" w:cs="Times New Roman"/>
          <w:b w:val="0"/>
          <w:i w:val="0"/>
          <w:color w:val="000000"/>
          <w:sz w:val="20"/>
        </w:rPr>
        <w:t>The comparison set includes full dollarization, currency board, dual currency, managed float, inflation-targeting bolívar, commodity-backed regime, currency basket, and digital-dollar/tokenized-deposit architecture.</w:t>
      </w:r>
    </w:p>
    <w:p>
      <w:pPr>
        <w:spacing w:before="240"/>
        <w:jc w:val="center"/>
      </w:pPr>
      <w:r>
        <w:rPr>
          <w:rFonts w:ascii="Times New Roman" w:hAnsi="Times New Roman" w:cs="Times New Roman"/>
          <w:b/>
          <w:i w:val="0"/>
          <w:color w:val="000000"/>
          <w:sz w:val="20"/>
        </w:rPr>
        <w:t>PART XXI — Decision Matrix</w:t>
      </w:r>
    </w:p>
    <w:p>
      <w:pPr>
        <w:spacing w:before="240"/>
        <w:jc w:val="center"/>
      </w:pPr>
      <w:r>
        <w:rPr>
          <w:rFonts w:ascii="Times New Roman" w:hAnsi="Times New Roman" w:cs="Times New Roman"/>
          <w:b/>
          <w:i w:val="0"/>
          <w:color w:val="000000"/>
          <w:sz w:val="20"/>
        </w:rPr>
        <w:t>34. SCORING</w:t>
      </w:r>
    </w:p>
    <w:p>
      <w:pPr>
        <w:jc w:val="both"/>
      </w:pPr>
      <w:r>
        <w:rPr>
          <w:rFonts w:ascii="Times New Roman" w:hAnsi="Times New Roman" w:cs="Times New Roman"/>
          <w:b w:val="0"/>
          <w:i w:val="0"/>
          <w:color w:val="000000"/>
          <w:sz w:val="20"/>
        </w:rPr>
        <w:t>The readiness and policy matrices must score inflation stability, banking stability, fiscal discipline, credit flexibility, crisis response, reserves, debt, institutional readiness, political feasibility, and social effects. No score is final while critical data are missing.</w:t>
      </w:r>
    </w:p>
    <w:p>
      <w:pPr>
        <w:spacing w:before="240"/>
        <w:jc w:val="center"/>
      </w:pPr>
      <w:r>
        <w:rPr>
          <w:rFonts w:ascii="Times New Roman" w:hAnsi="Times New Roman" w:cs="Times New Roman"/>
          <w:b/>
          <w:i w:val="0"/>
          <w:color w:val="000000"/>
          <w:sz w:val="20"/>
        </w:rPr>
        <w:t>PART XXII — Conditional Recommendation Framework</w:t>
      </w:r>
    </w:p>
    <w:p>
      <w:pPr>
        <w:spacing w:before="240"/>
        <w:jc w:val="center"/>
      </w:pPr>
      <w:r>
        <w:rPr>
          <w:rFonts w:ascii="Times New Roman" w:hAnsi="Times New Roman" w:cs="Times New Roman"/>
          <w:b/>
          <w:i w:val="0"/>
          <w:color w:val="000000"/>
          <w:sz w:val="20"/>
        </w:rPr>
        <w:t>35. DECISION RULE</w:t>
      </w:r>
    </w:p>
    <w:p>
      <w:pPr>
        <w:jc w:val="both"/>
      </w:pPr>
      <w:r>
        <w:rPr>
          <w:rFonts w:ascii="Times New Roman" w:hAnsi="Times New Roman" w:cs="Times New Roman"/>
          <w:b w:val="0"/>
          <w:i w:val="0"/>
          <w:color w:val="000000"/>
          <w:sz w:val="20"/>
        </w:rPr>
        <w:t>The final report must answer:</w:t>
      </w:r>
    </w:p>
    <w:p>
      <w:pPr>
        <w:jc w:val="both"/>
      </w:pPr>
      <w:r>
        <w:rPr>
          <w:rFonts w:ascii="Times New Roman" w:hAnsi="Times New Roman" w:cs="Times New Roman"/>
          <w:b w:val="0"/>
          <w:i w:val="0"/>
          <w:color w:val="000000"/>
          <w:sz w:val="20"/>
        </w:rPr>
        <w:t>```text IF monetary, reserve, banking, fiscal, debt, legal, and institutional conditions are verified, THEN a specified regime can be evaluated.</w:t>
      </w:r>
    </w:p>
    <w:p>
      <w:pPr>
        <w:jc w:val="both"/>
      </w:pPr>
      <w:r>
        <w:rPr>
          <w:rFonts w:ascii="Times New Roman" w:hAnsi="Times New Roman" w:cs="Times New Roman"/>
          <w:b w:val="0"/>
          <w:i w:val="0"/>
          <w:color w:val="000000"/>
          <w:sz w:val="20"/>
        </w:rPr>
        <w:t>IF critical conditions remain unresolved, THEN the decision remains blocked. ```</w:t>
      </w:r>
    </w:p>
    <w:p>
      <w:pPr>
        <w:spacing w:before="240"/>
        <w:jc w:val="center"/>
      </w:pPr>
      <w:r>
        <w:rPr>
          <w:rFonts w:ascii="Times New Roman" w:hAnsi="Times New Roman" w:cs="Times New Roman"/>
          <w:b/>
          <w:i w:val="0"/>
          <w:color w:val="000000"/>
          <w:sz w:val="20"/>
        </w:rPr>
        <w:t>PART XXIII — Implementation Checklist</w:t>
      </w:r>
    </w:p>
    <w:p>
      <w:pPr>
        <w:spacing w:before="240"/>
        <w:jc w:val="center"/>
      </w:pPr>
      <w:r>
        <w:rPr>
          <w:rFonts w:ascii="Times New Roman" w:hAnsi="Times New Roman" w:cs="Times New Roman"/>
          <w:b/>
          <w:i w:val="0"/>
          <w:color w:val="000000"/>
          <w:sz w:val="20"/>
        </w:rPr>
        <w:t>36. READINESS INDICATORS</w:t>
      </w:r>
    </w:p>
    <w:p>
      <w:pPr>
        <w:jc w:val="both"/>
      </w:pPr>
      <w:r>
        <w:rPr>
          <w:rFonts w:ascii="Times New Roman" w:hAnsi="Times New Roman" w:cs="Times New Roman"/>
          <w:b w:val="0"/>
          <w:i w:val="0"/>
          <w:color w:val="000000"/>
          <w:sz w:val="20"/>
        </w:rPr>
        <w:t>The checklist covers audited BCV accounts, verified M0/M1/M2, audited banks, capital adequacy, NPLs, reserve liquidity, debt restructuring, monetary-financing cessation, fiscal revenue, legal conversion, deposit insurance, emergency liquidity, payment systems, wages, pensions, and social protection.</w:t>
      </w:r>
    </w:p>
    <w:p>
      <w:pPr>
        <w:spacing w:before="240"/>
        <w:jc w:val="center"/>
      </w:pPr>
      <w:r>
        <w:rPr>
          <w:rFonts w:ascii="Times New Roman" w:hAnsi="Times New Roman" w:cs="Times New Roman"/>
          <w:b/>
          <w:i w:val="0"/>
          <w:color w:val="000000"/>
          <w:sz w:val="20"/>
        </w:rPr>
        <w:t>PART XXIV — Final Findings and Data Appendix</w:t>
      </w:r>
    </w:p>
    <w:p>
      <w:pPr>
        <w:spacing w:before="240"/>
        <w:jc w:val="center"/>
      </w:pPr>
      <w:r>
        <w:rPr>
          <w:rFonts w:ascii="Times New Roman" w:hAnsi="Times New Roman" w:cs="Times New Roman"/>
          <w:b/>
          <w:i w:val="0"/>
          <w:color w:val="000000"/>
          <w:sz w:val="20"/>
        </w:rPr>
        <w:t>37. CURRENT FINDING</w:t>
      </w:r>
    </w:p>
    <w:p>
      <w:pPr>
        <w:jc w:val="both"/>
      </w:pPr>
      <w:r>
        <w:rPr>
          <w:rFonts w:ascii="Times New Roman" w:hAnsi="Times New Roman" w:cs="Times New Roman"/>
          <w:b w:val="0"/>
          <w:i w:val="0"/>
          <w:color w:val="000000"/>
          <w:sz w:val="20"/>
        </w:rPr>
        <w:t>The evidence currently supports a research conclusion, not a policy conclusion:</w:t>
      </w:r>
    </w:p>
    <w:p>
      <w:pPr>
        <w:jc w:val="both"/>
      </w:pPr>
      <w:r>
        <w:rPr>
          <w:rFonts w:ascii="Times New Roman" w:hAnsi="Times New Roman" w:cs="Times New Roman"/>
          <w:b/>
          <w:i w:val="0"/>
          <w:color w:val="000000"/>
          <w:sz w:val="20"/>
        </w:rPr>
        <w:t>Venezuela’s dollarization feasibility is unresolved. The legal and creditor evidence demonstrates material sovereign, PDVSA, PDVH, CITGO, arbitration, bond, and enforcement exposure. Current monetary, banking, reserve, fiscal, oil, debt, and household data remain insufficient for a safe conversion assessment.</w:t>
      </w:r>
    </w:p>
    <w:p>
      <w:pPr>
        <w:spacing w:before="240"/>
        <w:jc w:val="center"/>
      </w:pPr>
      <w:r>
        <w:rPr>
          <w:rFonts w:ascii="Times New Roman" w:hAnsi="Times New Roman" w:cs="Times New Roman"/>
          <w:b/>
          <w:i w:val="0"/>
          <w:color w:val="000000"/>
          <w:sz w:val="20"/>
        </w:rPr>
        <w:t>38. DATA APPENDIX STATUS</w:t>
      </w:r>
    </w:p>
    <w:p>
      <w:pPr>
        <w:jc w:val="both"/>
      </w:pPr>
      <w:r>
        <w:rPr>
          <w:rFonts w:ascii="Times New Roman" w:hAnsi="Times New Roman" w:cs="Times New Roman"/>
          <w:b w:val="0"/>
          <w:i w:val="0"/>
          <w:color w:val="000000"/>
          <w:sz w:val="20"/>
        </w:rPr>
        <w:t>The indexed HAEIS report contains 200 chart specifications and 81 formula/indicator slots. The present white-paper reading version keeps unavailable variables visible rather than filling them with estimates.</w:t>
      </w:r>
    </w:p>
    <w:p>
      <w:pPr>
        <w:spacing w:before="240"/>
        <w:jc w:val="center"/>
      </w:pPr>
      <w:r>
        <w:rPr>
          <w:rFonts w:ascii="Times New Roman" w:hAnsi="Times New Roman" w:cs="Times New Roman"/>
          <w:b/>
          <w:i w:val="0"/>
          <w:color w:val="000000"/>
          <w:sz w:val="20"/>
        </w:rPr>
        <w:t>39. SOURCE-OF-TRUTH RULE</w:t>
      </w:r>
    </w:p>
    <w:p>
      <w:pPr>
        <w:jc w:val="both"/>
      </w:pPr>
      <w:r>
        <w:rPr>
          <w:rFonts w:ascii="Times New Roman" w:hAnsi="Times New Roman" w:cs="Times New Roman"/>
          <w:b w:val="0"/>
          <w:i w:val="0"/>
          <w:color w:val="000000"/>
          <w:sz w:val="20"/>
        </w:rPr>
        <w:t>The 80-case universe will be promoted only when the underlying document has been read, the evidence summary is written, the amount basis is recorded, page/paragraph locators are present, and overlaps are resolved.</w:t>
      </w:r>
    </w:p>
    <w:p>
      <w:pPr>
        <w:jc w:val="both"/>
      </w:pPr>
      <w:r>
        <w:rPr>
          <w:rFonts w:ascii="Times New Roman" w:hAnsi="Times New Roman" w:cs="Times New Roman"/>
          <w:b/>
          <w:i w:val="0"/>
          <w:color w:val="000000"/>
          <w:sz w:val="20"/>
        </w:rPr>
        <w:t>Final status:</w:t>
      </w:r>
      <w:r>
        <w:rPr>
          <w:rFonts w:ascii="Times New Roman" w:hAnsi="Times New Roman" w:cs="Times New Roman"/>
          <w:b w:val="0"/>
          <w:i w:val="0"/>
          <w:color w:val="000000"/>
          <w:sz w:val="20"/>
        </w:rPr>
        <w:t xml:space="preserve"> `UNVERIFIED / NON-DECISION-GRADE / DATA INSUFFICIENT`.</w:t>
      </w:r>
    </w:p>
    <w:sectPr w:rsidR="00FC693F" w:rsidRPr="0006063C" w:rsidSect="00034616">
      <w:pgSz w:w="12240" w:h="15840"/>
      <w:pgMar w:top="1440" w:right="1411" w:bottom="164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