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CORPORATE RESOLUTION — {{ filer.name }}</w:t>
      </w:r>
    </w:p>
    <w:p>
      <w:r>
        <w:t>EIN: {{ filer.tin }}  |  Tax Year: {{ tax_year }}  |  Report: {{ report_type }}</w:t>
      </w:r>
    </w:p>
    <w:p>
      <w:r>
        <w:t>State of organization: {{ filer.address.state }}</w:t>
      </w:r>
    </w:p>
    <w:p>
      <w:r>
        <w:t>RESOLVED, that {{ filer.name }} ({{ filer.filing_type }}) recorded gross business income of ${{ '{:,.0f}'.format(income.business_income) }} for the {{ tax_year }} tax year, and that the officer compensation and pro-rata distributions be set in accordance with the reasonable-compensation memo.</w:t>
      </w:r>
    </w:p>
    <w:p>
      <w:r>
        <w:t>{% if taxes.total_tax == 0 %}As an S corporation, the entity owes no federal income tax; items pass through to the shareholder on Schedule K-1.{% else %}Entity-level tax: ${{ taxes.total_tax }}.{% endif %}</w:t>
      </w:r>
    </w:p>
    <w:p>
      <w:r>
        <w:br/>
        <w:t>_________________________</w:t>
        <w:br/>
        <w:t>{{ filer.name }}, by its President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