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Microsoft YaHei"/>
          <w:b/>
          <w:i w:val="0"/>
          <w:color w:val="2E74B5"/>
          <w:sz w:val="20"/>
        </w:rPr>
        <w:t>项目决策简报 · DEMO DATA</w:t>
      </w:r>
    </w:p>
    <w:p>
      <w:pPr>
        <w:spacing w:after="80"/>
      </w:pPr>
      <w:r>
        <w:rPr>
          <w:rFonts w:ascii="Calibri" w:hAnsi="Calibri" w:eastAsia="Microsoft YaHei"/>
          <w:b/>
          <w:i w:val="0"/>
          <w:color w:val="0B2545"/>
          <w:sz w:val="50"/>
        </w:rPr>
        <w:t>智能巡检试点方案 V1.0</w:t>
      </w:r>
    </w:p>
    <w:p>
      <w:pPr>
        <w:spacing w:after="320"/>
      </w:pPr>
      <w:r>
        <w:rPr>
          <w:rFonts w:ascii="Calibri" w:hAnsi="Calibri" w:eastAsia="Microsoft YaHei"/>
          <w:b w:val="0"/>
          <w:i w:val="0"/>
          <w:color w:val="64748B"/>
          <w:sz w:val="26"/>
        </w:rPr>
        <w:t>从3家灰度门店扩展至华东20家门店的上线与验收计划</w:t>
      </w:r>
    </w:p>
    <w:p>
      <w:pPr>
        <w:spacing w:after="40"/>
      </w:pPr>
      <w:r>
        <w:rPr>
          <w:rFonts w:ascii="Calibri" w:hAnsi="Calibri" w:eastAsia="Microsoft YaHei"/>
          <w:b/>
          <w:i w:val="0"/>
          <w:color w:val="0B2545"/>
          <w:sz w:val="22"/>
        </w:rPr>
        <w:t>项目代号：</w:t>
      </w:r>
      <w:r>
        <w:rPr>
          <w:rFonts w:ascii="Calibri" w:hAnsi="Calibri" w:eastAsia="Microsoft YaHei"/>
          <w:b w:val="0"/>
          <w:i w:val="0"/>
          <w:color w:val="334155"/>
          <w:sz w:val="22"/>
        </w:rPr>
        <w:t>STAR-BRIDGE-20</w:t>
      </w:r>
    </w:p>
    <w:p>
      <w:pPr>
        <w:spacing w:after="40"/>
      </w:pPr>
      <w:r>
        <w:rPr>
          <w:rFonts w:ascii="Calibri" w:hAnsi="Calibri" w:eastAsia="Microsoft YaHei"/>
          <w:b/>
          <w:i w:val="0"/>
          <w:color w:val="0B2545"/>
          <w:sz w:val="22"/>
        </w:rPr>
        <w:t>目标上线：</w:t>
      </w:r>
      <w:r>
        <w:rPr>
          <w:rFonts w:ascii="Calibri" w:hAnsi="Calibri" w:eastAsia="Microsoft YaHei"/>
          <w:b w:val="0"/>
          <w:i w:val="0"/>
          <w:color w:val="334155"/>
          <w:sz w:val="22"/>
        </w:rPr>
        <w:t>2026年9月18日</w:t>
      </w:r>
    </w:p>
    <w:p>
      <w:pPr>
        <w:spacing w:after="40"/>
      </w:pPr>
      <w:r>
        <w:rPr>
          <w:rFonts w:ascii="Calibri" w:hAnsi="Calibri" w:eastAsia="Microsoft YaHei"/>
          <w:b/>
          <w:i w:val="0"/>
          <w:color w:val="0B2545"/>
          <w:sz w:val="22"/>
        </w:rPr>
        <w:t>项目负责人：</w:t>
      </w:r>
      <w:r>
        <w:rPr>
          <w:rFonts w:ascii="Calibri" w:hAnsi="Calibri" w:eastAsia="Microsoft YaHei"/>
          <w:b w:val="0"/>
          <w:i w:val="0"/>
          <w:color w:val="334155"/>
          <w:sz w:val="22"/>
        </w:rPr>
        <w:t>洪恩泽（项目负责人）</w:t>
      </w:r>
    </w:p>
    <w:p>
      <w:pPr>
        <w:spacing w:after="40"/>
      </w:pPr>
      <w:r>
        <w:rPr>
          <w:rFonts w:ascii="Calibri" w:hAnsi="Calibri" w:eastAsia="Microsoft YaHei"/>
          <w:b/>
          <w:i w:val="0"/>
          <w:color w:val="0B2545"/>
          <w:sz w:val="22"/>
        </w:rPr>
        <w:t>当前阶段：</w:t>
      </w:r>
      <w:r>
        <w:rPr>
          <w:rFonts w:ascii="Calibri" w:hAnsi="Calibri" w:eastAsia="Microsoft YaHei"/>
          <w:b w:val="0"/>
          <w:i w:val="0"/>
          <w:color w:val="334155"/>
          <w:sz w:val="22"/>
        </w:rPr>
        <w:t>灰度上线准备</w:t>
      </w:r>
    </w:p>
    <w:p>
      <w:pPr>
        <w:spacing w:after="40"/>
      </w:pPr>
      <w:r>
        <w:rPr>
          <w:rFonts w:ascii="Calibri" w:hAnsi="Calibri" w:eastAsia="Microsoft YaHei"/>
          <w:b/>
          <w:i w:val="0"/>
          <w:color w:val="0B2545"/>
          <w:sz w:val="22"/>
        </w:rPr>
        <w:t>文档性质：</w:t>
      </w:r>
      <w:r>
        <w:rPr>
          <w:rFonts w:ascii="Calibri" w:hAnsi="Calibri" w:eastAsia="Microsoft YaHei"/>
          <w:b w:val="0"/>
          <w:i w:val="0"/>
          <w:color w:val="334155"/>
          <w:sz w:val="22"/>
        </w:rPr>
        <w:t>模拟演示数据，不对应任何真实客户</w:t>
      </w:r>
    </w:p>
    <w:p>
      <w:pPr>
        <w:spacing w:before="160" w:after="240"/>
        <w:pBdr>
          <w:bottom w:val="single" w:sz="16" w:space="1" w:color="2E74B5"/>
        </w:pBdr>
      </w:pPr>
    </w:p>
    <w:p>
      <w:pPr>
        <w:pStyle w:val="Heading1"/>
      </w:pPr>
      <w:r>
        <w:t>1. 决策摘要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本项目计划在华东区域20家门店上线智能设备巡检与分级告警能力。采用“3家灰度、48小时观察、分两批扩容”的策略，把故障发现平均耗时从4小时缩短至30分钟以内。</w:t>
      </w:r>
    </w:p>
    <w:p>
      <w:pPr>
        <w:spacing w:after="120" w:line="264" w:lineRule="auto"/>
      </w:pPr>
      <w:r>
        <w:rPr>
          <w:rFonts w:ascii="Calibri" w:hAnsi="Calibri" w:eastAsia="Microsoft YaHei"/>
          <w:b/>
          <w:i w:val="0"/>
          <w:color w:val="0B2545"/>
          <w:sz w:val="22"/>
        </w:rPr>
        <w:t>当前建议：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维持9月18日目标日期，但必须在9月10日前关闭三项门槛：告警误报率不高于3%、弱网重试链路通过、企业微信通知达到99%的可送达率。若任一门槛未达标，只上线3家灰度门店。</w:t>
      </w:r>
    </w:p>
    <w:p>
      <w:pPr>
        <w:pStyle w:val="Heading1"/>
      </w:pPr>
      <w:r>
        <w:t>2. 项目目标与范围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覆盖上海、杭州、苏州共20家门店的巡检设备、网络状态和核心业务接口。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建立P0/P1/P2三级告警：P0五分钟内响应，P1三十分钟内响应，P2进入次日优化池。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告警通过企业微信触达值班人员，并在项目系统形成可追溯任务。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形成上线清单、运维SOP、培训记录和上线后一周复盘报告。</w:t>
      </w:r>
    </w:p>
    <w:p>
      <w:pPr>
        <w:spacing w:after="120" w:line="264" w:lineRule="auto"/>
      </w:pPr>
      <w:r>
        <w:rPr>
          <w:rFonts w:ascii="Calibri" w:hAnsi="Calibri" w:eastAsia="Microsoft YaHei"/>
          <w:b/>
          <w:i w:val="0"/>
          <w:color w:val="0B2545"/>
          <w:sz w:val="22"/>
        </w:rPr>
        <w:t>不在范围：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设备采购、门店网络改造、消费者身份数据分析，以及未经审批的自动关机或远程重启。</w:t>
      </w:r>
    </w:p>
    <w:p>
      <w:pPr>
        <w:pStyle w:val="Heading1"/>
      </w:pPr>
      <w:r>
        <w:t>3. 里程碑与当前状态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6" w:color="D7DEE7"/>
          <w:left w:val="single" w:sz="6" w:color="D7DEE7"/>
          <w:bottom w:val="single" w:sz="6" w:color="D7DEE7"/>
          <w:right w:val="single" w:sz="6" w:color="D7DEE7"/>
          <w:insideH w:val="single" w:sz="6" w:color="D7DEE7"/>
          <w:insideV w:val="single" w:sz="6" w:color="D7DEE7"/>
        </w:tblBorders>
      </w:tblPr>
      <w:tblGrid>
        <w:gridCol w:w="2100"/>
        <w:gridCol w:w="1050"/>
        <w:gridCol w:w="1000"/>
        <w:gridCol w:w="1350"/>
        <w:gridCol w:w="3860"/>
      </w:tblGrid>
      <w:tr>
        <w:trPr>
          <w:tblHeader w:val="true"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tcW w:w="2100" w:type="dxa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里程碑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tcW w:w="1050" w:type="dxa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负责人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tcW w:w="1000" w:type="dxa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日期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tcW w:w="1350" w:type="dxa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状态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tcW w:w="3860" w:type="dxa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验收信号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100" w:type="dxa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门店清单与设备基线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050" w:type="dxa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林悦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000" w:type="dxa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09-05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350" w:type="dxa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80%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860" w:type="dxa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20店设备、网络和责任人完整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100" w:type="dxa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告警规则评审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050" w:type="dxa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周恺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000" w:type="dxa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09-08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350" w:type="dxa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65%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860" w:type="dxa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误报率压测不高于3%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100" w:type="dxa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企业微信通知联调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050" w:type="dxa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顾宁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000" w:type="dxa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09-10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350" w:type="dxa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30%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860" w:type="dxa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100次测试送达率不低于99%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100" w:type="dxa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3店灰度上线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050" w:type="dxa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林悦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000" w:type="dxa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09-12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350" w:type="dxa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未开始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860" w:type="dxa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连续48小时无P0事故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100" w:type="dxa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20店分批扩容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050" w:type="dxa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洪恩泽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000" w:type="dxa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09-18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350" w:type="dxa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未开始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860" w:type="dxa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全部门店签署上线确认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4. 关键业务规则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6" w:color="D7DEE7"/>
          <w:left w:val="single" w:sz="6" w:color="D7DEE7"/>
          <w:bottom w:val="single" w:sz="6" w:color="D7DEE7"/>
          <w:right w:val="single" w:sz="6" w:color="D7DEE7"/>
          <w:insideH w:val="single" w:sz="6" w:color="D7DEE7"/>
          <w:insideV w:val="single" w:sz="6" w:color="D7DEE7"/>
        </w:tblBorders>
      </w:tblPr>
      <w:tblGrid>
        <w:gridCol w:w="900"/>
        <w:gridCol w:w="3000"/>
        <w:gridCol w:w="1100"/>
        <w:gridCol w:w="4360"/>
      </w:tblGrid>
      <w:tr>
        <w:trPr>
          <w:tblHeader w:val="true"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tcW w:w="900" w:type="dxa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级别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tcW w:w="3000" w:type="dxa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触发条件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tcW w:w="1100" w:type="dxa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响应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tcW w:w="4360" w:type="dxa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处理要求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00" w:type="dxa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P0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000" w:type="dxa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收银、支付或核心接口完全不可用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00" w:type="dxa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5分钟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360" w:type="dxa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通知值班负责人并创建高优先级任务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00" w:type="dxa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P1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000" w:type="dxa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设备连续离线10分钟或关键指标异常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00" w:type="dxa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30分钟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360" w:type="dxa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通知区域运维并记录排查证据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00" w:type="dxa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P2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000" w:type="dxa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单点抖动、容量趋势或非阻断异常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00" w:type="dxa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次日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360" w:type="dxa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进入优化池，由项目例会统一排序</w:t>
            </w:r>
          </w:p>
        </w:tc>
      </w:tr>
    </w:tbl>
    <w:p>
      <w:pPr>
        <w:spacing w:after="40"/>
      </w:pPr>
    </w:p>
    <w:p>
      <w:pPr>
        <w:pStyle w:val="Heading2"/>
      </w:pPr>
      <w:r>
        <w:t>4.1 Agent自动化边界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Agent可以读取已授权的项目、任务、会议和本方案，生成风险判断和推进建议。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添加普通任务评论属于低风险动作，可以在授权后直接执行。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创建任务或会议行动项必须经过独立AI审核；信息不足时升级人工。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修改任务状态、负责人、截止时间或项目资料属于高风险动作，必须人工审批。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任何删除、远程设备控制和生产配置修改均不向演示Agent开放。</w:t>
      </w:r>
    </w:p>
    <w:p>
      <w:pPr>
        <w:pStyle w:val="Heading1"/>
      </w:pPr>
      <w:r>
        <w:t>5. 风险登记册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6" w:color="D7DEE7"/>
          <w:left w:val="single" w:sz="6" w:color="D7DEE7"/>
          <w:bottom w:val="single" w:sz="6" w:color="D7DEE7"/>
          <w:right w:val="single" w:sz="6" w:color="D7DEE7"/>
          <w:insideH w:val="single" w:sz="6" w:color="D7DEE7"/>
          <w:insideV w:val="single" w:sz="6" w:color="D7DEE7"/>
        </w:tblBorders>
      </w:tblPr>
      <w:tblGrid>
        <w:gridCol w:w="1850"/>
        <w:gridCol w:w="750"/>
        <w:gridCol w:w="2460"/>
        <w:gridCol w:w="900"/>
        <w:gridCol w:w="3400"/>
      </w:tblGrid>
      <w:tr>
        <w:trPr>
          <w:tblHeader w:val="true"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tcW w:w="1850" w:type="dxa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风险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tcW w:w="750" w:type="dxa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等级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tcW w:w="2460" w:type="dxa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当前证据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tcW w:w="900" w:type="dxa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负责人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tcW w:w="3400" w:type="dxa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缓解措施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50" w:type="dxa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弱网导致心跳误判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750" w:type="dxa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高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460" w:type="dxa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浦东店晚高峰丢包明显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00" w:type="dxa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林悦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400" w:type="dxa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4G备链演练与离线窗口压测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50" w:type="dxa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告警规则过敏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750" w:type="dxa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高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460" w:type="dxa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首轮模拟误报率4.2%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00" w:type="dxa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周恺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400" w:type="dxa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90秒去重窗口并按门店分层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50" w:type="dxa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通知接收人缺失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750" w:type="dxa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中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460" w:type="dxa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夜间升级链路待验证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00" w:type="dxa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顾宁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400" w:type="dxa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补齐双联系人和超时升级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50" w:type="dxa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扩容节奏过快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750" w:type="dxa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中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460" w:type="dxa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尚未完成3店灰度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00" w:type="dxa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洪恩泽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400" w:type="dxa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3店观察48小时后再分批扩容</w:t>
            </w:r>
          </w:p>
        </w:tc>
      </w:tr>
    </w:tbl>
    <w:p>
      <w:pPr>
        <w:spacing w:after="40"/>
      </w:pPr>
    </w:p>
    <w:p>
      <w:pPr>
        <w:pStyle w:val="Heading1"/>
      </w:pPr>
      <w:r>
        <w:t>6. 责任分工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6" w:color="D7DEE7"/>
          <w:left w:val="single" w:sz="6" w:color="D7DEE7"/>
          <w:bottom w:val="single" w:sz="6" w:color="D7DEE7"/>
          <w:right w:val="single" w:sz="6" w:color="D7DEE7"/>
          <w:insideH w:val="single" w:sz="6" w:color="D7DEE7"/>
          <w:insideV w:val="single" w:sz="6" w:color="D7DEE7"/>
        </w:tblBorders>
      </w:tblPr>
      <w:tblGrid>
        <w:gridCol w:w="1500"/>
        <w:gridCol w:w="900"/>
        <w:gridCol w:w="3960"/>
        <w:gridCol w:w="3000"/>
      </w:tblGrid>
      <w:tr>
        <w:trPr>
          <w:tblHeader w:val="true"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tcW w:w="1500" w:type="dxa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角色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tcW w:w="900" w:type="dxa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姓名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tcW w:w="3960" w:type="dxa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主要职责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tcW w:w="3000" w:type="dxa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升级条件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00" w:type="dxa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项目负责人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00" w:type="dxa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洪恩泽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960" w:type="dxa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范围、优先级、上线门槛和最终验收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000" w:type="dxa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门槛未达标或出现P0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00" w:type="dxa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平台工程师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00" w:type="dxa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周恺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960" w:type="dxa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采集、去重、通知接口与技术证据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000" w:type="dxa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误报率高于3%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00" w:type="dxa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运营负责人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00" w:type="dxa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顾宁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960" w:type="dxa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告警通知、联系人和培训组织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000" w:type="dxa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送达率低于99%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00" w:type="dxa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实施经理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00" w:type="dxa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林悦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960" w:type="dxa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设备基线、灰度排期和门店沟通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000" w:type="dxa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影响营业或集中投诉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7. 验收标准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功能：20家门店均能完成设备在线检测、告警分级和任务留痕。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性能：巡检结果写入延迟P95不高于60秒，告警通知P95不高于90秒。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质量：告警误报率不高于3%，企业微信测试送达率不低于99%。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安全：Agent敏感修改全部进入人工审批，越权测试不产生业务写入。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运营：20家门店联系人、培训记录和上线确认完整可查。</w:t>
      </w:r>
    </w:p>
    <w:p>
      <w:pPr>
        <w:pStyle w:val="Heading1"/>
      </w:pPr>
      <w:r>
        <w:t>8. 已确认决策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6" w:color="D7DEE7"/>
          <w:left w:val="single" w:sz="6" w:color="D7DEE7"/>
          <w:bottom w:val="single" w:sz="6" w:color="D7DEE7"/>
          <w:right w:val="single" w:sz="6" w:color="D7DEE7"/>
          <w:insideH w:val="single" w:sz="6" w:color="D7DEE7"/>
          <w:insideV w:val="single" w:sz="6" w:color="D7DEE7"/>
        </w:tblBorders>
      </w:tblPr>
      <w:tblGrid>
        <w:gridCol w:w="1100"/>
        <w:gridCol w:w="2800"/>
        <w:gridCol w:w="2700"/>
        <w:gridCol w:w="2760"/>
      </w:tblGrid>
      <w:tr>
        <w:trPr>
          <w:tblHeader w:val="true"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tcW w:w="1100" w:type="dxa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日期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tcW w:w="2800" w:type="dxa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决策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tcW w:w="2700" w:type="dxa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理由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tcW w:w="2760" w:type="dxa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复核点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00" w:type="dxa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09-02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800" w:type="dxa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采用3店灰度后分批扩容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700" w:type="dxa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降低一次性上线风险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760" w:type="dxa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灰度48小时后评估告警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00" w:type="dxa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09-02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800" w:type="dxa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P0必须人工确认关闭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700" w:type="dxa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避免自动化掩盖事故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760" w:type="dxa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检查关闭人和证据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00" w:type="dxa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09-03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800" w:type="dxa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保留9月18日目标日期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700" w:type="dxa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核心链路仍有修复窗口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760" w:type="dxa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9月10日检查三项门槛</w:t>
            </w:r>
          </w:p>
        </w:tc>
      </w:tr>
    </w:tbl>
    <w:p>
      <w:pPr>
        <w:spacing w:after="40"/>
      </w:pPr>
    </w:p>
    <w:p>
      <w:pPr>
        <w:pStyle w:val="Heading1"/>
      </w:pPr>
      <w:r>
        <w:t>9. 未来7天行动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9月5日前补齐20家门店设备基线、值班人与夜班联系人。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9月8日前完成告警规则第二轮压测，把误报率从4.2%降至3%以内。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9月10日前完成弱网重试与100次企业微信通知联调，提交可核验证据。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9月11日召开上线门禁会，只在三项门槛全部通过后批准3店灰度。</w:t>
      </w:r>
    </w:p>
    <w:p>
      <w:pPr>
        <w:pStyle w:val="Heading1"/>
      </w:pPr>
      <w:r>
        <w:t>10. 演示说明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本文件专为“撒豆成兵”Agent演示创建。所有企业、项目、门店、人员、指标和日期均为模拟数据。演示重点是：Agent只能读取被授权资料；关键结论能够引用项目、任务、会议和本方案；任何高风险写入必须等待人工审批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64748B"/>
        <w:sz w:val="18"/>
      </w:rPr>
      <w:t xml:space="preserve">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/>
        <w:i w:val="0"/>
        <w:color w:val="64748B"/>
        <w:sz w:val="18"/>
      </w:rPr>
      <w:t>星桥智造 | 华东20店智能巡检上线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星桥智造智能巡检试点方案 V1.0</dc:title>
  <dc:subject>撒豆成兵 Agent 演示项目资料</dc:subject>
  <dc:creator>撒豆成兵演示环境</dc:creator>
  <cp:keywords>Agent, 项目管理, 智能巡检, 演示数据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