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w:drawing>
          <wp:anchor behindDoc="0" distT="0" distB="0" distL="0" distR="0" simplePos="0" locked="0" layoutInCell="1" allowOverlap="1" relativeHeight="4">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5125" cy="263525"/>
                <wp:effectExtent l="0" t="0" r="0" b="0"/>
                <wp:wrapTopAndBottom/>
                <wp:docPr id="2" name="graphic1"/>
                <a:graphic xmlns:a="http://schemas.openxmlformats.org/drawingml/2006/main">
                  <a:graphicData uri="http://schemas.microsoft.com/office/word/2010/wordprocessingShape">
                    <wps:wsp>
                      <wps:cNvSpPr/>
                      <wps:spPr>
                        <a:xfrm>
                          <a:off x="0" y="0"/>
                          <a:ext cx="4174560" cy="26280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pPr>
                            <w:bookmarkStart w:id="0"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0"/>
                            <w:r>
                              <w:rPr>
                                <w:color w:val="00000A"/>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65pt;height:20.65pt">
                <w10:wrap type="square"/>
                <v:fill o:detectmouseclick="t" type="solid" color2="black"/>
                <v:stroke color="#3465a4" joinstyle="round" endcap="flat"/>
                <v:textbox>
                  <w:txbxContent>
                    <w:p>
                      <w:pPr>
                        <w:pStyle w:val="Caption1"/>
                        <w:suppressLineNumbers/>
                        <w:spacing w:before="120" w:after="120"/>
                        <w:rPr/>
                      </w:pPr>
                      <w:bookmarkStart w:id="1" w:name="_Ref463829594"/>
                      <w:r>
                        <w:rPr>
                          <w:color w:val="00000A"/>
                        </w:rPr>
                        <w:t xml:space="preserve">Figure </w:t>
                      </w:r>
                      <w:r>
                        <w:rPr>
                          <w:color w:val="00000A"/>
                        </w:rPr>
                        <w:fldChar w:fldCharType="begin"/>
                      </w:r>
                      <w:r>
                        <w:instrText> SEQ Figure \* ARABIC </w:instrText>
                      </w:r>
                      <w:r>
                        <w:fldChar w:fldCharType="separate"/>
                      </w:r>
                      <w:r>
                        <w:t>1</w:t>
                      </w:r>
                      <w:r>
                        <w:fldChar w:fldCharType="end"/>
                      </w:r>
                      <w:bookmarkEnd w:id="1"/>
                      <w:r>
                        <w:rPr>
                          <w:color w:val="00000A"/>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Normal"/>
        <w:rPr/>
      </w:pPr>
      <w:r>
        <w:rPr/>
        <w:t>TODO: reword for evaluation between different data structures given a cost</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Normal"/>
        <w:rPr/>
      </w:pPr>
      <w:bookmarkStart w:id="2" w:name="_GoBack"/>
      <w:bookmarkEnd w:id="2"/>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Application>LibreOffice/5.1.5.2$Windows_X86_64 LibreOffice_project/7a864d8825610a8c07cfc3bc01dd4fce6a9447e5</Application>
  <Pages>8</Pages>
  <Words>1983</Words>
  <Characters>10694</Characters>
  <CharactersWithSpaces>12578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2016-10-16T16:17:02Z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