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t>Almost everyone in today’s societies have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identifiy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The context in which web routers lies is of the World Wide Web, but to actually understand how they operate, understanding them from the mechanisms that typically represent them like data structures is required. To understand them this literature review looks into the general components of a site loading, how a server operates, general data structures and what existing web servers use.</w:t>
      </w:r>
    </w:p>
    <w:p>
      <w:pPr>
        <w:pStyle w:val="Heading2"/>
        <w:rPr/>
      </w:pPr>
      <w:bookmarkStart w:id="6" w:name="__RefHeading___Toc1250_433064804"/>
      <w:bookmarkEnd w:id="6"/>
      <w:r>
        <w:rPr/>
        <w:t>The World Wide Web</w:t>
      </w:r>
    </w:p>
    <w:sdt>
      <w:sdtPr>
        <w:citation/>
        <w:id w:val="1571446950"/>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7" w:name="_Ref467762105"/>
          <w:r>
            <w:rPr/>
            <w:t xml:space="preserve">Figure </w:t>
          </w:r>
          <w:r>
            <w:rPr/>
            <w:fldChar w:fldCharType="begin"/>
          </w:r>
          <w:r>
            <w:instrText> SEQ Figure \* ARABIC </w:instrText>
          </w:r>
          <w:r>
            <w:fldChar w:fldCharType="separate"/>
          </w:r>
          <w:r>
            <w:t>1</w:t>
          </w:r>
          <w:r>
            <w:fldChar w:fldCharType="end"/>
          </w:r>
          <w:bookmarkEnd w:id="7"/>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8" w:name="__RefHeading___Toc1252_433064804"/>
          <w:bookmarkEnd w:id="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0" w:name="__RefHeading___Toc1254_433064804"/>
          <w:bookmarkEnd w:id="10"/>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1" w:name="__RefHeading___Toc1256_433064804"/>
          <w:bookmarkEnd w:id="11"/>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2" w:name="__RefHeading___Toc1258_433064804"/>
          <w:bookmarkEnd w:id="12"/>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3" w:name="__RefHeading___Toc1260_433064804"/>
          <w:bookmarkEnd w:id="1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4" w:name="__RefHeading___Toc1262_433064804"/>
          <w:bookmarkEnd w:id="14"/>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w:t>
      </w:r>
    </w:p>
    <w:p>
      <w:pPr>
        <w:pStyle w:val="TextBody"/>
        <w:rPr/>
      </w:pPr>
      <w:r>
        <w:rPr/>
        <w:t>TODO: show an input set and exmplify it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5" w:name="_GoBack"/>
      <w:bookmarkEnd w:id="15"/>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8" w:name="__DdeLink__492_1865571884"/>
      <w:r>
        <w:rPr>
          <w:position w:val="0"/>
          <w:sz w:val="24"/>
          <w:sz w:val="24"/>
          <w:vertAlign w:val="baseline"/>
        </w:rPr>
        <w:t>R</w:t>
      </w:r>
      <w:r>
        <w:rPr>
          <w:sz w:val="24"/>
          <w:vertAlign w:val="superscript"/>
        </w:rPr>
        <w:t>2</w:t>
      </w:r>
      <w:bookmarkEnd w:id="18"/>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From the time series analysis it is apparent that the list router for 0-100 input sets scales to match the calculated formula highly. The differing R</w:t>
      </w:r>
      <w:r>
        <w:rPr>
          <w:vertAlign w:val="superscript"/>
        </w:rPr>
        <w:t>2</w:t>
      </w:r>
      <w:r>
        <w:rPr/>
        <w:t xml:space="preserve"> by around 0.008 is a reasonable number and is supported by looking at the results by min-min, min-max, max-min and max-max of the entire responses.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Mean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ListA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32854723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2819994600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ListA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36521920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3030136700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ListI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32341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696800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ListI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39639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790700</w:t>
            </w:r>
          </w:p>
        </w:tc>
      </w:tr>
    </w:tbl>
    <w:p>
      <w:pPr>
        <w:pStyle w:val="TextBody"/>
        <w:rPr/>
      </w:pPr>
      <w:r>
        <w:rPr/>
        <w:t>TODO: reference table</w:t>
      </w:r>
    </w:p>
    <w:p>
      <w:pPr>
        <w:pStyle w:val="TextBody"/>
        <w:rPr/>
      </w:pPr>
      <w:r>
        <w:rP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pPr>
        <w:pStyle w:val="TextBody"/>
        <w:rPr/>
      </w:pPr>
      <w:bookmarkStart w:id="19" w:name="__DdeLink__1051_909830776"/>
      <w:r>
        <w:rP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pPr>
        <w:pStyle w:val="TextBody"/>
        <w:rPr/>
      </w:pPr>
      <w:bookmarkStart w:id="20" w:name="__DdeLink__1051_909830776"/>
      <w:bookmarkEnd w:id="20"/>
      <w:r>
        <w:rPr/>
        <w:t>TODO: reference graphs</w:t>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From the time series analysis it is apparent that the tree router for 0-100 input sets scales to match the calculated formula highly. The differing R</w:t>
      </w:r>
      <w:r>
        <w:rPr>
          <w:vertAlign w:val="superscript"/>
        </w:rPr>
        <w:t>2</w:t>
      </w:r>
      <w:r>
        <w:rP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pPr>
        <w:pStyle w:val="TextBody"/>
        <w:rPr/>
      </w:pPr>
      <w:r>
        <w:rPr/>
        <w:t xml:space="preserve">TODO: </w:t>
      </w:r>
      <w:r>
        <w:rPr/>
        <w:t>reference data</w:t>
      </w:r>
    </w:p>
    <w:tbl>
      <w:tblPr>
        <w:tblW w:w="998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174044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10859900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208644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11556600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276</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5200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178081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10089300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208999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15245600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273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TreeOI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449</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11500</w:t>
            </w:r>
          </w:p>
        </w:tc>
      </w:tr>
    </w:tbl>
    <w:p>
      <w:pPr>
        <w:pStyle w:val="TextBody"/>
        <w:rPr/>
      </w:pPr>
      <w:r>
        <w:rPr/>
      </w:r>
    </w:p>
    <w:p>
      <w:pPr>
        <w:pStyle w:val="TextBody"/>
        <w:rPr/>
      </w:pPr>
      <w:r>
        <w:rP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pPr>
        <w:pStyle w:val="TextBody"/>
        <w:rPr/>
      </w:pPr>
      <w:r>
        <w:rP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pPr>
        <w:pStyle w:val="TextBody"/>
        <w:rPr/>
      </w:pPr>
      <w:r>
        <w:rPr/>
        <w:t>TODO: reference graphs</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Normal"/>
        <w:rPr/>
      </w:pPr>
      <w:r>
        <w:rPr/>
      </w:r>
    </w:p>
    <w:tbl>
      <w:tblPr>
        <w:tblW w:w="998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505"/>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Metric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Mean</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Max</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133211401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8161259700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145157883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8567889600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155253</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2016600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4500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187002</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2235800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RegexOA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498155614</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24742495900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RegexOA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536130030</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28392916800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RegexOI - min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554891</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10276600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RegexOI – max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1700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635525</w:t>
            </w:r>
          </w:p>
        </w:tc>
        <w:tc>
          <w:tcPr>
            <w:tcW w:w="25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11899700</w:t>
            </w:r>
          </w:p>
        </w:tc>
      </w:tr>
    </w:tbl>
    <w:p>
      <w:pPr>
        <w:pStyle w:val="TextBody"/>
        <w:rPr/>
      </w:pPr>
      <w:r>
        <w:rPr/>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w:t>
      </w:r>
    </w:p>
    <w:p>
      <w:pPr>
        <w:pStyle w:val="TextBody"/>
        <w:rPr/>
      </w:pPr>
      <w:r>
        <w:rPr/>
        <w:t>TODO: something here</w:t>
      </w:r>
    </w:p>
    <w:p>
      <w:pPr>
        <w:pStyle w:val="TextBody"/>
        <w:rPr/>
      </w:pPr>
      <w:r>
        <w:rPr/>
        <w:t xml:space="preserve">For each router a comparison of the number of values above versus below the mean was done. The ratio is in the form </w:t>
      </w:r>
      <w:r>
        <w:rPr>
          <w:i/>
          <w:iCs/>
        </w:rPr>
        <w:t>above</w:t>
      </w:r>
      <w:r>
        <w:rPr>
          <w:i w:val="false"/>
          <w:iCs w:val="false"/>
        </w:rPr>
        <w:t>:</w:t>
      </w:r>
      <w:r>
        <w:rPr>
          <w:i/>
          <w:iCs/>
        </w:rPr>
        <w:t>at</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extBody"/>
              <w:spacing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extBody"/>
              <w:spacing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add graph of treeI versus treeOI</w:t>
      </w:r>
    </w:p>
    <w:p>
      <w:pPr>
        <w:pStyle w:val="TextBody"/>
        <w:rPr>
          <w:b/>
          <w:b/>
          <w:bCs/>
        </w:rPr>
      </w:pPr>
      <w:r>
        <w:rPr/>
        <w:drawing>
          <wp:inline distT="0" distB="0" distL="0" distR="0">
            <wp:extent cx="6260465" cy="743648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6260465" cy="7436485"/>
                    </a:xfrm>
                    <a:prstGeom prst="rect">
                      <a:avLst/>
                    </a:prstGeom>
                  </pic:spPr>
                </pic:pic>
              </a:graphicData>
            </a:graphic>
          </wp:inline>
        </w:drawing>
      </w:r>
      <w:r>
        <w:br w:type="page"/>
      </w:r>
    </w:p>
    <w:p>
      <w:pPr>
        <w:pStyle w:val="Heading1"/>
        <w:rPr/>
      </w:pPr>
      <w:bookmarkStart w:id="21" w:name="__RefHeading___Toc1268_433064804"/>
      <w:bookmarkEnd w:id="21"/>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regular expressions to represent routes was found to be slower than a tree or list based implementation.</w:t>
      </w:r>
    </w:p>
    <w:p>
      <w:pPr>
        <w:pStyle w:val="Heading1"/>
        <w:rPr/>
      </w:pPr>
      <w:bookmarkStart w:id="22" w:name="__RefHeading___Toc1270_433064804"/>
      <w:bookmarkEnd w:id="22"/>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3" w:name="__RefHeading___Toc1272_433064804"/>
      <w:bookmarkEnd w:id="23"/>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6"/>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color w:val="999999"/>
      <w:sz w:val="24"/>
      <w:szCs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color w:val="808080"/>
    </w:rPr>
  </w:style>
  <w:style w:type="character" w:styleId="ListLabel836">
    <w:name w:val="ListLabel 836"/>
    <w:qFormat/>
    <w:rPr>
      <w:rFonts w:cs="Symbol"/>
      <w:color w:val="808080"/>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color w:val="999999"/>
      <w:sz w:val="24"/>
      <w:szCs w:val="24"/>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color w:val="808080"/>
    </w:rPr>
  </w:style>
  <w:style w:type="character" w:styleId="ListLabel880">
    <w:name w:val="ListLabel 880"/>
    <w:qFormat/>
    <w:rPr>
      <w:rFonts w:cs="Symbol"/>
      <w:color w:val="808080"/>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color w:val="999999"/>
      <w:sz w:val="24"/>
      <w:szCs w:val="24"/>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color w:val="808080"/>
    </w:rPr>
  </w:style>
  <w:style w:type="character" w:styleId="ListLabel924">
    <w:name w:val="ListLabel 924"/>
    <w:qFormat/>
    <w:rPr>
      <w:rFonts w:cs="Symbol"/>
      <w:color w:val="808080"/>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color w:val="999999"/>
      <w:sz w:val="24"/>
      <w:szCs w:val="24"/>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color w:val="808080"/>
    </w:rPr>
  </w:style>
  <w:style w:type="character" w:styleId="ListLabel968">
    <w:name w:val="ListLabel 968"/>
    <w:qFormat/>
    <w:rPr>
      <w:rFonts w:cs="Symbol"/>
      <w:color w:val="808080"/>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cs="Symbol"/>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cs="Symbol"/>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cs="Symbol"/>
      <w:color w:val="999999"/>
      <w:sz w:val="24"/>
      <w:szCs w:val="24"/>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cs="Symbol"/>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color w:val="808080"/>
    </w:rPr>
  </w:style>
  <w:style w:type="character" w:styleId="ListLabel1012">
    <w:name w:val="ListLabel 1012"/>
    <w:qFormat/>
    <w:rPr>
      <w:rFonts w:cs="Symbol"/>
      <w:color w:val="808080"/>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90651915"/>
        <c:axId val="86949683"/>
      </c:lineChart>
      <c:catAx>
        <c:axId val="9065191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6949683"/>
        <c:crosses val="autoZero"/>
        <c:auto val="1"/>
        <c:lblAlgn val="ctr"/>
        <c:lblOffset val="100"/>
      </c:catAx>
      <c:valAx>
        <c:axId val="86949683"/>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90651915"/>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34406922"/>
        <c:axId val="43652373"/>
      </c:barChart>
      <c:catAx>
        <c:axId val="34406922"/>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3652373"/>
        <c:crosses val="autoZero"/>
        <c:auto val="1"/>
        <c:lblAlgn val="ctr"/>
        <c:lblOffset val="100"/>
      </c:catAx>
      <c:valAx>
        <c:axId val="43652373"/>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34406922"/>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Application>LibreOffice/5.2.6.2$Windows_X86_64 LibreOffice_project/a3100ed2409ebf1c212f5048fbe377c281438fdc</Application>
  <Pages>25</Pages>
  <Words>4933</Words>
  <Characters>25252</Characters>
  <CharactersWithSpaces>29853</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2017-05-22T02:52:48Z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