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179f8220eb7a4fbef12a3c0d1759be1dc671582b.png"/>
            <a:graphic>
              <a:graphicData uri="http://schemas.openxmlformats.org/drawingml/2006/picture">
                <pic:pic>
                  <pic:nvPicPr>
                    <pic:cNvPr id="1" name="image-179f8220eb7a4fbef12a3c0d1759be1dc671582b.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Why NVIDIA Just Made Its Boldest Move Yet: The Acquihire of Enfabrica</w:t>
      </w:r>
    </w:p>
    <w:p>
      <w:pPr>
        <w:spacing w:line="360" w:after="210" w:lineRule="auto"/>
      </w:pPr>
      <w:r>
        <w:rPr>
          <w:rFonts w:eastAsia="inter" w:cs="inter" w:ascii="inter" w:hAnsi="inter"/>
          <w:color w:val="000000"/>
        </w:rPr>
        <w:t xml:space="preserve">NVIDIA is no longer just a GPU company. With the reported acquihire of Enfabrica, it’s signaling a new, more ambitious strategy: to become the foundational memory backbone of the entire AI industry. This isn't just about faster chips; it's about building a whole new architecture for the age of large language models (LLMs).</w:t>
      </w:r>
    </w:p>
    <w:p>
      <w:pPr>
        <w:spacing w:line="360" w:after="210" w:lineRule="auto"/>
      </w:pPr>
      <w:r>
        <w:rPr>
          <w:rFonts w:eastAsia="inter" w:cs="inter" w:ascii="inter" w:hAnsi="inter"/>
          <w:color w:val="000000"/>
        </w:rPr>
        <w:t xml:space="preserve">The Problem: The Great Memory Bottleneck</w:t>
      </w:r>
    </w:p>
    <w:p>
      <w:pPr>
        <w:spacing w:line="360" w:after="210" w:lineRule="auto"/>
      </w:pPr>
      <w:r>
        <w:rPr>
          <w:rFonts w:eastAsia="inter" w:cs="inter" w:ascii="inter" w:hAnsi="inter"/>
          <w:color w:val="000000"/>
        </w:rPr>
        <w:t xml:space="preserve">Today’s most powerful LLMs are so massive that they can't fit into the limited, high-speed memory (HBM) on a single GPU. As a result, AI inference—the process of a model generating a response—is often slowed down by what’s known as the "memory wall." The GPU, a powerful processor, spends too much time waiting for data to be moved from slower, more distant memory.</w:t>
      </w:r>
      <w:r>
        <w:rPr>
          <w:rFonts w:eastAsia="inter" w:cs="inter" w:ascii="inter" w:hAnsi="inter"/>
          <w:color w:val="000000"/>
        </w:rPr>
        <w:br w:type="textWrapping"/>
      </w:r>
      <w:r>
        <w:rPr>
          <w:rFonts w:eastAsia="inter" w:cs="inter" w:ascii="inter" w:hAnsi="inter"/>
          <w:color w:val="000000"/>
        </w:rPr>
        <w:t xml:space="preserve">NVIDIA's current solution, NVLink, excels at "scaling up" by tightly linking GPUs within a single server or rack, creating a unified pool of their fast HBM. However, this still doesn't solve the problem of scaling to a whole data center, where you need to access a far larger pool of memory.</w:t>
      </w:r>
    </w:p>
    <w:p>
      <w:pPr>
        <w:spacing w:line="360" w:after="210" w:lineRule="auto"/>
      </w:pPr>
      <w:r>
        <w:rPr>
          <w:rFonts w:eastAsia="inter" w:cs="inter" w:ascii="inter" w:hAnsi="inter"/>
          <w:color w:val="000000"/>
        </w:rPr>
        <w:t xml:space="preserve">The Solution: A Unified Memory Fabric</w:t>
      </w:r>
    </w:p>
    <w:p>
      <w:pPr>
        <w:spacing w:line="360" w:after="210" w:lineRule="auto"/>
      </w:pPr>
      <w:r>
        <w:rPr>
          <w:rFonts w:eastAsia="inter" w:cs="inter" w:ascii="inter" w:hAnsi="inter"/>
          <w:color w:val="000000"/>
        </w:rPr>
        <w:t xml:space="preserve">This is where Enfabrica's technology comes in. Their core innovation is the Accelerated Compute Fabric SuperNIC (ACF-S), a high-performance chip that bridges the gap between GPUs and the vast, distributed pool of commodity DRAM attached to CPUs across a data center.</w:t>
      </w:r>
      <w:r>
        <w:rPr>
          <w:rFonts w:eastAsia="inter" w:cs="inter" w:ascii="inter" w:hAnsi="inter"/>
          <w:color w:val="000000"/>
        </w:rPr>
        <w:br w:type="textWrapping"/>
      </w:r>
      <w:r>
        <w:rPr>
          <w:rFonts w:eastAsia="inter" w:cs="inter" w:ascii="inter" w:hAnsi="inter"/>
          <w:color w:val="000000"/>
        </w:rPr>
        <w:t xml:space="preserve">Essentially, Enfabrica’s technology allows GPUs to "scale out" and directly access memory from other servers using a new, high-speed fabric. This creates a unified, disaggregated memory system.</w:t>
      </w:r>
    </w:p>
    <w:p>
      <w:pPr>
        <w:numPr>
          <w:ilvl w:val="0"/>
          <w:numId w:val="1"/>
        </w:numPr>
        <w:spacing w:line="360" w:after="210" w:lineRule="auto"/>
      </w:pPr>
      <w:r>
        <w:rPr>
          <w:rFonts w:eastAsia="inter" w:cs="inter" w:ascii="inter" w:hAnsi="inter"/>
          <w:color w:val="000000"/>
          <w:sz w:val="21"/>
        </w:rPr>
        <w:t xml:space="preserve">Before Enfabrica: To get more memory for your AI model, you had to add another expensive GPU with its own expensive HBM.</w:t>
      </w:r>
    </w:p>
    <w:p>
      <w:pPr>
        <w:numPr>
          <w:ilvl w:val="0"/>
          <w:numId w:val="1"/>
        </w:numPr>
        <w:spacing w:line="360" w:after="210" w:lineRule="auto"/>
      </w:pPr>
      <w:r>
        <w:rPr>
          <w:rFonts w:eastAsia="inter" w:cs="inter" w:ascii="inter" w:hAnsi="inter"/>
          <w:color w:val="000000"/>
          <w:sz w:val="21"/>
        </w:rPr>
        <w:t xml:space="preserve">With Enfabrica's tech: You can offload large portions of the model (the less latency-sensitive parts) to the vast, cheaper DRAM pool across the network, freeing up the GPU's HBM for the most critical, high-speed operations.</w:t>
      </w:r>
    </w:p>
    <w:p>
      <w:pPr>
        <w:spacing w:line="360" w:after="210" w:lineRule="auto"/>
      </w:pPr>
      <w:r>
        <w:rPr>
          <w:rFonts w:eastAsia="inter" w:cs="inter" w:ascii="inter" w:hAnsi="inter"/>
          <w:color w:val="000000"/>
        </w:rPr>
        <w:t xml:space="preserve">This approach could potentially cut the cost of LLM inference by up to 50%, making it a game-changer for companies running large-scale AI services.</w:t>
      </w:r>
    </w:p>
    <w:p>
      <w:pPr>
        <w:spacing w:line="360" w:after="210" w:lineRule="auto"/>
      </w:pPr>
      <w:r>
        <w:rPr>
          <w:rFonts w:eastAsia="inter" w:cs="inter" w:ascii="inter" w:hAnsi="inter"/>
          <w:color w:val="000000"/>
        </w:rPr>
        <w:t xml:space="preserve">The Strategic Payoff: Control of the AI Stack</w:t>
      </w:r>
    </w:p>
    <w:p>
      <w:pPr>
        <w:spacing w:line="360" w:after="210" w:lineRule="auto"/>
      </w:pPr>
      <w:r>
        <w:rPr>
          <w:rFonts w:eastAsia="inter" w:cs="inter" w:ascii="inter" w:hAnsi="inter"/>
          <w:color w:val="000000"/>
        </w:rPr>
        <w:t xml:space="preserve">The reported $900M+ deal is structured as an "acquihire," a strategic move to bring on Enfabrica's top talent and license their intellectual property. Enfabrica's co-founder and CEO, Rochan Sankar, has already joined NVIDIA in a senior role.</w:t>
      </w:r>
      <w:r>
        <w:rPr>
          <w:rFonts w:eastAsia="inter" w:cs="inter" w:ascii="inter" w:hAnsi="inter"/>
          <w:color w:val="000000"/>
        </w:rPr>
        <w:br w:type="textWrapping"/>
      </w:r>
      <w:r>
        <w:rPr>
          <w:rFonts w:eastAsia="inter" w:cs="inter" w:ascii="inter" w:hAnsi="inter"/>
          <w:color w:val="000000"/>
        </w:rPr>
        <w:t xml:space="preserve">This isn't just a simple acquisition; it's a bold move to solidify NVIDIA's dominance. By combining their industry-leading GPUs with Enfabrica's groundbreaking memory fabric, NVIDIA can now offer a complete, end-to-end solution for building massive AI data centers.</w:t>
      </w:r>
      <w:r>
        <w:rPr>
          <w:rFonts w:eastAsia="inter" w:cs="inter" w:ascii="inter" w:hAnsi="inter"/>
          <w:color w:val="000000"/>
        </w:rPr>
        <w:br w:type="textWrapping"/>
      </w:r>
      <w:r>
        <w:rPr>
          <w:rFonts w:eastAsia="inter" w:cs="inter" w:ascii="inter" w:hAnsi="inter"/>
          <w:color w:val="000000"/>
        </w:rPr>
        <w:t xml:space="preserve">The new era of AI is defined by scale. By controlling not just the brains of the operation (the GPU) but also the central nervous system (the interconnect and memory fabric), NVIDIA is positioning itself as the undisputed architect of the future of AI infrastructure. The CPU’s role is shifting to a more managerial one, as the GPU and its surrounding fabric handle the heavy lifting.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 wrote this .. make this proper with references</w:t>
      </w:r>
    </w:p>
    <w:p>
      <w:pPr>
        <w:spacing w:line="360" w:after="210" w:lineRule="auto"/>
      </w:pPr>
      <w:r>
        <w:rPr>
          <w:rFonts w:eastAsia="inter" w:cs="inter" w:ascii="inter" w:hAnsi="inter"/>
          <w:color w:val="000000"/>
        </w:rPr>
        <w:t xml:space="preserve">NVIDIA’s acquihire of Enfabrica signals a transformative pivot from purely a GPU vendor to the architect of unified memory and interconnect for the AI era, targeting the most fundamental bottleneck in large language model (LLM) infrastructure: memory inefficiency and scale.</w:t>
      </w:r>
      <w:bookmarkStart w:id="0" w:name="fnref1"/>
      <w:bookmarkEnd w:id="0"/>
      <w:hyperlink w:anchor="fn1">
        <w:r>
          <w:rPr>
            <w:rFonts w:eastAsia="inter" w:cs="inter" w:ascii="inter" w:hAnsi="inter"/>
            <w:color w:val="#000"/>
            <w:u w:val="single"/>
            <w:vertAlign w:val="superscript"/>
          </w:rPr>
          <w:t xml:space="preserve">[1]</w:t>
        </w:r>
      </w:hyperlink>
      <w:bookmarkStart w:id="1" w:name="fnref2"/>
      <w:bookmarkEnd w:id="1"/>
      <w:hyperlink w:anchor="fn2">
        <w:r>
          <w:rPr>
            <w:rFonts w:eastAsia="inter" w:cs="inter" w:ascii="inter" w:hAnsi="inter"/>
            <w:color w:val="#000"/>
            <w:u w:val="single"/>
            <w:vertAlign w:val="superscript"/>
          </w:rPr>
          <w:t xml:space="preserve">[2]</w:t>
        </w:r>
      </w:hyperlink>
      <w:bookmarkStart w:id="2" w:name="fnref3"/>
      <w:bookmarkEnd w:id="2"/>
      <w:hyperlink w:anchor="fn3">
        <w:r>
          <w:rPr>
            <w:rFonts w:eastAsia="inter" w:cs="inter" w:ascii="inter" w:hAnsi="inter"/>
            <w:color w:val="#000"/>
            <w:u w:val="single"/>
            <w:vertAlign w:val="superscript"/>
          </w:rPr>
          <w:t xml:space="preserve">[3]</w:t>
        </w:r>
      </w:hyperlink>
    </w:p>
    <w:p>
      <w:pPr>
        <w:spacing w:line="360" w:before="315" w:after="105" w:lineRule="auto"/>
        <w:ind w:left="-30"/>
        <w:jc w:val="left"/>
      </w:pPr>
      <w:r>
        <w:rPr>
          <w:rFonts w:eastAsia="inter" w:cs="inter" w:ascii="inter" w:hAnsi="inter"/>
          <w:b/>
          <w:color w:val="000000"/>
          <w:sz w:val="24"/>
        </w:rPr>
        <w:t xml:space="preserve">The Great Memory Wall</w:t>
      </w:r>
    </w:p>
    <w:p>
      <w:pPr>
        <w:spacing w:line="360" w:after="210" w:lineRule="auto"/>
      </w:pPr>
      <w:r>
        <w:rPr>
          <w:rFonts w:eastAsia="inter" w:cs="inter" w:ascii="inter" w:hAnsi="inter"/>
          <w:color w:val="000000"/>
        </w:rPr>
        <w:t xml:space="preserve">As LLMs grow well beyond the limits of single-GPU HBM, AI inference becomes hamstrung by the “memory wall,” where GPUs idle while data is pulled from relatively slow, remote memories. NVIDIA’s current-scale up solution, NVLink, effectively pools memory within a rack, but it doesn’t provide seamless access to memory distributed across an entire data center. This leaves large pools of affordable DRAM in CPUs underutilized as HBM-bound AI models become increasingly expensive to deploy.</w:t>
      </w:r>
      <w:bookmarkStart w:id="3" w:name="fnref4"/>
      <w:bookmarkEnd w:id="3"/>
      <w:hyperlink w:anchor="fn4">
        <w:r>
          <w:rPr>
            <w:rFonts w:eastAsia="inter" w:cs="inter" w:ascii="inter" w:hAnsi="inter"/>
            <w:color w:val="#000"/>
            <w:u w:val="single"/>
            <w:vertAlign w:val="superscript"/>
          </w:rPr>
          <w:t xml:space="preserve">[4]</w:t>
        </w:r>
      </w:hyperlink>
      <w:bookmarkStart w:id="4" w:name="fnref5"/>
      <w:bookmarkEnd w:id="4"/>
      <w:hyperlink w:anchor="fn5">
        <w:r>
          <w:rPr>
            <w:rFonts w:eastAsia="inter" w:cs="inter" w:ascii="inter" w:hAnsi="inter"/>
            <w:color w:val="#000"/>
            <w:u w:val="single"/>
            <w:vertAlign w:val="superscript"/>
          </w:rPr>
          <w:t xml:space="preserve">[5]</w:t>
        </w:r>
      </w:hyperlink>
      <w:bookmarkStart w:id="5" w:name="fnref6"/>
      <w:bookmarkEnd w:id="5"/>
      <w:hyperlink w:anchor="fn6">
        <w:r>
          <w:rPr>
            <w:rFonts w:eastAsia="inter" w:cs="inter" w:ascii="inter" w:hAnsi="inter"/>
            <w:color w:val="#000"/>
            <w:u w:val="single"/>
            <w:vertAlign w:val="superscript"/>
          </w:rPr>
          <w:t xml:space="preserve">[6]</w:t>
        </w:r>
      </w:hyperlink>
      <w:bookmarkStart w:id="6" w:name="fnref7"/>
      <w:bookmarkEnd w:id="6"/>
      <w:hyperlink w:anchor="fn7">
        <w:r>
          <w:rPr>
            <w:rFonts w:eastAsia="inter" w:cs="inter" w:ascii="inter" w:hAnsi="inter"/>
            <w:color w:val="#000"/>
            <w:u w:val="single"/>
            <w:vertAlign w:val="superscript"/>
          </w:rPr>
          <w:t xml:space="preserve">[7]</w:t>
        </w:r>
      </w:hyperlink>
    </w:p>
    <w:p>
      <w:pPr>
        <w:spacing w:line="360" w:before="315" w:after="105" w:lineRule="auto"/>
        <w:ind w:left="-30"/>
        <w:jc w:val="left"/>
      </w:pPr>
      <w:r>
        <w:rPr>
          <w:rFonts w:eastAsia="inter" w:cs="inter" w:ascii="inter" w:hAnsi="inter"/>
          <w:b/>
          <w:color w:val="000000"/>
          <w:sz w:val="24"/>
        </w:rPr>
        <w:t xml:space="preserve">Enfabrica’s Breakthrough: A Unified AI Memory Fabric</w:t>
      </w:r>
    </w:p>
    <w:p>
      <w:pPr>
        <w:spacing w:line="360" w:after="210" w:lineRule="auto"/>
      </w:pPr>
      <w:r>
        <w:rPr>
          <w:rFonts w:eastAsia="inter" w:cs="inter" w:ascii="inter" w:hAnsi="inter"/>
          <w:color w:val="000000"/>
        </w:rPr>
        <w:t xml:space="preserve">Enfabrica’s Accelerated Compute Fabric SuperNIC (ACF-S) is a high-bandwidth, low-latency networking chip designed to make memory truly elastic and disaggregated—across servers, racks, and the cloud. It enables GPUs to extend their high-speed memory pool by accessing commodity DRAM throughout the data center, making it possible to “scale out” memory in the same way that NVLink “scales up” within a server. For less latency-sensitive model operations, data can now reside in cheaper DRAM outside the GPU, liberating expensive HBM for only the most performance-critical AI tasks.</w:t>
      </w:r>
      <w:bookmarkStart w:id="7" w:name="fnref5:1"/>
      <w:bookmarkEnd w:id="7"/>
      <w:hyperlink w:anchor="fn5">
        <w:r>
          <w:rPr>
            <w:rFonts w:eastAsia="inter" w:cs="inter" w:ascii="inter" w:hAnsi="inter"/>
            <w:color w:val="#000"/>
            <w:u w:val="single"/>
            <w:vertAlign w:val="superscript"/>
          </w:rPr>
          <w:t xml:space="preserve">[5]</w:t>
        </w:r>
      </w:hyperlink>
      <w:bookmarkStart w:id="8" w:name="fnref8"/>
      <w:bookmarkEnd w:id="8"/>
      <w:hyperlink w:anchor="fn8">
        <w:r>
          <w:rPr>
            <w:rFonts w:eastAsia="inter" w:cs="inter" w:ascii="inter" w:hAnsi="inter"/>
            <w:color w:val="#000"/>
            <w:u w:val="single"/>
            <w:vertAlign w:val="superscript"/>
          </w:rPr>
          <w:t xml:space="preserve">[8]</w:t>
        </w:r>
      </w:hyperlink>
      <w:bookmarkStart w:id="9" w:name="fnref6:1"/>
      <w:bookmarkEnd w:id="9"/>
      <w:hyperlink w:anchor="fn6">
        <w:r>
          <w:rPr>
            <w:rFonts w:eastAsia="inter" w:cs="inter" w:ascii="inter" w:hAnsi="inter"/>
            <w:color w:val="#000"/>
            <w:u w:val="single"/>
            <w:vertAlign w:val="superscript"/>
          </w:rPr>
          <w:t xml:space="preserve">[6]</w:t>
        </w:r>
      </w:hyperlink>
      <w:bookmarkStart w:id="10" w:name="fnref9"/>
      <w:bookmarkEnd w:id="10"/>
      <w:hyperlink w:anchor="fn9">
        <w:r>
          <w:rPr>
            <w:rFonts w:eastAsia="inter" w:cs="inter" w:ascii="inter" w:hAnsi="inter"/>
            <w:color w:val="#000"/>
            <w:u w:val="single"/>
            <w:vertAlign w:val="superscript"/>
          </w:rPr>
          <w:t xml:space="preserve">[9]</w:t>
        </w:r>
      </w:hyperlink>
      <w:bookmarkStart w:id="11" w:name="fnref10"/>
      <w:bookmarkEnd w:id="11"/>
      <w:hyperlink w:anchor="fn10">
        <w:r>
          <w:rPr>
            <w:rFonts w:eastAsia="inter" w:cs="inter" w:ascii="inter" w:hAnsi="inter"/>
            <w:color w:val="#000"/>
            <w:u w:val="single"/>
            <w:vertAlign w:val="superscript"/>
          </w:rPr>
          <w:t xml:space="preserve">[10]</w:t>
        </w:r>
      </w:hyperlink>
    </w:p>
    <w:p>
      <w:pPr>
        <w:spacing w:line="360" w:before="315" w:after="105" w:lineRule="auto"/>
        <w:ind w:left="-30"/>
        <w:jc w:val="left"/>
      </w:pPr>
      <w:r>
        <w:rPr>
          <w:rFonts w:eastAsia="inter" w:cs="inter" w:ascii="inter" w:hAnsi="inter"/>
          <w:b/>
          <w:color w:val="000000"/>
          <w:sz w:val="24"/>
        </w:rPr>
        <w:t xml:space="preserve">The Result: Lower Costs, Larger Models</w:t>
      </w:r>
    </w:p>
    <w:p>
      <w:pPr>
        <w:spacing w:line="360" w:after="210" w:lineRule="auto"/>
      </w:pPr>
      <w:r>
        <w:rPr>
          <w:rFonts w:eastAsia="inter" w:cs="inter" w:ascii="inter" w:hAnsi="inter"/>
          <w:color w:val="000000"/>
        </w:rPr>
        <w:t xml:space="preserve">By unlocking massive pools of DRAM and reducing the need for additional HBMs and GPUs, Enfabrica’s architecture can cut the inference cost per token by as much as 50% for large LLMs, a game-changer for hyperscalers and AI service providers. Enfabrica’s ACF-S achieves multi-terabit bandwidth, dwarfing existing interconnects, and leverages CXL memory controllers to stitch vast DRAM resources into high-performance AI clusters.</w:t>
      </w:r>
      <w:bookmarkStart w:id="12" w:name="fnref6:2"/>
      <w:bookmarkEnd w:id="12"/>
      <w:hyperlink w:anchor="fn6">
        <w:r>
          <w:rPr>
            <w:rFonts w:eastAsia="inter" w:cs="inter" w:ascii="inter" w:hAnsi="inter"/>
            <w:color w:val="#000"/>
            <w:u w:val="single"/>
            <w:vertAlign w:val="superscript"/>
          </w:rPr>
          <w:t xml:space="preserve">[6]</w:t>
        </w:r>
      </w:hyperlink>
      <w:bookmarkStart w:id="13" w:name="fnref9:1"/>
      <w:bookmarkEnd w:id="13"/>
      <w:hyperlink w:anchor="fn9">
        <w:r>
          <w:rPr>
            <w:rFonts w:eastAsia="inter" w:cs="inter" w:ascii="inter" w:hAnsi="inter"/>
            <w:color w:val="#000"/>
            <w:u w:val="single"/>
            <w:vertAlign w:val="superscript"/>
          </w:rPr>
          <w:t xml:space="preserve">[9]</w:t>
        </w:r>
      </w:hyperlink>
      <w:bookmarkStart w:id="14" w:name="fnref10:1"/>
      <w:bookmarkEnd w:id="14"/>
      <w:hyperlink w:anchor="fn10">
        <w:r>
          <w:rPr>
            <w:rFonts w:eastAsia="inter" w:cs="inter" w:ascii="inter" w:hAnsi="inter"/>
            <w:color w:val="#000"/>
            <w:u w:val="single"/>
            <w:vertAlign w:val="superscript"/>
          </w:rPr>
          <w:t xml:space="preserve">[10]</w:t>
        </w:r>
      </w:hyperlink>
      <w:bookmarkStart w:id="15" w:name="fnref11"/>
      <w:bookmarkEnd w:id="15"/>
      <w:hyperlink w:anchor="fn11">
        <w:r>
          <w:rPr>
            <w:rFonts w:eastAsia="inter" w:cs="inter" w:ascii="inter" w:hAnsi="inter"/>
            <w:color w:val="#000"/>
            <w:u w:val="single"/>
            <w:vertAlign w:val="superscript"/>
          </w:rPr>
          <w:t xml:space="preserve">[11]</w:t>
        </w:r>
      </w:hyperlink>
      <w:bookmarkStart w:id="16" w:name="fnref5:2"/>
      <w:bookmarkEnd w:id="16"/>
      <w:hyperlink w:anchor="fn5">
        <w:r>
          <w:rPr>
            <w:rFonts w:eastAsia="inter" w:cs="inter" w:ascii="inter" w:hAnsi="inter"/>
            <w:color w:val="#000"/>
            <w:u w:val="single"/>
            <w:vertAlign w:val="superscript"/>
          </w:rPr>
          <w:t xml:space="preserve">[5]</w:t>
        </w:r>
      </w:hyperlink>
    </w:p>
    <w:p>
      <w:pPr>
        <w:spacing w:line="360" w:before="315" w:after="105" w:lineRule="auto"/>
        <w:ind w:left="-30"/>
        <w:jc w:val="left"/>
      </w:pPr>
      <w:r>
        <w:rPr>
          <w:rFonts w:eastAsia="inter" w:cs="inter" w:ascii="inter" w:hAnsi="inter"/>
          <w:b/>
          <w:color w:val="000000"/>
          <w:sz w:val="24"/>
        </w:rPr>
        <w:t xml:space="preserve">Strategic Impact: Owning the AI Datacenter Stack</w:t>
      </w:r>
    </w:p>
    <w:p>
      <w:pPr>
        <w:spacing w:line="360" w:after="210" w:lineRule="auto"/>
      </w:pPr>
      <w:r>
        <w:rPr>
          <w:rFonts w:eastAsia="inter" w:cs="inter" w:ascii="inter" w:hAnsi="inter"/>
          <w:color w:val="000000"/>
        </w:rPr>
        <w:t xml:space="preserve">NVIDIA structured the $900M+ deal as an acquihire, bringing in Enfabrica’s top talent—including CEO Rochan Sankar—and licensing their proprietary technology instead of a traditional acquisition, sidestepping long regulatory reviews. This mirrors high-stakes acquihires by Meta and Google in their quest for AI infrastructure leadership. By combining its leading GPUs with Enfabrica’s memory fabric, NVIDIA can now offer end-to-end, unified solutions for massive-scale AI data centers—controlling not just the “brains” of AI but the critical nervous system of memory and interconnect. The CPU is delegated to orchestration, while heavy lifting and memory traffic are handled directly by GPUs and the connected fabric.</w:t>
      </w:r>
      <w:bookmarkStart w:id="17" w:name="fnref12"/>
      <w:bookmarkEnd w:id="17"/>
      <w:hyperlink w:anchor="fn12">
        <w:r>
          <w:rPr>
            <w:rFonts w:eastAsia="inter" w:cs="inter" w:ascii="inter" w:hAnsi="inter"/>
            <w:color w:val="#000"/>
            <w:u w:val="single"/>
            <w:vertAlign w:val="superscript"/>
          </w:rPr>
          <w:t xml:space="preserve">[12]</w:t>
        </w:r>
      </w:hyperlink>
      <w:bookmarkStart w:id="18" w:name="fnref13"/>
      <w:bookmarkEnd w:id="18"/>
      <w:hyperlink w:anchor="fn13">
        <w:r>
          <w:rPr>
            <w:rFonts w:eastAsia="inter" w:cs="inter" w:ascii="inter" w:hAnsi="inter"/>
            <w:color w:val="#000"/>
            <w:u w:val="single"/>
            <w:vertAlign w:val="superscript"/>
          </w:rPr>
          <w:t xml:space="preserve">[13]</w:t>
        </w:r>
      </w:hyperlink>
      <w:bookmarkStart w:id="19" w:name="fnref14"/>
      <w:bookmarkEnd w:id="19"/>
      <w:hyperlink w:anchor="fn14">
        <w:r>
          <w:rPr>
            <w:rFonts w:eastAsia="inter" w:cs="inter" w:ascii="inter" w:hAnsi="inter"/>
            <w:color w:val="#000"/>
            <w:u w:val="single"/>
            <w:vertAlign w:val="superscript"/>
          </w:rPr>
          <w:t xml:space="preserve">[14]</w:t>
        </w:r>
      </w:hyperlink>
      <w:bookmarkStart w:id="20" w:name="fnref2:1"/>
      <w:bookmarkEnd w:id="20"/>
      <w:hyperlink w:anchor="fn2">
        <w:r>
          <w:rPr>
            <w:rFonts w:eastAsia="inter" w:cs="inter" w:ascii="inter" w:hAnsi="inter"/>
            <w:color w:val="#000"/>
            <w:u w:val="single"/>
            <w:vertAlign w:val="superscript"/>
          </w:rPr>
          <w:t xml:space="preserve">[2]</w:t>
        </w:r>
      </w:hyperlink>
      <w:bookmarkStart w:id="21" w:name="fnref3:1"/>
      <w:bookmarkEnd w:id="21"/>
      <w:hyperlink w:anchor="fn3">
        <w:r>
          <w:rPr>
            <w:rFonts w:eastAsia="inter" w:cs="inter" w:ascii="inter" w:hAnsi="inter"/>
            <w:color w:val="#000"/>
            <w:u w:val="single"/>
            <w:vertAlign w:val="superscript"/>
          </w:rPr>
          <w:t xml:space="preserve">[3]</w:t>
        </w:r>
      </w:hyperlink>
      <w:bookmarkStart w:id="22" w:name="fnref9:2"/>
      <w:bookmarkEnd w:id="22"/>
      <w:hyperlink w:anchor="fn9">
        <w:r>
          <w:rPr>
            <w:rFonts w:eastAsia="inter" w:cs="inter" w:ascii="inter" w:hAnsi="inter"/>
            <w:color w:val="#000"/>
            <w:u w:val="single"/>
            <w:vertAlign w:val="superscript"/>
          </w:rPr>
          <w:t xml:space="preserve">[9]</w:t>
        </w:r>
      </w:hyperlink>
      <w:bookmarkStart w:id="23" w:name="fnref1:1"/>
      <w:bookmarkEnd w:id="23"/>
      <w:hyperlink w:anchor="fn1">
        <w:r>
          <w:rPr>
            <w:rFonts w:eastAsia="inter" w:cs="inter" w:ascii="inter" w:hAnsi="inter"/>
            <w:color w:val="#000"/>
            <w:u w:val="single"/>
            <w:vertAlign w:val="superscript"/>
          </w:rPr>
          <w:t xml:space="preserve">[1]</w:t>
        </w:r>
      </w:hyperlink>
      <w:bookmarkStart w:id="24" w:name="fnref4:1"/>
      <w:bookmarkEnd w:id="24"/>
      <w:hyperlink w:anchor="fn4">
        <w:r>
          <w:rPr>
            <w:rFonts w:eastAsia="inter" w:cs="inter" w:ascii="inter" w:hAnsi="inter"/>
            <w:color w:val="#000"/>
            <w:u w:val="single"/>
            <w:vertAlign w:val="superscript"/>
          </w:rPr>
          <w:t xml:space="preserve">[4]</w:t>
        </w:r>
      </w:hyperlink>
    </w:p>
    <w:p>
      <w:pPr>
        <w:spacing w:line="360" w:before="315" w:after="105" w:lineRule="auto"/>
        <w:ind w:left="-30"/>
        <w:jc w:val="left"/>
      </w:pPr>
      <w:r>
        <w:rPr>
          <w:rFonts w:eastAsia="inter" w:cs="inter" w:ascii="inter" w:hAnsi="inter"/>
          <w:b/>
          <w:color w:val="000000"/>
          <w:sz w:val="24"/>
        </w:rPr>
        <w:t xml:space="preserve">References</w:t>
      </w:r>
    </w:p>
    <w:p>
      <w:pPr>
        <w:numPr>
          <w:ilvl w:val="0"/>
          <w:numId w:val="2"/>
        </w:numPr>
        <w:spacing w:line="360" w:before="105" w:after="105" w:lineRule="auto"/>
      </w:pPr>
      <w:r>
        <w:rPr>
          <w:rFonts w:eastAsia="inter" w:cs="inter" w:ascii="inter" w:hAnsi="inter"/>
          <w:color w:val="000000"/>
          <w:sz w:val="21"/>
        </w:rPr>
        <w:t xml:space="preserve">For deal structure, amount, and strategic rationale:</w:t>
      </w:r>
      <w:bookmarkStart w:id="25" w:name="fnref14:1"/>
      <w:bookmarkEnd w:id="25"/>
      <w:hyperlink w:anchor="fn14">
        <w:r>
          <w:rPr>
            <w:rFonts w:eastAsia="inter" w:cs="inter" w:ascii="inter" w:hAnsi="inter"/>
            <w:color w:val="#000"/>
            <w:sz w:val="21"/>
            <w:u w:val="single"/>
            <w:vertAlign w:val="superscript"/>
          </w:rPr>
          <w:t xml:space="preserve">[14]</w:t>
        </w:r>
      </w:hyperlink>
      <w:bookmarkStart w:id="26" w:name="fnref2:2"/>
      <w:bookmarkEnd w:id="26"/>
      <w:hyperlink w:anchor="fn2">
        <w:r>
          <w:rPr>
            <w:rFonts w:eastAsia="inter" w:cs="inter" w:ascii="inter" w:hAnsi="inter"/>
            <w:color w:val="#000"/>
            <w:sz w:val="21"/>
            <w:u w:val="single"/>
            <w:vertAlign w:val="superscript"/>
          </w:rPr>
          <w:t xml:space="preserve">[2]</w:t>
        </w:r>
      </w:hyperlink>
      <w:bookmarkStart w:id="27" w:name="fnref3:2"/>
      <w:bookmarkEnd w:id="27"/>
      <w:hyperlink w:anchor="fn3">
        <w:r>
          <w:rPr>
            <w:rFonts w:eastAsia="inter" w:cs="inter" w:ascii="inter" w:hAnsi="inter"/>
            <w:color w:val="#000"/>
            <w:sz w:val="21"/>
            <w:u w:val="single"/>
            <w:vertAlign w:val="superscript"/>
          </w:rPr>
          <w:t xml:space="preserve">[3]</w:t>
        </w:r>
      </w:hyperlink>
      <w:bookmarkStart w:id="28" w:name="fnref12:1"/>
      <w:bookmarkEnd w:id="28"/>
      <w:hyperlink w:anchor="fn12">
        <w:r>
          <w:rPr>
            <w:rFonts w:eastAsia="inter" w:cs="inter" w:ascii="inter" w:hAnsi="inter"/>
            <w:color w:val="#000"/>
            <w:sz w:val="21"/>
            <w:u w:val="single"/>
            <w:vertAlign w:val="superscript"/>
          </w:rPr>
          <w:t xml:space="preserve">[12]</w:t>
        </w:r>
      </w:hyperlink>
      <w:bookmarkStart w:id="29" w:name="fnref1:2"/>
      <w:bookmarkEnd w:id="29"/>
      <w:hyperlink w:anchor="fn1">
        <w:r>
          <w:rPr>
            <w:rFonts w:eastAsia="inter" w:cs="inter" w:ascii="inter" w:hAnsi="inter"/>
            <w:color w:val="#000"/>
            <w:sz w:val="21"/>
            <w:u w:val="single"/>
            <w:vertAlign w:val="superscript"/>
          </w:rPr>
          <w:t xml:space="preserve">[1]</w:t>
        </w:r>
      </w:hyperlink>
    </w:p>
    <w:p>
      <w:pPr>
        <w:numPr>
          <w:ilvl w:val="0"/>
          <w:numId w:val="2"/>
        </w:numPr>
        <w:spacing w:line="360" w:before="105" w:after="105" w:lineRule="auto"/>
      </w:pPr>
      <w:r>
        <w:rPr>
          <w:rFonts w:eastAsia="inter" w:cs="inter" w:ascii="inter" w:hAnsi="inter"/>
          <w:color w:val="000000"/>
          <w:sz w:val="21"/>
        </w:rPr>
        <w:t xml:space="preserve">For technical overview of the ACF-S, bandwidth claims, and DRAM/HBM partitioning:</w:t>
      </w:r>
      <w:bookmarkStart w:id="30" w:name="fnref15"/>
      <w:bookmarkEnd w:id="30"/>
      <w:hyperlink w:anchor="fn15">
        <w:r>
          <w:rPr>
            <w:rFonts w:eastAsia="inter" w:cs="inter" w:ascii="inter" w:hAnsi="inter"/>
            <w:color w:val="#000"/>
            <w:sz w:val="21"/>
            <w:u w:val="single"/>
            <w:vertAlign w:val="superscript"/>
          </w:rPr>
          <w:t xml:space="preserve">[15]</w:t>
        </w:r>
      </w:hyperlink>
      <w:bookmarkStart w:id="31" w:name="fnref8:1"/>
      <w:bookmarkEnd w:id="31"/>
      <w:hyperlink w:anchor="fn8">
        <w:r>
          <w:rPr>
            <w:rFonts w:eastAsia="inter" w:cs="inter" w:ascii="inter" w:hAnsi="inter"/>
            <w:color w:val="#000"/>
            <w:sz w:val="21"/>
            <w:u w:val="single"/>
            <w:vertAlign w:val="superscript"/>
          </w:rPr>
          <w:t xml:space="preserve">[8]</w:t>
        </w:r>
      </w:hyperlink>
      <w:bookmarkStart w:id="32" w:name="fnref9:3"/>
      <w:bookmarkEnd w:id="32"/>
      <w:hyperlink w:anchor="fn9">
        <w:r>
          <w:rPr>
            <w:rFonts w:eastAsia="inter" w:cs="inter" w:ascii="inter" w:hAnsi="inter"/>
            <w:color w:val="#000"/>
            <w:sz w:val="21"/>
            <w:u w:val="single"/>
            <w:vertAlign w:val="superscript"/>
          </w:rPr>
          <w:t xml:space="preserve">[9]</w:t>
        </w:r>
      </w:hyperlink>
      <w:bookmarkStart w:id="33" w:name="fnref10:2"/>
      <w:bookmarkEnd w:id="33"/>
      <w:hyperlink w:anchor="fn10">
        <w:r>
          <w:rPr>
            <w:rFonts w:eastAsia="inter" w:cs="inter" w:ascii="inter" w:hAnsi="inter"/>
            <w:color w:val="#000"/>
            <w:sz w:val="21"/>
            <w:u w:val="single"/>
            <w:vertAlign w:val="superscript"/>
          </w:rPr>
          <w:t xml:space="preserve">[10]</w:t>
        </w:r>
      </w:hyperlink>
    </w:p>
    <w:p>
      <w:pPr>
        <w:numPr>
          <w:ilvl w:val="0"/>
          <w:numId w:val="2"/>
        </w:numPr>
        <w:spacing w:line="360" w:before="105" w:after="105" w:lineRule="auto"/>
      </w:pPr>
      <w:r>
        <w:rPr>
          <w:rFonts w:eastAsia="inter" w:cs="inter" w:ascii="inter" w:hAnsi="inter"/>
          <w:color w:val="000000"/>
          <w:sz w:val="21"/>
        </w:rPr>
        <w:t xml:space="preserve">For cost savings and impact on inference at scale:</w:t>
      </w:r>
      <w:bookmarkStart w:id="34" w:name="fnref11:1"/>
      <w:bookmarkEnd w:id="34"/>
      <w:hyperlink w:anchor="fn11">
        <w:r>
          <w:rPr>
            <w:rFonts w:eastAsia="inter" w:cs="inter" w:ascii="inter" w:hAnsi="inter"/>
            <w:color w:val="#000"/>
            <w:sz w:val="21"/>
            <w:u w:val="single"/>
            <w:vertAlign w:val="superscript"/>
          </w:rPr>
          <w:t xml:space="preserve">[11]</w:t>
        </w:r>
      </w:hyperlink>
      <w:bookmarkStart w:id="35" w:name="fnref5:3"/>
      <w:bookmarkEnd w:id="35"/>
      <w:hyperlink w:anchor="fn5">
        <w:r>
          <w:rPr>
            <w:rFonts w:eastAsia="inter" w:cs="inter" w:ascii="inter" w:hAnsi="inter"/>
            <w:color w:val="#000"/>
            <w:sz w:val="21"/>
            <w:u w:val="single"/>
            <w:vertAlign w:val="superscript"/>
          </w:rPr>
          <w:t xml:space="preserve">[5]</w:t>
        </w:r>
      </w:hyperlink>
      <w:bookmarkStart w:id="36" w:name="fnref6:3"/>
      <w:bookmarkEnd w:id="36"/>
      <w:hyperlink w:anchor="fn6">
        <w:r>
          <w:rPr>
            <w:rFonts w:eastAsia="inter" w:cs="inter" w:ascii="inter" w:hAnsi="inter"/>
            <w:color w:val="#000"/>
            <w:sz w:val="21"/>
            <w:u w:val="single"/>
            <w:vertAlign w:val="superscript"/>
          </w:rPr>
          <w:t xml:space="preserve">[6]</w:t>
        </w:r>
      </w:hyperlink>
    </w:p>
    <w:p>
      <w:pPr>
        <w:numPr>
          <w:ilvl w:val="0"/>
          <w:numId w:val="2"/>
        </w:numPr>
        <w:spacing w:line="360" w:before="105" w:after="105" w:lineRule="auto"/>
      </w:pPr>
      <w:r>
        <w:rPr>
          <w:rFonts w:eastAsia="inter" w:cs="inter" w:ascii="inter" w:hAnsi="inter"/>
          <w:color w:val="000000"/>
          <w:sz w:val="21"/>
        </w:rPr>
        <w:t xml:space="preserve">For CEO Rochan Sankar’s leadership and added NVIDIA talent:</w:t>
      </w:r>
      <w:bookmarkStart w:id="37" w:name="fnref13:1"/>
      <w:bookmarkEnd w:id="37"/>
      <w:hyperlink w:anchor="fn13">
        <w:r>
          <w:rPr>
            <w:rFonts w:eastAsia="inter" w:cs="inter" w:ascii="inter" w:hAnsi="inter"/>
            <w:color w:val="#000"/>
            <w:sz w:val="21"/>
            <w:u w:val="single"/>
            <w:vertAlign w:val="superscript"/>
          </w:rPr>
          <w:t xml:space="preserve">[13]</w:t>
        </w:r>
      </w:hyperlink>
      <w:bookmarkStart w:id="38" w:name="fnref12:2"/>
      <w:bookmarkEnd w:id="38"/>
      <w:hyperlink w:anchor="fn12">
        <w:r>
          <w:rPr>
            <w:rFonts w:eastAsia="inter" w:cs="inter" w:ascii="inter" w:hAnsi="inter"/>
            <w:color w:val="#000"/>
            <w:sz w:val="21"/>
            <w:u w:val="single"/>
            <w:vertAlign w:val="superscript"/>
          </w:rPr>
          <w:t xml:space="preserve">[12]</w:t>
        </w:r>
      </w:hyperlink>
      <w:bookmarkStart w:id="39" w:name="fnref1:3"/>
      <w:bookmarkEnd w:id="39"/>
      <w:hyperlink w:anchor="fn1">
        <w:r>
          <w:rPr>
            <w:rFonts w:eastAsia="inter" w:cs="inter" w:ascii="inter" w:hAnsi="inter"/>
            <w:color w:val="#000"/>
            <w:sz w:val="21"/>
            <w:u w:val="single"/>
            <w:vertAlign w:val="superscript"/>
          </w:rPr>
          <w:t xml:space="preserve">[1]</w:t>
        </w:r>
      </w:hyperlink>
      <w:bookmarkStart w:id="40" w:name="fnref14:2"/>
      <w:bookmarkEnd w:id="40"/>
      <w:hyperlink w:anchor="fn14">
        <w:r>
          <w:rPr>
            <w:rFonts w:eastAsia="inter" w:cs="inter" w:ascii="inter" w:hAnsi="inter"/>
            <w:color w:val="#000"/>
            <w:sz w:val="21"/>
            <w:u w:val="single"/>
            <w:vertAlign w:val="superscript"/>
          </w:rPr>
          <w:t xml:space="preserve">[14]</w:t>
        </w:r>
      </w:hyperlink>
    </w:p>
    <w:p>
      <w:pPr>
        <w:numPr>
          <w:ilvl w:val="0"/>
          <w:numId w:val="2"/>
        </w:numPr>
        <w:spacing w:line="360" w:before="105" w:after="105" w:lineRule="auto"/>
      </w:pPr>
      <w:r>
        <w:rPr>
          <w:rFonts w:eastAsia="inter" w:cs="inter" w:ascii="inter" w:hAnsi="inter"/>
          <w:color w:val="000000"/>
          <w:sz w:val="21"/>
        </w:rPr>
        <w:t xml:space="preserve">For market trend context and competitive dynamics:</w:t>
      </w:r>
      <w:bookmarkStart w:id="41" w:name="fnref2:3"/>
      <w:bookmarkEnd w:id="41"/>
      <w:hyperlink w:anchor="fn2">
        <w:r>
          <w:rPr>
            <w:rFonts w:eastAsia="inter" w:cs="inter" w:ascii="inter" w:hAnsi="inter"/>
            <w:color w:val="#000"/>
            <w:sz w:val="21"/>
            <w:u w:val="single"/>
            <w:vertAlign w:val="superscript"/>
          </w:rPr>
          <w:t xml:space="preserve">[2]</w:t>
        </w:r>
      </w:hyperlink>
      <w:bookmarkStart w:id="42" w:name="fnref3:3"/>
      <w:bookmarkEnd w:id="42"/>
      <w:hyperlink w:anchor="fn3">
        <w:r>
          <w:rPr>
            <w:rFonts w:eastAsia="inter" w:cs="inter" w:ascii="inter" w:hAnsi="inter"/>
            <w:color w:val="#000"/>
            <w:sz w:val="21"/>
            <w:u w:val="single"/>
            <w:vertAlign w:val="superscript"/>
          </w:rPr>
          <w:t xml:space="preserve">[3]</w:t>
        </w:r>
      </w:hyperlink>
    </w:p>
    <w:p>
      <w:pPr>
        <w:spacing w:line="360" w:after="210" w:lineRule="auto"/>
      </w:pPr>
      <w:r>
        <w:rPr>
          <w:rFonts w:eastAsia="inter" w:cs="inter" w:ascii="inter" w:hAnsi="inter"/>
          <w:color w:val="000000"/>
        </w:rPr>
        <w:t xml:space="preserve">This marks a pivotal step in NVIDIA’s ambition to become the foundational layer of AI infrastructure, positioning it as the “operating system” for next-generation data centers.</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43" w:name="fn1"/>
    <w:bookmarkEnd w:id="43"/>
    <w:p>
      <w:pPr>
        <w:numPr>
          <w:ilvl w:val="0"/>
          <w:numId w:val="4"/>
        </w:numPr>
        <w:spacing w:line="360" w:after="210" w:lineRule="auto"/>
      </w:pPr>
      <w:hyperlink r:id="rId6">
        <w:r>
          <w:rPr>
            <w:rFonts w:eastAsia="inter" w:cs="inter" w:ascii="inter" w:hAnsi="inter"/>
            <w:color w:val="#000"/>
            <w:sz w:val="18"/>
            <w:u w:val="single"/>
          </w:rPr>
          <w:t xml:space="preserve">https://dataconomy.com/2025/09/19/nvidia-spends-over-900-million-to-hire-enfabrica-ceo-and-license-ai-hardware-technology/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4" w:name="fn2"/>
    <w:bookmarkEnd w:id="44"/>
    <w:p>
      <w:pPr>
        <w:numPr>
          <w:ilvl w:val="0"/>
          <w:numId w:val="4"/>
        </w:numPr>
        <w:spacing w:line="360" w:after="210" w:lineRule="auto"/>
      </w:pPr>
      <w:hyperlink r:id="rId7">
        <w:r>
          <w:rPr>
            <w:rFonts w:eastAsia="inter" w:cs="inter" w:ascii="inter" w:hAnsi="inter"/>
            <w:color w:val="#000"/>
            <w:sz w:val="18"/>
            <w:u w:val="single"/>
          </w:rPr>
          <w:t xml:space="preserve">https://techstrong.ai/features/nvidia-just-made-a-900-million-acquihire-of-this-silicon-valley-startup/</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5" w:name="fn3"/>
    <w:bookmarkEnd w:id="45"/>
    <w:p>
      <w:pPr>
        <w:numPr>
          <w:ilvl w:val="0"/>
          <w:numId w:val="4"/>
        </w:numPr>
        <w:spacing w:line="360" w:after="210" w:lineRule="auto"/>
      </w:pPr>
      <w:hyperlink r:id="rId8">
        <w:r>
          <w:rPr>
            <w:rFonts w:eastAsia="inter" w:cs="inter" w:ascii="inter" w:hAnsi="inter"/>
            <w:color w:val="#000"/>
            <w:sz w:val="18"/>
            <w:u w:val="single"/>
          </w:rPr>
          <w:t xml:space="preserve">https://www.ainvest.com/news/nvidia-acquires-enfabrica-ai-talent-technology-900m-2509/</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6" w:name="fn4"/>
    <w:bookmarkEnd w:id="46"/>
    <w:p>
      <w:pPr>
        <w:numPr>
          <w:ilvl w:val="0"/>
          <w:numId w:val="4"/>
        </w:numPr>
        <w:spacing w:line="360" w:after="210" w:lineRule="auto"/>
      </w:pPr>
      <w:hyperlink r:id="rId9">
        <w:r>
          <w:rPr>
            <w:rFonts w:eastAsia="inter" w:cs="inter" w:ascii="inter" w:hAnsi="inter"/>
            <w:color w:val="#000"/>
            <w:sz w:val="18"/>
            <w:u w:val="single"/>
          </w:rPr>
          <w:t xml:space="preserve">https://www.youtube.com/watch?v=8ctme9rFf0I</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7" w:name="fn5"/>
    <w:bookmarkEnd w:id="47"/>
    <w:p>
      <w:pPr>
        <w:numPr>
          <w:ilvl w:val="0"/>
          <w:numId w:val="4"/>
        </w:numPr>
        <w:spacing w:line="360" w:after="210" w:lineRule="auto"/>
      </w:pPr>
      <w:hyperlink r:id="rId10">
        <w:r>
          <w:rPr>
            <w:rFonts w:eastAsia="inter" w:cs="inter" w:ascii="inter" w:hAnsi="inter"/>
            <w:color w:val="#000"/>
            <w:sz w:val="18"/>
            <w:u w:val="single"/>
          </w:rPr>
          <w:t xml:space="preserve">https://www.allaboutcircuits.com/news/first-ethernet-based-ai-memory-fabric-system-to-increase-llm-efficiency/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8" w:name="fn6"/>
    <w:bookmarkEnd w:id="48"/>
    <w:p>
      <w:pPr>
        <w:numPr>
          <w:ilvl w:val="0"/>
          <w:numId w:val="4"/>
        </w:numPr>
        <w:spacing w:line="360" w:after="210" w:lineRule="auto"/>
      </w:pPr>
      <w:hyperlink r:id="rId11">
        <w:r>
          <w:rPr>
            <w:rFonts w:eastAsia="inter" w:cs="inter" w:ascii="inter" w:hAnsi="inter"/>
            <w:color w:val="#000"/>
            <w:sz w:val="18"/>
            <w:u w:val="single"/>
          </w:rPr>
          <w:t xml:space="preserve">https://www.linkedin.com/posts/timothy-prickett-morgan-06646025_skimpy-hbm-memory-opens-up-the-way-for-ai-activity-7356038735647391746-CdlQ</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9" w:name="fn7"/>
    <w:bookmarkEnd w:id="49"/>
    <w:p>
      <w:pPr>
        <w:numPr>
          <w:ilvl w:val="0"/>
          <w:numId w:val="4"/>
        </w:numPr>
        <w:spacing w:line="360" w:after="210" w:lineRule="auto"/>
      </w:pPr>
      <w:hyperlink r:id="rId12">
        <w:r>
          <w:rPr>
            <w:rFonts w:eastAsia="inter" w:cs="inter" w:ascii="inter" w:hAnsi="inter"/>
            <w:color w:val="#000"/>
            <w:sz w:val="18"/>
            <w:u w:val="single"/>
          </w:rPr>
          <w:t xml:space="preserve">https://developer.nvidia.com/blog/cut-model-deployment-costs-while-keeping-performance-with-gpu-memory-swap/</w:t>
        </w:r>
      </w:hyperlink>
      <w:r>
        <w:rPr>
          <w:rFonts w:eastAsia="inter" w:cs="inter" w:ascii="inter" w:hAnsi="inter"/>
          <w:color w:val="000000"/>
          <w:sz w:val="18"/>
        </w:rPr>
        <w:t xml:space="preserve"> </w:t>
      </w:r>
    </w:p>
    <w:bookmarkStart w:id="50" w:name="fn8"/>
    <w:bookmarkEnd w:id="50"/>
    <w:p>
      <w:pPr>
        <w:numPr>
          <w:ilvl w:val="0"/>
          <w:numId w:val="4"/>
        </w:numPr>
        <w:spacing w:line="360" w:after="210" w:lineRule="auto"/>
      </w:pPr>
      <w:hyperlink r:id="rId13">
        <w:r>
          <w:rPr>
            <w:rFonts w:eastAsia="inter" w:cs="inter" w:ascii="inter" w:hAnsi="inter"/>
            <w:color w:val="#000"/>
            <w:sz w:val="18"/>
            <w:u w:val="single"/>
          </w:rPr>
          <w:t xml:space="preserve">https://techfieldday.com/2024/enfabrica-supernic-for-massive-clusters-at-ai-field-day/</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1" w:name="fn9"/>
    <w:bookmarkEnd w:id="51"/>
    <w:p>
      <w:pPr>
        <w:numPr>
          <w:ilvl w:val="0"/>
          <w:numId w:val="4"/>
        </w:numPr>
        <w:spacing w:line="360" w:after="210" w:lineRule="auto"/>
      </w:pPr>
      <w:hyperlink r:id="rId14">
        <w:r>
          <w:rPr>
            <w:rFonts w:eastAsia="inter" w:cs="inter" w:ascii="inter" w:hAnsi="inter"/>
            <w:color w:val="#000"/>
            <w:sz w:val="18"/>
            <w:u w:val="single"/>
          </w:rPr>
          <w:t xml:space="preserve">https://www.businesswire.com/news/home/20250729711298/en/Enfabrica-Unveils-Industrys-First-Ethernet-Based-AI-Memory-Fabric-System-for-Efficient-Superscaling-of-LLM-Inference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2" w:name="fn10"/>
    <w:bookmarkEnd w:id="52"/>
    <w:p>
      <w:pPr>
        <w:numPr>
          <w:ilvl w:val="0"/>
          <w:numId w:val="4"/>
        </w:numPr>
        <w:spacing w:line="360" w:after="210" w:lineRule="auto"/>
      </w:pPr>
      <w:hyperlink r:id="rId15">
        <w:r>
          <w:rPr>
            <w:rFonts w:eastAsia="inter" w:cs="inter" w:ascii="inter" w:hAnsi="inter"/>
            <w:color w:val="#000"/>
            <w:sz w:val="18"/>
            <w:u w:val="single"/>
          </w:rPr>
          <w:t xml:space="preserve">https://enfabrica.net/solution/acf-s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3" w:name="fn11"/>
    <w:bookmarkEnd w:id="53"/>
    <w:p>
      <w:pPr>
        <w:numPr>
          <w:ilvl w:val="0"/>
          <w:numId w:val="4"/>
        </w:numPr>
        <w:spacing w:line="360" w:after="210" w:lineRule="auto"/>
      </w:pPr>
      <w:hyperlink r:id="rId16">
        <w:r>
          <w:rPr>
            <w:rFonts w:eastAsia="inter" w:cs="inter" w:ascii="inter" w:hAnsi="inter"/>
            <w:color w:val="#000"/>
            <w:sz w:val="18"/>
            <w:u w:val="single"/>
          </w:rPr>
          <w:t xml:space="preserve">https://www.eetimes.com/enfabrica-unveils-supernic-cuts-token-cost-in-half/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4" w:name="fn12"/>
    <w:bookmarkEnd w:id="54"/>
    <w:p>
      <w:pPr>
        <w:numPr>
          <w:ilvl w:val="0"/>
          <w:numId w:val="4"/>
        </w:numPr>
        <w:spacing w:line="360" w:after="210" w:lineRule="auto"/>
      </w:pPr>
      <w:hyperlink r:id="rId17">
        <w:r>
          <w:rPr>
            <w:rFonts w:eastAsia="inter" w:cs="inter" w:ascii="inter" w:hAnsi="inter"/>
            <w:color w:val="#000"/>
            <w:sz w:val="18"/>
            <w:u w:val="single"/>
          </w:rPr>
          <w:t xml:space="preserve">https://www.cnbc.com/2025/09/18/nvidia-spent-over-900-million-on-enfabrica-ceo-ai-startup-technology.html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5" w:name="fn13"/>
    <w:bookmarkEnd w:id="55"/>
    <w:p>
      <w:pPr>
        <w:numPr>
          <w:ilvl w:val="0"/>
          <w:numId w:val="4"/>
        </w:numPr>
        <w:spacing w:line="360" w:after="210" w:lineRule="auto"/>
      </w:pPr>
      <w:hyperlink r:id="rId18">
        <w:r>
          <w:rPr>
            <w:rFonts w:eastAsia="inter" w:cs="inter" w:ascii="inter" w:hAnsi="inter"/>
            <w:color w:val="#000"/>
            <w:sz w:val="18"/>
            <w:u w:val="single"/>
          </w:rPr>
          <w:t xml:space="preserve">https://americanbazaaronline.com/2025/09/19/nvidia-shells-out-nearly-a-billion-dollars-to-hire-ceo-rochan-sankar-467818/</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6" w:name="fn14"/>
    <w:bookmarkEnd w:id="56"/>
    <w:p>
      <w:pPr>
        <w:numPr>
          <w:ilvl w:val="0"/>
          <w:numId w:val="4"/>
        </w:numPr>
        <w:spacing w:line="360" w:after="210" w:lineRule="auto"/>
      </w:pPr>
      <w:hyperlink r:id="rId19">
        <w:r>
          <w:rPr>
            <w:rFonts w:eastAsia="inter" w:cs="inter" w:ascii="inter" w:hAnsi="inter"/>
            <w:color w:val="#000"/>
            <w:sz w:val="18"/>
            <w:u w:val="single"/>
          </w:rPr>
          <w:t xml:space="preserve">https://coincentral.com/nvidia-brings-enfabrica-ceo-aboard-in-900m-move/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7" w:name="fn15"/>
    <w:bookmarkEnd w:id="57"/>
    <w:p>
      <w:pPr>
        <w:numPr>
          <w:ilvl w:val="0"/>
          <w:numId w:val="4"/>
        </w:numPr>
        <w:spacing w:line="360" w:after="210" w:lineRule="auto"/>
      </w:pPr>
      <w:hyperlink r:id="rId20">
        <w:r>
          <w:rPr>
            <w:rFonts w:eastAsia="inter" w:cs="inter" w:ascii="inter" w:hAnsi="inter"/>
            <w:color w:val="#000"/>
            <w:sz w:val="18"/>
            <w:u w:val="single"/>
          </w:rPr>
          <w:t xml:space="preserve">https://www.youtube.com/watch?v=RWxMHjVGXAw</w:t>
        </w:r>
      </w:hyperlink>
      <w:r>
        <w:rPr>
          <w:rFonts w:eastAsia="inter" w:cs="inter" w:ascii="inter" w:hAnsi="inter"/>
          <w:color w:val="000000"/>
          <w:sz w:val="18"/>
        </w:rPr>
        <w:t xml:space="preserve"> </w:t>
      </w:r>
    </w:p>
    <w:bookmarkStart w:id="58" w:name="fn16"/>
    <w:bookmarkEnd w:id="58"/>
    <w:p>
      <w:pPr>
        <w:numPr>
          <w:ilvl w:val="0"/>
          <w:numId w:val="4"/>
        </w:numPr>
        <w:spacing w:line="360" w:after="210" w:lineRule="auto"/>
      </w:pPr>
      <w:hyperlink r:id="rId21">
        <w:r>
          <w:rPr>
            <w:rFonts w:eastAsia="inter" w:cs="inter" w:ascii="inter" w:hAnsi="inter"/>
            <w:color w:val="#000"/>
            <w:sz w:val="18"/>
            <w:u w:val="single"/>
          </w:rPr>
          <w:t xml:space="preserve">https://the-decoder.com/nvidia-makes-900-million-acquihire-style-deal-with-ai-hardware-startup-enfabrica/</w:t>
        </w:r>
      </w:hyperlink>
      <w:r>
        <w:rPr>
          <w:rFonts w:eastAsia="inter" w:cs="inter" w:ascii="inter" w:hAnsi="inter"/>
          <w:color w:val="000000"/>
          <w:sz w:val="18"/>
        </w:rPr>
        <w:t xml:space="preserve"> </w:t>
      </w:r>
    </w:p>
    <w:bookmarkStart w:id="59" w:name="fn17"/>
    <w:bookmarkEnd w:id="59"/>
    <w:p>
      <w:pPr>
        <w:numPr>
          <w:ilvl w:val="0"/>
          <w:numId w:val="4"/>
        </w:numPr>
        <w:spacing w:line="360" w:after="210" w:lineRule="auto"/>
      </w:pPr>
      <w:hyperlink r:id="rId22">
        <w:r>
          <w:rPr>
            <w:rFonts w:eastAsia="inter" w:cs="inter" w:ascii="inter" w:hAnsi="inter"/>
            <w:color w:val="#000"/>
            <w:sz w:val="18"/>
            <w:u w:val="single"/>
          </w:rPr>
          <w:t xml:space="preserve">https://www.tomshardware.com/tech-industry/nvidia-drops-a-cool-usd900-million-on-enfabrica-tech-and-hiring-its-ceo-report-claims-ai-networking-chip-company-boasts-capacity-to-connect-100-000-gpus-together</w:t>
        </w:r>
      </w:hyperlink>
      <w:r>
        <w:rPr>
          <w:rFonts w:eastAsia="inter" w:cs="inter" w:ascii="inter" w:hAnsi="inter"/>
          <w:color w:val="000000"/>
          <w:sz w:val="18"/>
        </w:rPr>
        <w:t xml:space="preserve"> </w:t>
      </w:r>
    </w:p>
    <w:bookmarkStart w:id="60" w:name="fn18"/>
    <w:bookmarkEnd w:id="60"/>
    <w:p>
      <w:pPr>
        <w:numPr>
          <w:ilvl w:val="0"/>
          <w:numId w:val="4"/>
        </w:numPr>
        <w:spacing w:line="360" w:after="210" w:lineRule="auto"/>
      </w:pPr>
      <w:hyperlink r:id="rId23">
        <w:r>
          <w:rPr>
            <w:rFonts w:eastAsia="inter" w:cs="inter" w:ascii="inter" w:hAnsi="inter"/>
            <w:color w:val="#000"/>
            <w:sz w:val="18"/>
            <w:u w:val="single"/>
          </w:rPr>
          <w:t xml:space="preserve">https://www.theinformation.com/briefings/nvidia-hire-networking-startup-enfabricas-ceo-license-technology</w:t>
        </w:r>
      </w:hyperlink>
      <w:r>
        <w:rPr>
          <w:rFonts w:eastAsia="inter" w:cs="inter" w:ascii="inter" w:hAnsi="inter"/>
          <w:color w:val="000000"/>
          <w:sz w:val="18"/>
        </w:rPr>
        <w:t xml:space="preserve"> </w:t>
      </w:r>
    </w:p>
    <w:bookmarkStart w:id="61" w:name="fn19"/>
    <w:bookmarkEnd w:id="61"/>
    <w:p>
      <w:pPr>
        <w:numPr>
          <w:ilvl w:val="0"/>
          <w:numId w:val="4"/>
        </w:numPr>
        <w:spacing w:line="360" w:after="210" w:lineRule="auto"/>
      </w:pPr>
      <w:hyperlink r:id="rId24">
        <w:r>
          <w:rPr>
            <w:rFonts w:eastAsia="inter" w:cs="inter" w:ascii="inter" w:hAnsi="inter"/>
            <w:color w:val="#000"/>
            <w:sz w:val="18"/>
            <w:u w:val="single"/>
          </w:rPr>
          <w:t xml:space="preserve">https://uvation.com/articles/nvidia-ufm-cyber-ai-transforming-fabric-management-for-secure-intelligent-data-centers</w:t>
        </w:r>
      </w:hyperlink>
      <w:r>
        <w:rPr>
          <w:rFonts w:eastAsia="inter" w:cs="inter" w:ascii="inter" w:hAnsi="inter"/>
          <w:color w:val="000000"/>
          <w:sz w:val="18"/>
        </w:rPr>
        <w:t xml:space="preserve"> </w:t>
      </w:r>
    </w:p>
    <w:bookmarkStart w:id="62" w:name="fn20"/>
    <w:bookmarkEnd w:id="62"/>
    <w:p>
      <w:pPr>
        <w:numPr>
          <w:ilvl w:val="0"/>
          <w:numId w:val="4"/>
        </w:numPr>
        <w:spacing w:line="360" w:after="210" w:lineRule="auto"/>
      </w:pPr>
      <w:hyperlink r:id="rId25">
        <w:r>
          <w:rPr>
            <w:rFonts w:eastAsia="inter" w:cs="inter" w:ascii="inter" w:hAnsi="inter"/>
            <w:color w:val="#000"/>
            <w:sz w:val="18"/>
            <w:u w:val="single"/>
          </w:rPr>
          <w:t xml:space="preserve">https://news.ycombinator.com/item?id=43267827</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abstractNum>
  <w:abstractNum w:abstractNumId="4">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79f8220eb7a4fbef12a3c0d1759be1dc671582b.png" TargetMode="Internal"/><Relationship Id="rId6" Type="http://schemas.openxmlformats.org/officeDocument/2006/relationships/hyperlink" Target="https://dataconomy.com/2025/09/19/nvidia-spends-over-900-million-to-hire-enfabrica-ceo-and-license-ai-hardware-technology/" TargetMode="External"/><Relationship Id="rId7" Type="http://schemas.openxmlformats.org/officeDocument/2006/relationships/hyperlink" Target="https://techstrong.ai/features/nvidia-just-made-a-900-million-acquihire-of-this-silicon-valley-startup/" TargetMode="External"/><Relationship Id="rId8" Type="http://schemas.openxmlformats.org/officeDocument/2006/relationships/hyperlink" Target="https://www.ainvest.com/news/nvidia-acquires-enfabrica-ai-talent-technology-900m-2509/" TargetMode="External"/><Relationship Id="rId9" Type="http://schemas.openxmlformats.org/officeDocument/2006/relationships/hyperlink" Target="https://www.youtube.com/watch?v=8ctme9rFf0I" TargetMode="External"/><Relationship Id="rId10" Type="http://schemas.openxmlformats.org/officeDocument/2006/relationships/hyperlink" Target="https://www.allaboutcircuits.com/news/first-ethernet-based-ai-memory-fabric-system-to-increase-llm-efficiency/" TargetMode="External"/><Relationship Id="rId11" Type="http://schemas.openxmlformats.org/officeDocument/2006/relationships/hyperlink" Target="https://www.linkedin.com/posts/timothy-prickett-morgan-06646025_skimpy-hbm-memory-opens-up-the-way-for-ai-activity-7356038735647391746-CdlQ" TargetMode="External"/><Relationship Id="rId12" Type="http://schemas.openxmlformats.org/officeDocument/2006/relationships/hyperlink" Target="https://developer.nvidia.com/blog/cut-model-deployment-costs-while-keeping-performance-with-gpu-memory-swap/" TargetMode="External"/><Relationship Id="rId13" Type="http://schemas.openxmlformats.org/officeDocument/2006/relationships/hyperlink" Target="https://techfieldday.com/2024/enfabrica-supernic-for-massive-clusters-at-ai-field-day/" TargetMode="External"/><Relationship Id="rId14" Type="http://schemas.openxmlformats.org/officeDocument/2006/relationships/hyperlink" Target="https://www.businesswire.com/news/home/20250729711298/en/Enfabrica-Unveils-Industrys-First-Ethernet-Based-AI-Memory-Fabric-System-for-Efficient-Superscaling-of-LLM-Inference" TargetMode="External"/><Relationship Id="rId15" Type="http://schemas.openxmlformats.org/officeDocument/2006/relationships/hyperlink" Target="https://enfabrica.net/solution/acf-s" TargetMode="External"/><Relationship Id="rId16" Type="http://schemas.openxmlformats.org/officeDocument/2006/relationships/hyperlink" Target="https://www.eetimes.com/enfabrica-unveils-supernic-cuts-token-cost-in-half/" TargetMode="External"/><Relationship Id="rId17" Type="http://schemas.openxmlformats.org/officeDocument/2006/relationships/hyperlink" Target="https://www.cnbc.com/2025/09/18/nvidia-spent-over-900-million-on-enfabrica-ceo-ai-startup-technology.html" TargetMode="External"/><Relationship Id="rId18" Type="http://schemas.openxmlformats.org/officeDocument/2006/relationships/hyperlink" Target="https://americanbazaaronline.com/2025/09/19/nvidia-shells-out-nearly-a-billion-dollars-to-hire-ceo-rochan-sankar-467818/" TargetMode="External"/><Relationship Id="rId19" Type="http://schemas.openxmlformats.org/officeDocument/2006/relationships/hyperlink" Target="https://coincentral.com/nvidia-brings-enfabrica-ceo-aboard-in-900m-move/" TargetMode="External"/><Relationship Id="rId20" Type="http://schemas.openxmlformats.org/officeDocument/2006/relationships/hyperlink" Target="https://www.youtube.com/watch?v=RWxMHjVGXAw" TargetMode="External"/><Relationship Id="rId21" Type="http://schemas.openxmlformats.org/officeDocument/2006/relationships/hyperlink" Target="https://the-decoder.com/nvidia-makes-900-million-acquihire-style-deal-with-ai-hardware-startup-enfabrica/" TargetMode="External"/><Relationship Id="rId22" Type="http://schemas.openxmlformats.org/officeDocument/2006/relationships/hyperlink" Target="https://www.tomshardware.com/tech-industry/nvidia-drops-a-cool-usd900-million-on-enfabrica-tech-and-hiring-its-ceo-report-claims-ai-networking-chip-company-boasts-capacity-to-connect-100-000-gpus-together" TargetMode="External"/><Relationship Id="rId23" Type="http://schemas.openxmlformats.org/officeDocument/2006/relationships/hyperlink" Target="https://www.theinformation.com/briefings/nvidia-hire-networking-startup-enfabricas-ceo-license-technology" TargetMode="External"/><Relationship Id="rId24" Type="http://schemas.openxmlformats.org/officeDocument/2006/relationships/hyperlink" Target="https://uvation.com/articles/nvidia-ufm-cyber-ai-transforming-fabric-management-for-secure-intelligent-data-centers" TargetMode="External"/><Relationship Id="rId25" Type="http://schemas.openxmlformats.org/officeDocument/2006/relationships/hyperlink" Target="https://news.ycombinator.com/item?id=43267827"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2025-09-21T00:53:05.456Z</dcterms:created>
  <dcterms:modified xsi:type="dcterms:W3CDTF">2025-09-21T00:53:05.456Z</dcterms:modified>
</cp:coreProperties>
</file>