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E70" w:rsidRPr="00590E0B" w:rsidRDefault="00CF3E70" w:rsidP="00CF3E70">
      <w:pPr>
        <w:autoSpaceDE w:val="0"/>
        <w:autoSpaceDN w:val="0"/>
        <w:adjustRightInd w:val="0"/>
        <w:spacing w:after="0"/>
        <w:rPr>
          <w:rFonts w:cs="Times New Roman"/>
          <w:szCs w:val="24"/>
        </w:rPr>
      </w:pPr>
      <w:r w:rsidRPr="00590E0B">
        <w:rPr>
          <w:rFonts w:cs="Times New Roman"/>
          <w:szCs w:val="24"/>
        </w:rPr>
        <w:t>Dependent Variable: Attitudes toward Seeking Counseling</w:t>
      </w:r>
    </w:p>
    <w:p w:rsidR="00CF3E70" w:rsidRPr="00590E0B" w:rsidRDefault="00CF3E70" w:rsidP="00CF3E70">
      <w:pPr>
        <w:autoSpaceDE w:val="0"/>
        <w:autoSpaceDN w:val="0"/>
        <w:adjustRightInd w:val="0"/>
        <w:spacing w:after="0"/>
        <w:rPr>
          <w:rFonts w:cs="Times New Roman"/>
          <w:szCs w:val="24"/>
        </w:rPr>
      </w:pPr>
      <w:r w:rsidRPr="00590E0B">
        <w:rPr>
          <w:rFonts w:cs="Times New Roman"/>
          <w:szCs w:val="24"/>
        </w:rPr>
        <w:tab/>
        <w:t xml:space="preserve">Following the significant strategy effect detected in the ANOVA, post-hoc comparisons between the four strategy groups were conducted.  Results of the follow-up tests, using Tukey’s method for the post-hoc comparison in Table </w:t>
      </w:r>
      <w:r>
        <w:rPr>
          <w:rFonts w:cs="Times New Roman"/>
          <w:szCs w:val="24"/>
        </w:rPr>
        <w:t>5.0</w:t>
      </w:r>
      <w:r w:rsidRPr="00590E0B">
        <w:rPr>
          <w:rFonts w:cs="Times New Roman"/>
          <w:szCs w:val="24"/>
        </w:rPr>
        <w:t>, revealed that (a) attitudes toward seeking professional counseling in the assimilation group (</w:t>
      </w:r>
      <w:r w:rsidRPr="00590E0B">
        <w:rPr>
          <w:rFonts w:cs="Times New Roman"/>
          <w:i/>
          <w:szCs w:val="24"/>
        </w:rPr>
        <w:t>M</w:t>
      </w:r>
      <w:r w:rsidRPr="00590E0B">
        <w:rPr>
          <w:rFonts w:cs="Times New Roman"/>
          <w:szCs w:val="24"/>
        </w:rPr>
        <w:t xml:space="preserve"> = 2.02, </w:t>
      </w:r>
      <w:r w:rsidRPr="00590E0B">
        <w:rPr>
          <w:rFonts w:cs="Times New Roman"/>
          <w:i/>
          <w:szCs w:val="24"/>
        </w:rPr>
        <w:t>SD</w:t>
      </w:r>
      <w:r w:rsidRPr="00590E0B">
        <w:rPr>
          <w:rFonts w:cs="Times New Roman"/>
          <w:szCs w:val="24"/>
        </w:rPr>
        <w:t xml:space="preserve"> = .43) was significantly more positive than that in the integration group (</w:t>
      </w:r>
      <w:r w:rsidRPr="00590E0B">
        <w:rPr>
          <w:rFonts w:cs="Times New Roman"/>
          <w:i/>
          <w:szCs w:val="24"/>
        </w:rPr>
        <w:t>M</w:t>
      </w:r>
      <w:r w:rsidRPr="00590E0B">
        <w:rPr>
          <w:rFonts w:cs="Times New Roman"/>
          <w:szCs w:val="24"/>
        </w:rPr>
        <w:t xml:space="preserve"> = 1.68, </w:t>
      </w:r>
      <w:r w:rsidRPr="00590E0B">
        <w:rPr>
          <w:rFonts w:cs="Times New Roman"/>
          <w:i/>
          <w:szCs w:val="24"/>
        </w:rPr>
        <w:t>SD</w:t>
      </w:r>
      <w:r w:rsidRPr="00590E0B">
        <w:rPr>
          <w:rFonts w:cs="Times New Roman"/>
          <w:szCs w:val="24"/>
        </w:rPr>
        <w:t xml:space="preserve"> = .43), </w:t>
      </w:r>
      <w:r w:rsidRPr="00590E0B">
        <w:rPr>
          <w:rFonts w:cs="Times New Roman"/>
          <w:i/>
          <w:szCs w:val="24"/>
        </w:rPr>
        <w:t>p</w:t>
      </w:r>
      <w:r w:rsidRPr="00590E0B">
        <w:rPr>
          <w:rFonts w:cs="Times New Roman"/>
          <w:szCs w:val="24"/>
        </w:rPr>
        <w:t xml:space="preserve"> = .03; (b) attitudes toward seeking professional counseling in the assimilation group (</w:t>
      </w:r>
      <w:r w:rsidRPr="00590E0B">
        <w:rPr>
          <w:rFonts w:cs="Times New Roman"/>
          <w:i/>
          <w:szCs w:val="24"/>
        </w:rPr>
        <w:t>M</w:t>
      </w:r>
      <w:r w:rsidRPr="00590E0B">
        <w:rPr>
          <w:rFonts w:cs="Times New Roman"/>
          <w:szCs w:val="24"/>
        </w:rPr>
        <w:t xml:space="preserve"> = 2.02, </w:t>
      </w:r>
      <w:r w:rsidRPr="00590E0B">
        <w:rPr>
          <w:rFonts w:cs="Times New Roman"/>
          <w:i/>
          <w:szCs w:val="24"/>
        </w:rPr>
        <w:t>SD</w:t>
      </w:r>
      <w:r w:rsidRPr="00590E0B">
        <w:rPr>
          <w:rFonts w:cs="Times New Roman"/>
          <w:szCs w:val="24"/>
        </w:rPr>
        <w:t xml:space="preserve"> = .43) was significantly more positive than that in the separation group (</w:t>
      </w:r>
      <w:r w:rsidRPr="00590E0B">
        <w:rPr>
          <w:rFonts w:cs="Times New Roman"/>
          <w:i/>
          <w:szCs w:val="24"/>
        </w:rPr>
        <w:t>M</w:t>
      </w:r>
      <w:r w:rsidRPr="00590E0B">
        <w:rPr>
          <w:rFonts w:cs="Times New Roman"/>
          <w:szCs w:val="24"/>
        </w:rPr>
        <w:t xml:space="preserve"> = 1.72, </w:t>
      </w:r>
      <w:r w:rsidRPr="00590E0B">
        <w:rPr>
          <w:rFonts w:cs="Times New Roman"/>
          <w:i/>
          <w:szCs w:val="24"/>
        </w:rPr>
        <w:t>SD</w:t>
      </w:r>
      <w:r w:rsidRPr="00590E0B">
        <w:rPr>
          <w:rFonts w:cs="Times New Roman"/>
          <w:szCs w:val="24"/>
        </w:rPr>
        <w:t xml:space="preserve"> = .41), </w:t>
      </w:r>
      <w:r w:rsidRPr="00590E0B">
        <w:rPr>
          <w:rFonts w:cs="Times New Roman"/>
          <w:i/>
          <w:szCs w:val="24"/>
        </w:rPr>
        <w:t>p</w:t>
      </w:r>
      <w:r w:rsidRPr="00590E0B">
        <w:rPr>
          <w:rFonts w:cs="Times New Roman"/>
          <w:szCs w:val="24"/>
        </w:rPr>
        <w:t xml:space="preserve"> = .05. None other comparisons were significant. The results of analysis suggest that Chinese international students who are in the assimilation group, which is the group that was assimilated to the Western culture, are more likely to seek professional counseling services than ones in the integration and separation group.</w:t>
      </w:r>
      <w:r>
        <w:rPr>
          <w:rFonts w:cs="Times New Roman"/>
          <w:szCs w:val="24"/>
        </w:rPr>
        <w:t xml:space="preserve"> The result, therefore, </w:t>
      </w:r>
      <w:r w:rsidRPr="00590E0B">
        <w:rPr>
          <w:rFonts w:cs="Times New Roman"/>
          <w:szCs w:val="24"/>
        </w:rPr>
        <w:t>support</w:t>
      </w:r>
      <w:r>
        <w:rPr>
          <w:rFonts w:cs="Times New Roman"/>
          <w:szCs w:val="24"/>
        </w:rPr>
        <w:t>ed</w:t>
      </w:r>
      <w:r w:rsidRPr="00590E0B">
        <w:rPr>
          <w:rFonts w:cs="Times New Roman"/>
          <w:szCs w:val="24"/>
        </w:rPr>
        <w:t xml:space="preserve"> the hypothesis that there is statistically significant </w:t>
      </w:r>
      <w:r>
        <w:rPr>
          <w:rFonts w:cs="Times New Roman"/>
          <w:szCs w:val="24"/>
        </w:rPr>
        <w:t>difference</w:t>
      </w:r>
      <w:r w:rsidRPr="00590E0B">
        <w:rPr>
          <w:rFonts w:cs="Times New Roman"/>
          <w:szCs w:val="24"/>
        </w:rPr>
        <w:t xml:space="preserve"> between Chinese international students’ acculturation strategies and their attitudes toward seeking professional counseling services.</w:t>
      </w:r>
    </w:p>
    <w:p w:rsidR="00CF3E70" w:rsidRPr="00DF4348" w:rsidRDefault="00CF3E70" w:rsidP="00CF3E70">
      <w:pPr>
        <w:autoSpaceDE w:val="0"/>
        <w:autoSpaceDN w:val="0"/>
        <w:adjustRightInd w:val="0"/>
        <w:spacing w:after="0"/>
        <w:rPr>
          <w:rFonts w:cs="Times New Roman"/>
          <w:szCs w:val="24"/>
        </w:rPr>
      </w:pPr>
      <w:r w:rsidRPr="00DF4348">
        <w:rPr>
          <w:rFonts w:cs="Times New Roman"/>
          <w:szCs w:val="24"/>
        </w:rPr>
        <w:t xml:space="preserve">Table </w:t>
      </w:r>
      <w:r>
        <w:rPr>
          <w:rFonts w:cs="Times New Roman"/>
          <w:szCs w:val="24"/>
        </w:rPr>
        <w:t>5.0</w:t>
      </w:r>
    </w:p>
    <w:p w:rsidR="00CF3E70" w:rsidRPr="00DF4348" w:rsidRDefault="00CF3E70" w:rsidP="00CF3E70">
      <w:pPr>
        <w:autoSpaceDE w:val="0"/>
        <w:autoSpaceDN w:val="0"/>
        <w:adjustRightInd w:val="0"/>
        <w:spacing w:after="0"/>
        <w:rPr>
          <w:rFonts w:cs="Times New Roman"/>
          <w:i/>
          <w:szCs w:val="24"/>
        </w:rPr>
      </w:pPr>
      <w:r w:rsidRPr="00DF4348">
        <w:rPr>
          <w:rFonts w:cs="Times New Roman"/>
          <w:i/>
          <w:szCs w:val="24"/>
        </w:rPr>
        <w:t xml:space="preserve"> Multiple Comparisons</w:t>
      </w:r>
    </w:p>
    <w:tbl>
      <w:tblPr>
        <w:tblStyle w:val="TableGrid"/>
        <w:tblW w:w="0" w:type="auto"/>
        <w:tblLook w:val="04A0" w:firstRow="1" w:lastRow="0" w:firstColumn="1" w:lastColumn="0" w:noHBand="0" w:noVBand="1"/>
      </w:tblPr>
      <w:tblGrid>
        <w:gridCol w:w="909"/>
        <w:gridCol w:w="1749"/>
        <w:gridCol w:w="1749"/>
        <w:gridCol w:w="1229"/>
        <w:gridCol w:w="851"/>
        <w:gridCol w:w="865"/>
        <w:gridCol w:w="1004"/>
        <w:gridCol w:w="1004"/>
      </w:tblGrid>
      <w:tr w:rsidR="00CF3E70" w:rsidRPr="00DF4348" w:rsidTr="005C65CB">
        <w:tc>
          <w:tcPr>
            <w:tcW w:w="1008" w:type="dxa"/>
            <w:tcBorders>
              <w:left w:val="nil"/>
              <w:bottom w:val="single" w:sz="4" w:space="0" w:color="auto"/>
              <w:right w:val="nil"/>
            </w:tcBorders>
          </w:tcPr>
          <w:p w:rsidR="00CF3E70" w:rsidRPr="00DF4348" w:rsidRDefault="00CF3E70" w:rsidP="005C65CB">
            <w:pPr>
              <w:autoSpaceDE w:val="0"/>
              <w:autoSpaceDN w:val="0"/>
              <w:adjustRightInd w:val="0"/>
              <w:rPr>
                <w:szCs w:val="24"/>
              </w:rPr>
            </w:pPr>
          </w:p>
        </w:tc>
        <w:tc>
          <w:tcPr>
            <w:tcW w:w="1486" w:type="dxa"/>
            <w:vMerge w:val="restart"/>
            <w:tcBorders>
              <w:left w:val="nil"/>
              <w:bottom w:val="single" w:sz="4" w:space="0" w:color="auto"/>
              <w:right w:val="nil"/>
            </w:tcBorders>
          </w:tcPr>
          <w:p w:rsidR="00CF3E70" w:rsidRPr="00DF4348" w:rsidRDefault="00CF3E70" w:rsidP="005C65CB">
            <w:pPr>
              <w:autoSpaceDE w:val="0"/>
              <w:autoSpaceDN w:val="0"/>
              <w:adjustRightInd w:val="0"/>
              <w:jc w:val="center"/>
              <w:rPr>
                <w:i/>
                <w:szCs w:val="24"/>
              </w:rPr>
            </w:pPr>
            <w:r w:rsidRPr="00DF4348">
              <w:rPr>
                <w:i/>
                <w:szCs w:val="24"/>
              </w:rPr>
              <w:t>(I) response 3 counted</w:t>
            </w:r>
          </w:p>
        </w:tc>
        <w:tc>
          <w:tcPr>
            <w:tcW w:w="1749" w:type="dxa"/>
            <w:vMerge w:val="restart"/>
            <w:tcBorders>
              <w:left w:val="nil"/>
              <w:right w:val="nil"/>
            </w:tcBorders>
          </w:tcPr>
          <w:p w:rsidR="00CF3E70" w:rsidRPr="00DF4348" w:rsidRDefault="00CF3E70" w:rsidP="005C65CB">
            <w:pPr>
              <w:autoSpaceDE w:val="0"/>
              <w:autoSpaceDN w:val="0"/>
              <w:adjustRightInd w:val="0"/>
              <w:jc w:val="center"/>
              <w:rPr>
                <w:i/>
                <w:szCs w:val="24"/>
              </w:rPr>
            </w:pPr>
            <w:r w:rsidRPr="00DF4348">
              <w:rPr>
                <w:i/>
                <w:szCs w:val="24"/>
              </w:rPr>
              <w:t>(J) response 3 counted</w:t>
            </w:r>
          </w:p>
        </w:tc>
        <w:tc>
          <w:tcPr>
            <w:tcW w:w="1229" w:type="dxa"/>
            <w:vMerge w:val="restart"/>
            <w:tcBorders>
              <w:top w:val="single" w:sz="4" w:space="0" w:color="auto"/>
              <w:left w:val="nil"/>
              <w:right w:val="nil"/>
            </w:tcBorders>
          </w:tcPr>
          <w:p w:rsidR="00CF3E70" w:rsidRPr="00DF4348" w:rsidRDefault="00CF3E70" w:rsidP="005C65CB">
            <w:pPr>
              <w:autoSpaceDE w:val="0"/>
              <w:autoSpaceDN w:val="0"/>
              <w:adjustRightInd w:val="0"/>
              <w:jc w:val="center"/>
              <w:rPr>
                <w:i/>
                <w:szCs w:val="24"/>
              </w:rPr>
            </w:pPr>
            <w:r w:rsidRPr="00DF4348">
              <w:rPr>
                <w:i/>
                <w:szCs w:val="24"/>
              </w:rPr>
              <w:t>Mean Difference (I-J)</w:t>
            </w:r>
          </w:p>
        </w:tc>
        <w:tc>
          <w:tcPr>
            <w:tcW w:w="991" w:type="dxa"/>
            <w:vMerge w:val="restart"/>
            <w:tcBorders>
              <w:top w:val="single" w:sz="4" w:space="0" w:color="auto"/>
              <w:left w:val="nil"/>
              <w:right w:val="nil"/>
            </w:tcBorders>
          </w:tcPr>
          <w:p w:rsidR="00CF3E70" w:rsidRPr="00DF4348" w:rsidRDefault="00CF3E70" w:rsidP="005C65CB">
            <w:pPr>
              <w:autoSpaceDE w:val="0"/>
              <w:autoSpaceDN w:val="0"/>
              <w:adjustRightInd w:val="0"/>
              <w:jc w:val="center"/>
              <w:rPr>
                <w:i/>
                <w:szCs w:val="24"/>
              </w:rPr>
            </w:pPr>
            <w:r w:rsidRPr="00DF4348">
              <w:rPr>
                <w:i/>
                <w:szCs w:val="24"/>
              </w:rPr>
              <w:t>SE</w:t>
            </w:r>
          </w:p>
        </w:tc>
        <w:tc>
          <w:tcPr>
            <w:tcW w:w="983" w:type="dxa"/>
            <w:vMerge w:val="restart"/>
            <w:tcBorders>
              <w:top w:val="single" w:sz="4" w:space="0" w:color="auto"/>
              <w:left w:val="nil"/>
              <w:right w:val="nil"/>
            </w:tcBorders>
          </w:tcPr>
          <w:p w:rsidR="00CF3E70" w:rsidRPr="00DF4348" w:rsidRDefault="00CF3E70" w:rsidP="005C65CB">
            <w:pPr>
              <w:autoSpaceDE w:val="0"/>
              <w:autoSpaceDN w:val="0"/>
              <w:adjustRightInd w:val="0"/>
              <w:jc w:val="center"/>
              <w:rPr>
                <w:i/>
                <w:szCs w:val="24"/>
              </w:rPr>
            </w:pPr>
            <w:r w:rsidRPr="00DF4348">
              <w:rPr>
                <w:i/>
                <w:szCs w:val="24"/>
              </w:rPr>
              <w:t>Sig.</w:t>
            </w:r>
          </w:p>
        </w:tc>
        <w:tc>
          <w:tcPr>
            <w:tcW w:w="2130" w:type="dxa"/>
            <w:gridSpan w:val="2"/>
            <w:tcBorders>
              <w:top w:val="single" w:sz="4" w:space="0" w:color="auto"/>
              <w:left w:val="nil"/>
              <w:right w:val="nil"/>
            </w:tcBorders>
          </w:tcPr>
          <w:p w:rsidR="00CF3E70" w:rsidRPr="00DF4348" w:rsidRDefault="00CF3E70" w:rsidP="005C65CB">
            <w:pPr>
              <w:autoSpaceDE w:val="0"/>
              <w:autoSpaceDN w:val="0"/>
              <w:adjustRightInd w:val="0"/>
              <w:jc w:val="center"/>
              <w:rPr>
                <w:i/>
                <w:szCs w:val="24"/>
              </w:rPr>
            </w:pPr>
            <w:r w:rsidRPr="00DF4348">
              <w:rPr>
                <w:i/>
                <w:szCs w:val="24"/>
              </w:rPr>
              <w:t>95% Confidence Interval</w:t>
            </w:r>
          </w:p>
        </w:tc>
      </w:tr>
      <w:tr w:rsidR="00CF3E70" w:rsidRPr="00DF4348" w:rsidTr="005C65CB">
        <w:tc>
          <w:tcPr>
            <w:tcW w:w="1008" w:type="dxa"/>
            <w:vMerge w:val="restart"/>
            <w:tcBorders>
              <w:left w:val="nil"/>
              <w:right w:val="nil"/>
            </w:tcBorders>
          </w:tcPr>
          <w:p w:rsidR="00CF3E70" w:rsidRPr="00DF4348" w:rsidRDefault="00CF3E70" w:rsidP="005C65CB">
            <w:pPr>
              <w:autoSpaceDE w:val="0"/>
              <w:autoSpaceDN w:val="0"/>
              <w:adjustRightInd w:val="0"/>
              <w:rPr>
                <w:szCs w:val="24"/>
              </w:rPr>
            </w:pPr>
            <w:r w:rsidRPr="00DF4348">
              <w:rPr>
                <w:szCs w:val="24"/>
              </w:rPr>
              <w:t>LSD</w:t>
            </w:r>
          </w:p>
        </w:tc>
        <w:tc>
          <w:tcPr>
            <w:tcW w:w="1486" w:type="dxa"/>
            <w:vMerge/>
            <w:tcBorders>
              <w:left w:val="nil"/>
              <w:right w:val="nil"/>
            </w:tcBorders>
          </w:tcPr>
          <w:p w:rsidR="00CF3E70" w:rsidRPr="00DF4348" w:rsidRDefault="00CF3E70" w:rsidP="005C65CB">
            <w:pPr>
              <w:autoSpaceDE w:val="0"/>
              <w:autoSpaceDN w:val="0"/>
              <w:adjustRightInd w:val="0"/>
              <w:jc w:val="center"/>
              <w:rPr>
                <w:szCs w:val="24"/>
              </w:rPr>
            </w:pPr>
          </w:p>
        </w:tc>
        <w:tc>
          <w:tcPr>
            <w:tcW w:w="1749" w:type="dxa"/>
            <w:vMerge/>
            <w:tcBorders>
              <w:left w:val="nil"/>
              <w:right w:val="nil"/>
            </w:tcBorders>
          </w:tcPr>
          <w:p w:rsidR="00CF3E70" w:rsidRPr="00DF4348" w:rsidRDefault="00CF3E70" w:rsidP="005C65CB">
            <w:pPr>
              <w:autoSpaceDE w:val="0"/>
              <w:autoSpaceDN w:val="0"/>
              <w:adjustRightInd w:val="0"/>
              <w:jc w:val="center"/>
              <w:rPr>
                <w:szCs w:val="24"/>
              </w:rPr>
            </w:pPr>
          </w:p>
        </w:tc>
        <w:tc>
          <w:tcPr>
            <w:tcW w:w="1229" w:type="dxa"/>
            <w:vMerge/>
            <w:tcBorders>
              <w:left w:val="nil"/>
              <w:bottom w:val="single" w:sz="4" w:space="0" w:color="auto"/>
              <w:right w:val="nil"/>
            </w:tcBorders>
          </w:tcPr>
          <w:p w:rsidR="00CF3E70" w:rsidRPr="00DF4348" w:rsidRDefault="00CF3E70" w:rsidP="005C65CB">
            <w:pPr>
              <w:autoSpaceDE w:val="0"/>
              <w:autoSpaceDN w:val="0"/>
              <w:adjustRightInd w:val="0"/>
              <w:jc w:val="center"/>
              <w:rPr>
                <w:szCs w:val="24"/>
              </w:rPr>
            </w:pPr>
          </w:p>
        </w:tc>
        <w:tc>
          <w:tcPr>
            <w:tcW w:w="991" w:type="dxa"/>
            <w:vMerge/>
            <w:tcBorders>
              <w:left w:val="nil"/>
              <w:right w:val="nil"/>
            </w:tcBorders>
          </w:tcPr>
          <w:p w:rsidR="00CF3E70" w:rsidRPr="00DF4348" w:rsidRDefault="00CF3E70" w:rsidP="005C65CB">
            <w:pPr>
              <w:autoSpaceDE w:val="0"/>
              <w:autoSpaceDN w:val="0"/>
              <w:adjustRightInd w:val="0"/>
              <w:jc w:val="center"/>
              <w:rPr>
                <w:szCs w:val="24"/>
              </w:rPr>
            </w:pPr>
          </w:p>
        </w:tc>
        <w:tc>
          <w:tcPr>
            <w:tcW w:w="983" w:type="dxa"/>
            <w:vMerge/>
            <w:tcBorders>
              <w:left w:val="nil"/>
              <w:bottom w:val="single" w:sz="4" w:space="0" w:color="auto"/>
              <w:right w:val="nil"/>
            </w:tcBorders>
          </w:tcPr>
          <w:p w:rsidR="00CF3E70" w:rsidRPr="00DF4348" w:rsidRDefault="00CF3E70" w:rsidP="005C65CB">
            <w:pPr>
              <w:autoSpaceDE w:val="0"/>
              <w:autoSpaceDN w:val="0"/>
              <w:adjustRightInd w:val="0"/>
              <w:jc w:val="center"/>
              <w:rPr>
                <w:szCs w:val="24"/>
              </w:rPr>
            </w:pPr>
          </w:p>
        </w:tc>
        <w:tc>
          <w:tcPr>
            <w:tcW w:w="1065" w:type="dxa"/>
            <w:tcBorders>
              <w:left w:val="nil"/>
              <w:right w:val="nil"/>
            </w:tcBorders>
          </w:tcPr>
          <w:p w:rsidR="00CF3E70" w:rsidRPr="00DF4348" w:rsidRDefault="00CF3E70" w:rsidP="005C65CB">
            <w:pPr>
              <w:autoSpaceDE w:val="0"/>
              <w:autoSpaceDN w:val="0"/>
              <w:adjustRightInd w:val="0"/>
              <w:jc w:val="center"/>
              <w:rPr>
                <w:szCs w:val="24"/>
              </w:rPr>
            </w:pPr>
            <w:r w:rsidRPr="00DF4348">
              <w:rPr>
                <w:szCs w:val="24"/>
              </w:rPr>
              <w:t>Lower Bound</w:t>
            </w:r>
          </w:p>
        </w:tc>
        <w:tc>
          <w:tcPr>
            <w:tcW w:w="1065" w:type="dxa"/>
            <w:tcBorders>
              <w:left w:val="nil"/>
              <w:bottom w:val="single" w:sz="4" w:space="0" w:color="auto"/>
              <w:right w:val="nil"/>
            </w:tcBorders>
          </w:tcPr>
          <w:p w:rsidR="00CF3E70" w:rsidRPr="00DF4348" w:rsidRDefault="00CF3E70" w:rsidP="005C65CB">
            <w:pPr>
              <w:autoSpaceDE w:val="0"/>
              <w:autoSpaceDN w:val="0"/>
              <w:adjustRightInd w:val="0"/>
              <w:jc w:val="center"/>
              <w:rPr>
                <w:szCs w:val="24"/>
              </w:rPr>
            </w:pPr>
            <w:r w:rsidRPr="00DF4348">
              <w:rPr>
                <w:szCs w:val="24"/>
              </w:rPr>
              <w:t>Upper Bound</w:t>
            </w:r>
          </w:p>
        </w:tc>
      </w:tr>
      <w:tr w:rsidR="00CF3E70" w:rsidRPr="00DF4348" w:rsidTr="005C65CB">
        <w:tc>
          <w:tcPr>
            <w:tcW w:w="1008" w:type="dxa"/>
            <w:vMerge/>
            <w:tcBorders>
              <w:left w:val="nil"/>
              <w:bottom w:val="nil"/>
              <w:right w:val="nil"/>
            </w:tcBorders>
          </w:tcPr>
          <w:p w:rsidR="00CF3E70" w:rsidRPr="00DF4348" w:rsidRDefault="00CF3E70" w:rsidP="005C65CB">
            <w:pPr>
              <w:autoSpaceDE w:val="0"/>
              <w:autoSpaceDN w:val="0"/>
              <w:adjustRightInd w:val="0"/>
              <w:rPr>
                <w:szCs w:val="24"/>
              </w:rPr>
            </w:pPr>
          </w:p>
        </w:tc>
        <w:tc>
          <w:tcPr>
            <w:tcW w:w="1486" w:type="dxa"/>
            <w:vMerge w:val="restart"/>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Assimilation</w:t>
            </w:r>
          </w:p>
        </w:tc>
        <w:tc>
          <w:tcPr>
            <w:tcW w:w="1749"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Marginalization</w:t>
            </w:r>
          </w:p>
        </w:tc>
        <w:tc>
          <w:tcPr>
            <w:tcW w:w="1229"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.02</w:t>
            </w:r>
          </w:p>
        </w:tc>
        <w:tc>
          <w:tcPr>
            <w:tcW w:w="991"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.22</w:t>
            </w:r>
          </w:p>
        </w:tc>
        <w:tc>
          <w:tcPr>
            <w:tcW w:w="983"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.92</w:t>
            </w:r>
          </w:p>
        </w:tc>
        <w:tc>
          <w:tcPr>
            <w:tcW w:w="1065"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-.41</w:t>
            </w:r>
          </w:p>
        </w:tc>
        <w:tc>
          <w:tcPr>
            <w:tcW w:w="1065" w:type="dxa"/>
            <w:tcBorders>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.46</w:t>
            </w:r>
          </w:p>
        </w:tc>
      </w:tr>
      <w:tr w:rsidR="00CF3E70" w:rsidRPr="00DF4348" w:rsidTr="005C65CB">
        <w:tc>
          <w:tcPr>
            <w:tcW w:w="1008" w:type="dxa"/>
            <w:vMerge/>
            <w:tcBorders>
              <w:top w:val="nil"/>
              <w:left w:val="nil"/>
              <w:right w:val="nil"/>
            </w:tcBorders>
          </w:tcPr>
          <w:p w:rsidR="00CF3E70" w:rsidRPr="00DF4348" w:rsidRDefault="00CF3E70" w:rsidP="005C65CB">
            <w:pPr>
              <w:autoSpaceDE w:val="0"/>
              <w:autoSpaceDN w:val="0"/>
              <w:adjustRightInd w:val="0"/>
              <w:rPr>
                <w:szCs w:val="24"/>
              </w:rPr>
            </w:pPr>
          </w:p>
        </w:tc>
        <w:tc>
          <w:tcPr>
            <w:tcW w:w="1486" w:type="dxa"/>
            <w:vMerge/>
            <w:tcBorders>
              <w:top w:val="nil"/>
              <w:left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Integration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.34</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.15</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.03</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.04</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.64</w:t>
            </w:r>
          </w:p>
        </w:tc>
      </w:tr>
      <w:tr w:rsidR="00CF3E70" w:rsidRPr="00DF4348" w:rsidTr="005C65CB">
        <w:tc>
          <w:tcPr>
            <w:tcW w:w="1008" w:type="dxa"/>
            <w:vMerge/>
            <w:tcBorders>
              <w:left w:val="nil"/>
              <w:bottom w:val="nil"/>
              <w:right w:val="nil"/>
            </w:tcBorders>
          </w:tcPr>
          <w:p w:rsidR="00CF3E70" w:rsidRPr="00DF4348" w:rsidRDefault="00CF3E70" w:rsidP="005C65CB">
            <w:pPr>
              <w:autoSpaceDE w:val="0"/>
              <w:autoSpaceDN w:val="0"/>
              <w:adjustRightInd w:val="0"/>
              <w:rPr>
                <w:szCs w:val="24"/>
              </w:rPr>
            </w:pPr>
          </w:p>
        </w:tc>
        <w:tc>
          <w:tcPr>
            <w:tcW w:w="1486" w:type="dxa"/>
            <w:vMerge/>
            <w:tcBorders>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Separation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.31</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.16</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.05</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-.00</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.62</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Marginalization</w:t>
            </w: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Integration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.32</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.18</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.08</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-.04</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.68</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Assimilation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.28</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.19</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.13</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-.08</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.65</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Separation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-.02</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.22</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.92</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-.46</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.41</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Integration</w:t>
            </w: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Marginalization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-.32</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.18</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.08</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-.68</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.03</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Separation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-.03</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.09</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.71</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-.22</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.15</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Assimilation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-.34</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.15</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.03</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-.64</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-.04</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Separation</w:t>
            </w: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Marginalization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-.28</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.19</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.13</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-.65</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.08</w:t>
            </w:r>
          </w:p>
        </w:tc>
      </w:tr>
      <w:tr w:rsidR="00CF3E70" w:rsidRPr="00DF4348" w:rsidTr="005C65CB">
        <w:tc>
          <w:tcPr>
            <w:tcW w:w="1008" w:type="dxa"/>
            <w:tcBorders>
              <w:top w:val="nil"/>
              <w:left w:val="nil"/>
              <w:bottom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nil"/>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Integration</w:t>
            </w:r>
          </w:p>
        </w:tc>
        <w:tc>
          <w:tcPr>
            <w:tcW w:w="1229"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.03</w:t>
            </w:r>
          </w:p>
        </w:tc>
        <w:tc>
          <w:tcPr>
            <w:tcW w:w="991"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.09</w:t>
            </w:r>
          </w:p>
        </w:tc>
        <w:tc>
          <w:tcPr>
            <w:tcW w:w="983"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.71</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-.15</w:t>
            </w:r>
          </w:p>
        </w:tc>
        <w:tc>
          <w:tcPr>
            <w:tcW w:w="1065" w:type="dxa"/>
            <w:tcBorders>
              <w:top w:val="nil"/>
              <w:left w:val="nil"/>
              <w:bottom w:val="nil"/>
              <w:right w:val="nil"/>
            </w:tcBorders>
          </w:tcPr>
          <w:p w:rsidR="00CF3E70" w:rsidRPr="00DF4348" w:rsidRDefault="00CF3E70" w:rsidP="005C65CB">
            <w:pPr>
              <w:autoSpaceDE w:val="0"/>
              <w:autoSpaceDN w:val="0"/>
              <w:adjustRightInd w:val="0"/>
              <w:jc w:val="center"/>
              <w:rPr>
                <w:szCs w:val="24"/>
              </w:rPr>
            </w:pPr>
            <w:r w:rsidRPr="00DF4348">
              <w:rPr>
                <w:szCs w:val="24"/>
              </w:rPr>
              <w:t>.22</w:t>
            </w:r>
          </w:p>
        </w:tc>
      </w:tr>
      <w:tr w:rsidR="00CF3E70" w:rsidRPr="00DF4348" w:rsidTr="005C65CB">
        <w:tc>
          <w:tcPr>
            <w:tcW w:w="1008" w:type="dxa"/>
            <w:tcBorders>
              <w:top w:val="nil"/>
              <w:left w:val="nil"/>
              <w:right w:val="nil"/>
            </w:tcBorders>
          </w:tcPr>
          <w:p w:rsidR="00CF3E70" w:rsidRPr="00DF4348" w:rsidRDefault="00CF3E70" w:rsidP="005C65CB">
            <w:pPr>
              <w:autoSpaceDE w:val="0"/>
              <w:autoSpaceDN w:val="0"/>
              <w:adjustRightInd w:val="0"/>
              <w:rPr>
                <w:szCs w:val="24"/>
              </w:rPr>
            </w:pPr>
          </w:p>
        </w:tc>
        <w:tc>
          <w:tcPr>
            <w:tcW w:w="1486" w:type="dxa"/>
            <w:tcBorders>
              <w:top w:val="nil"/>
              <w:left w:val="nil"/>
              <w:bottom w:val="single" w:sz="4" w:space="0" w:color="auto"/>
              <w:right w:val="nil"/>
            </w:tcBorders>
          </w:tcPr>
          <w:p w:rsidR="00CF3E70" w:rsidRPr="00DF4348" w:rsidRDefault="00CF3E70" w:rsidP="005C65CB">
            <w:pPr>
              <w:autoSpaceDE w:val="0"/>
              <w:autoSpaceDN w:val="0"/>
              <w:adjustRightInd w:val="0"/>
              <w:jc w:val="center"/>
              <w:rPr>
                <w:szCs w:val="24"/>
              </w:rPr>
            </w:pPr>
          </w:p>
        </w:tc>
        <w:tc>
          <w:tcPr>
            <w:tcW w:w="1749"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Assimilation</w:t>
            </w:r>
          </w:p>
        </w:tc>
        <w:tc>
          <w:tcPr>
            <w:tcW w:w="1229"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-.31</w:t>
            </w:r>
          </w:p>
        </w:tc>
        <w:tc>
          <w:tcPr>
            <w:tcW w:w="991"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.16</w:t>
            </w:r>
          </w:p>
        </w:tc>
        <w:tc>
          <w:tcPr>
            <w:tcW w:w="983"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.05</w:t>
            </w:r>
          </w:p>
        </w:tc>
        <w:tc>
          <w:tcPr>
            <w:tcW w:w="1065"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-.62</w:t>
            </w:r>
          </w:p>
        </w:tc>
        <w:tc>
          <w:tcPr>
            <w:tcW w:w="1065" w:type="dxa"/>
            <w:tcBorders>
              <w:top w:val="nil"/>
              <w:left w:val="nil"/>
              <w:right w:val="nil"/>
            </w:tcBorders>
          </w:tcPr>
          <w:p w:rsidR="00CF3E70" w:rsidRPr="00DF4348" w:rsidRDefault="00CF3E70" w:rsidP="005C65CB">
            <w:pPr>
              <w:autoSpaceDE w:val="0"/>
              <w:autoSpaceDN w:val="0"/>
              <w:adjustRightInd w:val="0"/>
              <w:jc w:val="center"/>
              <w:rPr>
                <w:szCs w:val="24"/>
              </w:rPr>
            </w:pPr>
            <w:r w:rsidRPr="00DF4348">
              <w:rPr>
                <w:szCs w:val="24"/>
              </w:rPr>
              <w:t>.00</w:t>
            </w:r>
          </w:p>
        </w:tc>
      </w:tr>
    </w:tbl>
    <w:p w:rsidR="00CF3E70" w:rsidRPr="00DF4348" w:rsidRDefault="00CF3E70" w:rsidP="00CF3E70">
      <w:pPr>
        <w:autoSpaceDE w:val="0"/>
        <w:autoSpaceDN w:val="0"/>
        <w:adjustRightInd w:val="0"/>
        <w:spacing w:after="0"/>
        <w:rPr>
          <w:rFonts w:cs="Times New Roman"/>
          <w:szCs w:val="24"/>
        </w:rPr>
      </w:pPr>
    </w:p>
    <w:p w:rsidR="00CF3E70" w:rsidRPr="00590E0B" w:rsidRDefault="00CF3E70" w:rsidP="00CF3E70">
      <w:pPr>
        <w:autoSpaceDE w:val="0"/>
        <w:autoSpaceDN w:val="0"/>
        <w:adjustRightInd w:val="0"/>
        <w:spacing w:after="0"/>
        <w:rPr>
          <w:rFonts w:cs="Times New Roman"/>
          <w:szCs w:val="24"/>
        </w:rPr>
      </w:pPr>
      <w:r w:rsidRPr="00590E0B">
        <w:rPr>
          <w:rFonts w:cs="Times New Roman"/>
          <w:szCs w:val="24"/>
        </w:rPr>
        <w:t>Based on observed means</w:t>
      </w:r>
    </w:p>
    <w:p w:rsidR="00CF3E70" w:rsidRPr="00590E0B" w:rsidRDefault="00CF3E70" w:rsidP="00CF3E70">
      <w:pPr>
        <w:autoSpaceDE w:val="0"/>
        <w:autoSpaceDN w:val="0"/>
        <w:adjustRightInd w:val="0"/>
        <w:spacing w:after="0"/>
        <w:rPr>
          <w:rFonts w:cs="Times New Roman"/>
          <w:szCs w:val="24"/>
        </w:rPr>
      </w:pPr>
      <w:r w:rsidRPr="00590E0B">
        <w:rPr>
          <w:rFonts w:cs="Times New Roman"/>
          <w:szCs w:val="24"/>
        </w:rPr>
        <w:t>The error term is mean Square (Error) = .174.</w:t>
      </w:r>
    </w:p>
    <w:p w:rsidR="00CF3E70" w:rsidRPr="00590E0B" w:rsidRDefault="00CF3E70" w:rsidP="00CF3E70">
      <w:pPr>
        <w:autoSpaceDE w:val="0"/>
        <w:autoSpaceDN w:val="0"/>
        <w:adjustRightInd w:val="0"/>
        <w:spacing w:after="0"/>
        <w:rPr>
          <w:rFonts w:cs="Times New Roman"/>
          <w:szCs w:val="24"/>
        </w:rPr>
      </w:pPr>
      <w:r>
        <w:rPr>
          <w:rFonts w:cs="Times New Roman"/>
          <w:szCs w:val="24"/>
        </w:rPr>
        <w:t>*</w:t>
      </w:r>
      <w:r w:rsidRPr="00590E0B">
        <w:rPr>
          <w:rFonts w:cs="Times New Roman"/>
          <w:szCs w:val="24"/>
        </w:rPr>
        <w:t xml:space="preserve"> The mean difference is significant at the .05 level.</w:t>
      </w:r>
    </w:p>
    <w:p w:rsidR="00EB1663" w:rsidRDefault="00CF3E70">
      <w:bookmarkStart w:id="0" w:name="_GoBack"/>
      <w:bookmarkEnd w:id="0"/>
    </w:p>
    <w:sectPr w:rsidR="00EB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E7"/>
    <w:rsid w:val="00036BC1"/>
    <w:rsid w:val="000E48E7"/>
    <w:rsid w:val="005A7C9C"/>
    <w:rsid w:val="009368D2"/>
    <w:rsid w:val="00CF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FCC38-7A88-4965-B121-11B6F23E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E70"/>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E70"/>
    <w:pPr>
      <w:spacing w:after="0" w:line="240" w:lineRule="auto"/>
    </w:pPr>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dc:creator>
  <cp:keywords/>
  <dc:description/>
  <cp:lastModifiedBy>Jason Li</cp:lastModifiedBy>
  <cp:revision>2</cp:revision>
  <dcterms:created xsi:type="dcterms:W3CDTF">2015-09-29T16:04:00Z</dcterms:created>
  <dcterms:modified xsi:type="dcterms:W3CDTF">2015-09-29T16:04:00Z</dcterms:modified>
</cp:coreProperties>
</file>