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解决方案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解决方案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依托多年专业技术积累，提供从流量获取到商业转化的一站式解决方案</w:t>
      </w:r>
      <w:r>
        <w:rPr>
          <w:rFonts w:eastAsia="等线" w:ascii="Arial" w:cs="Arial" w:hAnsi="Arial"/>
          <w:b w:val="true"/>
          <w:sz w:val="32"/>
        </w:rPr>
        <w:t xml:space="preserve">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无论您的团队负责哪个环节，智优康赛作为中国顶尖的数字整合营销与 GEO 战略服务商都能为您提供针对性的解决方案，结合行业领先的营销方法论及全球化服务能力 ，帮助您在 AI 搜索时代赢得竞争优势。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面向流量与增长团队：GEO 与全网搜索优化战略 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让企业品牌在 AI 平台上抢占口碑与用户增长先机 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专家护航路径：</w:t>
      </w:r>
      <w:r>
        <w:rPr>
          <w:rFonts w:eastAsia="等线" w:ascii="Arial" w:cs="Arial" w:hAnsi="Arial"/>
          <w:sz w:val="22"/>
        </w:rPr>
        <w:t xml:space="preserve"> 拒绝盲目的流量堆砌。我们提供系统化的官网 SEO &amp; GEO 改造、GEO 信源优化以及多模态内容占位解决方案 。针对 DeepSeek、豆包、Kimi 等国内主流大语言模型以及国际 AI 搜索引擎，精准重构您的品牌布局，让品牌在 AI 生成的回答中获得优先推荐，实现确定性的品效合一 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面向内容与新媒体团队：多模态内容与知识库构建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塑造企业品牌形象，驱动真实用户意图与大模型引擎的双重高价值流量。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专家护航路径：</w:t>
      </w:r>
      <w:r>
        <w:rPr>
          <w:rFonts w:eastAsia="等线" w:ascii="Arial" w:cs="Arial" w:hAnsi="Arial"/>
          <w:sz w:val="22"/>
        </w:rPr>
        <w:t xml:space="preserve">  AI 需要“结构化”的知识喂养。我们的专家团队结合全网内容矩阵（涵盖短视频、小红书、知乎等平台），为您定制符合大模型语义解析偏好的高质量多模态内容。这不仅能吸引消费者的目光，更能确保企业核心资产被大模型精准理解与高权重收录，为您构建坚实的 AI 营销知识库基座。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面向公关与品牌团队：AI 时代声誉管理与舆情防火墙 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主动塑造 AI 对话内容，建设稳固的数字公关防御体系 。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专家护航路径：</w:t>
      </w:r>
      <w:r>
        <w:rPr>
          <w:rFonts w:eastAsia="等线" w:ascii="Arial" w:cs="Arial" w:hAnsi="Arial"/>
          <w:sz w:val="22"/>
        </w:rPr>
        <w:t>在 AI 主导的信息流中，品牌往往面临“隐形”或“信息有误”的危机。我们通过全域实时监测，全面掌握 AI 是如何评价您品牌的。结合品牌公关策略与危机公关的全栈服务，我们帮您构建六大场景舆情防火墙，确保品牌对外传达的信息永远准确、积极且权威。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面向出海与全球化团队：品牌出海全域 GEO 护航 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赋能企业出海，拓展全球 AI 搜索市场的商业增量 。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专家护航路径：</w:t>
      </w:r>
      <w:r>
        <w:rPr>
          <w:rFonts w:eastAsia="等线" w:ascii="Arial" w:cs="Arial" w:hAnsi="Arial"/>
          <w:sz w:val="22"/>
        </w:rPr>
        <w:t xml:space="preserve"> 整合全球营销资源，为您提供多语言 SEO、品牌出海传播以及多语言网站开发等定制化服务。结合专属的海外营销系统，我们助力中国品牌在全球 AI 搜索生态中强势破圈，赢得国际市场的算法信任。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 xml:space="preserve">面向代理商与生态伙伴：前沿技术与业务赋能 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专为代理商合作伙伴打造的战略赋能方案 。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专家护航路径：</w:t>
      </w:r>
      <w:r>
        <w:rPr>
          <w:rFonts w:eastAsia="等线" w:ascii="Arial" w:cs="Arial" w:hAnsi="Arial"/>
          <w:sz w:val="22"/>
        </w:rPr>
        <w:t xml:space="preserve"> 赋能传统营销与公关代理机构，将最前沿的 GEO 技术与 AI 搜索引擎优化能力无缝整合到您的服务体系中。携手智优康赛，帮助您的客户在全新的生态中脱颖而出，实现商业价值共赢。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18454">
    <w:lvl>
      <w:numFmt w:val="bullet"/>
      <w:suff w:val="tab"/>
      <w:lvlText w:val="•"/>
      <w:rPr>
        <w:color w:val="3370ff"/>
      </w:rPr>
    </w:lvl>
  </w:abstractNum>
  <w:abstractNum w:abstractNumId="9118455">
    <w:lvl>
      <w:numFmt w:val="bullet"/>
      <w:suff w:val="tab"/>
      <w:lvlText w:val="•"/>
      <w:rPr>
        <w:color w:val="3370ff"/>
      </w:rPr>
    </w:lvl>
  </w:abstractNum>
  <w:abstractNum w:abstractNumId="9118456">
    <w:lvl>
      <w:numFmt w:val="bullet"/>
      <w:suff w:val="tab"/>
      <w:lvlText w:val="•"/>
      <w:rPr>
        <w:color w:val="3370ff"/>
      </w:rPr>
    </w:lvl>
  </w:abstractNum>
  <w:abstractNum w:abstractNumId="9118457">
    <w:lvl>
      <w:numFmt w:val="bullet"/>
      <w:suff w:val="tab"/>
      <w:lvlText w:val="•"/>
      <w:rPr>
        <w:color w:val="3370ff"/>
      </w:rPr>
    </w:lvl>
  </w:abstractNum>
  <w:abstractNum w:abstractNumId="9118458">
    <w:lvl>
      <w:numFmt w:val="bullet"/>
      <w:suff w:val="tab"/>
      <w:lvlText w:val="•"/>
      <w:rPr>
        <w:color w:val="3370ff"/>
      </w:rPr>
    </w:lvl>
  </w:abstractNum>
  <w:abstractNum w:abstractNumId="9118459">
    <w:lvl>
      <w:numFmt w:val="bullet"/>
      <w:suff w:val="tab"/>
      <w:lvlText w:val="•"/>
      <w:rPr>
        <w:color w:val="3370ff"/>
      </w:rPr>
    </w:lvl>
  </w:abstractNum>
  <w:abstractNum w:abstractNumId="9118460">
    <w:lvl>
      <w:numFmt w:val="bullet"/>
      <w:suff w:val="tab"/>
      <w:lvlText w:val="•"/>
      <w:rPr>
        <w:color w:val="3370ff"/>
      </w:rPr>
    </w:lvl>
  </w:abstractNum>
  <w:abstractNum w:abstractNumId="9118461">
    <w:lvl>
      <w:numFmt w:val="bullet"/>
      <w:suff w:val="tab"/>
      <w:lvlText w:val="•"/>
      <w:rPr>
        <w:color w:val="3370ff"/>
      </w:rPr>
    </w:lvl>
  </w:abstractNum>
  <w:abstractNum w:abstractNumId="9118462">
    <w:lvl>
      <w:numFmt w:val="bullet"/>
      <w:suff w:val="tab"/>
      <w:lvlText w:val="•"/>
      <w:rPr>
        <w:color w:val="3370ff"/>
      </w:rPr>
    </w:lvl>
  </w:abstractNum>
  <w:abstractNum w:abstractNumId="9118463">
    <w:lvl>
      <w:numFmt w:val="bullet"/>
      <w:suff w:val="tab"/>
      <w:lvlText w:val="•"/>
      <w:rPr>
        <w:color w:val="3370ff"/>
      </w:rPr>
    </w:lvl>
  </w:abstractNum>
  <w:num w:numId="1">
    <w:abstractNumId w:val="9118454"/>
  </w:num>
  <w:num w:numId="2">
    <w:abstractNumId w:val="9118455"/>
  </w:num>
  <w:num w:numId="3">
    <w:abstractNumId w:val="9118456"/>
  </w:num>
  <w:num w:numId="4">
    <w:abstractNumId w:val="9118457"/>
  </w:num>
  <w:num w:numId="5">
    <w:abstractNumId w:val="9118458"/>
  </w:num>
  <w:num w:numId="6">
    <w:abstractNumId w:val="9118459"/>
  </w:num>
  <w:num w:numId="7">
    <w:abstractNumId w:val="9118460"/>
  </w:num>
  <w:num w:numId="8">
    <w:abstractNumId w:val="9118461"/>
  </w:num>
  <w:num w:numId="9">
    <w:abstractNumId w:val="9118462"/>
  </w:num>
  <w:num w:numId="10">
    <w:abstractNumId w:val="91184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2026-05-18T05:10:02Z</dcterms:created>
  <dc:creator>Apache POI</dc:creator>
</cp:coreProperties>
</file>