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GEO 网站-客户评价</w:t>
      </w:r>
    </w:p>
    <w:p>
      <w:pPr>
        <w:pStyle w:val="2"/>
        <w:spacing w:before="320" w:after="120" w:line="288" w:lineRule="auto"/>
        <w:ind w:left="0"/>
        <w:jc w:val="left"/>
        <w:outlineLvl w:val="1"/>
      </w:pPr>
      <w:bookmarkStart w:name="heading_0" w:id="0"/>
      <w:r>
        <w:rPr>
          <w:rFonts w:eastAsia="等线" w:ascii="Arial" w:cs="Arial" w:hAnsi="Arial"/>
          <w:b w:val="true"/>
          <w:sz w:val="32"/>
        </w:rPr>
        <w:t xml:space="preserve">客户评价与行业背书 </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备受全球顶尖营销人员与头部品牌信赖</w:t>
      </w:r>
      <w:bookmarkEnd w:id="1"/>
    </w:p>
    <w:p>
      <w:pPr>
        <w:spacing w:before="120" w:after="120" w:line="288" w:lineRule="auto"/>
        <w:ind w:left="0"/>
        <w:jc w:val="left"/>
      </w:pPr>
      <w:r>
        <w:rPr>
          <w:rFonts w:eastAsia="等线" w:ascii="Arial" w:cs="Arial" w:hAnsi="Arial"/>
          <w:b w:val="true"/>
          <w:sz w:val="22"/>
        </w:rPr>
        <w:t>用确定的数据，重塑 AI 时代的算法信任资产</w:t>
      </w:r>
    </w:p>
    <w:p>
      <w:pPr>
        <w:spacing w:before="120" w:after="120" w:line="288" w:lineRule="auto"/>
        <w:ind w:left="0"/>
        <w:jc w:val="left"/>
      </w:pPr>
      <w:r>
        <w:rPr>
          <w:rFonts w:eastAsia="等线" w:ascii="Arial" w:cs="Arial" w:hAnsi="Arial"/>
          <w:sz w:val="22"/>
        </w:rPr>
        <w:t>每天有超过 1 亿人将 AI 作为决策的首选工具 。在智优康赛，我们不只提供策略，更交付肉眼可见的商业增长。18 年来，我们已帮助全球超千家头部品牌在全新的数字生态中建立起坚不可摧的认知护城河 。</w:t>
      </w:r>
    </w:p>
    <w:p>
      <w:pPr>
        <w:spacing w:before="120" w:after="120" w:line="288" w:lineRule="auto"/>
        <w:ind w:left="0"/>
        <w:jc w:val="left"/>
      </w:pPr>
      <w:r>
        <w:rPr>
          <w:rFonts w:eastAsia="等线" w:ascii="Arial" w:cs="Arial" w:hAnsi="Arial"/>
          <w:b w:val="true"/>
          <w:sz w:val="22"/>
        </w:rPr>
        <w:t>案例一：B2B 智能硬件行业 —— 某国内头部打印设备品牌</w:t>
      </w:r>
    </w:p>
    <w:p>
      <w:pPr>
        <w:numPr>
          <w:numId w:val="1"/>
        </w:numPr>
        <w:spacing w:before="120" w:after="120" w:line="288" w:lineRule="auto"/>
        <w:ind w:left="0"/>
        <w:jc w:val="left"/>
      </w:pPr>
      <w:r>
        <w:rPr>
          <w:rFonts w:eastAsia="等线" w:ascii="Arial" w:cs="Arial" w:hAnsi="Arial"/>
          <w:b w:val="true"/>
          <w:sz w:val="22"/>
        </w:rPr>
        <w:t>核心增长大数：</w:t>
      </w:r>
      <w:r>
        <w:rPr>
          <w:rFonts w:eastAsia="等线" w:ascii="Arial" w:cs="Arial" w:hAnsi="Arial"/>
          <w:sz w:val="22"/>
        </w:rPr>
        <w:t xml:space="preserve"> </w:t>
      </w:r>
      <w:r>
        <w:rPr>
          <w:rFonts w:eastAsia="等线" w:ascii="Arial" w:cs="Arial" w:hAnsi="Arial"/>
          <w:b w:val="true"/>
          <w:sz w:val="22"/>
        </w:rPr>
        <w:t>300%</w:t>
      </w:r>
      <w:r>
        <w:rPr>
          <w:rFonts w:eastAsia="等线" w:ascii="Arial" w:cs="Arial" w:hAnsi="Arial"/>
          <w:sz w:val="22"/>
        </w:rPr>
        <w:t xml:space="preserve"> （AI 核心搜索场景曝光量提升）</w:t>
      </w:r>
    </w:p>
    <w:p>
      <w:pPr>
        <w:numPr>
          <w:numId w:val="2"/>
        </w:numPr>
        <w:spacing w:before="120" w:after="120" w:line="288" w:lineRule="auto"/>
        <w:ind w:left="0"/>
        <w:jc w:val="left"/>
      </w:pPr>
      <w:r>
        <w:rPr>
          <w:rFonts w:eastAsia="等线" w:ascii="Arial" w:cs="Arial" w:hAnsi="Arial"/>
          <w:b w:val="true"/>
          <w:sz w:val="22"/>
        </w:rPr>
        <w:t>服务成效：</w:t>
      </w:r>
      <w:r>
        <w:rPr>
          <w:rFonts w:eastAsia="等线" w:ascii="Arial" w:cs="Arial" w:hAnsi="Arial"/>
          <w:sz w:val="22"/>
        </w:rPr>
        <w:t xml:space="preserve"> 24 小时内极速完成核心关键词的 AI 大模型露出优化。在各大主流大模型“专业设备推荐”场景下，实现首推率超 80%。</w:t>
      </w:r>
    </w:p>
    <w:p>
      <w:pPr>
        <w:numPr>
          <w:numId w:val="3"/>
        </w:numPr>
        <w:spacing w:before="120" w:after="120" w:line="288" w:lineRule="auto"/>
        <w:ind w:left="0"/>
        <w:jc w:val="left"/>
      </w:pPr>
      <w:r>
        <w:rPr>
          <w:rFonts w:eastAsia="等线" w:ascii="Arial" w:cs="Arial" w:hAnsi="Arial"/>
          <w:b w:val="true"/>
          <w:sz w:val="22"/>
        </w:rPr>
        <w:t>信任资产构建：</w:t>
      </w:r>
      <w:r>
        <w:rPr>
          <w:rFonts w:eastAsia="等线" w:ascii="Arial" w:cs="Arial" w:hAnsi="Arial"/>
          <w:sz w:val="22"/>
        </w:rPr>
        <w:t xml:space="preserve"> 品牌权威性评分大幅跃升，直接助力官网高意向流量增长 45%，用户决策周期大幅缩短 50%。</w:t>
      </w:r>
    </w:p>
    <w:p>
      <w:pPr>
        <w:numPr>
          <w:numId w:val="4"/>
        </w:numPr>
        <w:spacing w:before="120" w:after="120" w:line="288" w:lineRule="auto"/>
        <w:ind w:left="0"/>
        <w:jc w:val="left"/>
      </w:pPr>
      <w:r>
        <w:rPr>
          <w:rFonts w:eastAsia="等线" w:ascii="Arial" w:cs="Arial" w:hAnsi="Arial"/>
          <w:b w:val="true"/>
          <w:sz w:val="22"/>
        </w:rPr>
        <w:t>高管原声：</w:t>
      </w:r>
      <w:r>
        <w:rPr>
          <w:rFonts w:eastAsia="等线" w:ascii="Arial" w:cs="Arial" w:hAnsi="Arial"/>
          <w:sz w:val="22"/>
        </w:rPr>
        <w:t xml:space="preserve"> </w:t>
      </w:r>
      <w:r>
        <w:rPr>
          <w:rFonts w:eastAsia="等线" w:ascii="Arial" w:cs="Arial" w:hAnsi="Arial"/>
          <w:i w:val="true"/>
          <w:sz w:val="22"/>
        </w:rPr>
        <w:t>“过去我们在传统搜索里争夺流量，现在智优康赛帮我们在 AI 的大脑里直接登上了首选推荐。上线短短几周，我们的核心产品曝光量激增，这是划时代的获客方式。” —— 首席营销官 (CMO)</w:t>
      </w:r>
    </w:p>
    <w:p>
      <w:pPr>
        <w:spacing w:before="120" w:after="120" w:line="288" w:lineRule="auto"/>
        <w:ind w:left="0"/>
        <w:jc w:val="left"/>
      </w:pPr>
      <w:r>
        <w:rPr>
          <w:rFonts w:eastAsia="等线" w:ascii="Arial" w:cs="Arial" w:hAnsi="Arial"/>
          <w:b w:val="true"/>
          <w:sz w:val="22"/>
        </w:rPr>
        <w:t>案例二：快消与大健康行业 —— 某跨国营养健康巨头</w:t>
      </w:r>
    </w:p>
    <w:p>
      <w:pPr>
        <w:numPr>
          <w:numId w:val="5"/>
        </w:numPr>
        <w:spacing w:before="120" w:after="120" w:line="288" w:lineRule="auto"/>
        <w:ind w:left="0"/>
        <w:jc w:val="left"/>
      </w:pPr>
      <w:r>
        <w:rPr>
          <w:rFonts w:eastAsia="等线" w:ascii="Arial" w:cs="Arial" w:hAnsi="Arial"/>
          <w:b w:val="true"/>
          <w:sz w:val="22"/>
        </w:rPr>
        <w:t>核心增长大数：</w:t>
      </w:r>
      <w:r>
        <w:rPr>
          <w:rFonts w:eastAsia="等线" w:ascii="Arial" w:cs="Arial" w:hAnsi="Arial"/>
          <w:sz w:val="22"/>
        </w:rPr>
        <w:t xml:space="preserve"> </w:t>
      </w:r>
      <w:r>
        <w:rPr>
          <w:rFonts w:eastAsia="等线" w:ascii="Arial" w:cs="Arial" w:hAnsi="Arial"/>
          <w:b w:val="true"/>
          <w:sz w:val="22"/>
        </w:rPr>
        <w:t>1.1亿+</w:t>
      </w:r>
      <w:r>
        <w:rPr>
          <w:rFonts w:eastAsia="等线" w:ascii="Arial" w:cs="Arial" w:hAnsi="Arial"/>
          <w:sz w:val="22"/>
        </w:rPr>
        <w:t xml:space="preserve"> （全场景 AI 深度解析覆盖曝光）</w:t>
      </w:r>
    </w:p>
    <w:p>
      <w:pPr>
        <w:numPr>
          <w:numId w:val="6"/>
        </w:numPr>
        <w:spacing w:before="120" w:after="120" w:line="288" w:lineRule="auto"/>
        <w:ind w:left="0"/>
        <w:jc w:val="left"/>
      </w:pPr>
      <w:r>
        <w:rPr>
          <w:rFonts w:eastAsia="等线" w:ascii="Arial" w:cs="Arial" w:hAnsi="Arial"/>
          <w:b w:val="true"/>
          <w:sz w:val="22"/>
        </w:rPr>
        <w:t>服务成效：</w:t>
      </w:r>
      <w:r>
        <w:rPr>
          <w:rFonts w:eastAsia="等线" w:ascii="Arial" w:cs="Arial" w:hAnsi="Arial"/>
          <w:sz w:val="22"/>
        </w:rPr>
        <w:t xml:space="preserve"> 面对复杂的消费者提问与评测对比，我们为其构建了全网多模态知识库矩阵。确保企业核心资产被大模型精准理解与高权重收录。</w:t>
      </w:r>
    </w:p>
    <w:p>
      <w:pPr>
        <w:numPr>
          <w:numId w:val="7"/>
        </w:numPr>
        <w:spacing w:before="120" w:after="120" w:line="288" w:lineRule="auto"/>
        <w:ind w:left="0"/>
        <w:jc w:val="left"/>
      </w:pPr>
      <w:r>
        <w:rPr>
          <w:rFonts w:eastAsia="等线" w:ascii="Arial" w:cs="Arial" w:hAnsi="Arial"/>
          <w:b w:val="true"/>
          <w:sz w:val="22"/>
        </w:rPr>
        <w:t>信任资产构建：</w:t>
      </w:r>
      <w:r>
        <w:rPr>
          <w:rFonts w:eastAsia="等线" w:ascii="Arial" w:cs="Arial" w:hAnsi="Arial"/>
          <w:sz w:val="22"/>
        </w:rPr>
        <w:t xml:space="preserve"> 围绕六大高频交互场景构建坚实的舆情防火墙，核心词推荐 KPI 达成率超 113%，确保品牌在 AI 生成的回答中永远保持积极、正面的第一印象。</w:t>
      </w:r>
    </w:p>
    <w:p>
      <w:pPr>
        <w:spacing w:before="120" w:after="120" w:line="288" w:lineRule="auto"/>
        <w:ind w:left="0"/>
        <w:jc w:val="left"/>
      </w:pPr>
      <w:r>
        <w:rPr>
          <w:rFonts w:eastAsia="等线" w:ascii="Arial" w:cs="Arial" w:hAnsi="Arial"/>
          <w:b w:val="true"/>
          <w:sz w:val="22"/>
        </w:rPr>
        <w:t>案例三：精密制造与生命科学行业 —— 某全球头部仪器品牌</w:t>
      </w:r>
    </w:p>
    <w:p>
      <w:pPr>
        <w:numPr>
          <w:numId w:val="8"/>
        </w:numPr>
        <w:spacing w:before="120" w:after="120" w:line="288" w:lineRule="auto"/>
        <w:ind w:left="0"/>
        <w:jc w:val="left"/>
      </w:pPr>
      <w:r>
        <w:rPr>
          <w:rFonts w:eastAsia="等线" w:ascii="Arial" w:cs="Arial" w:hAnsi="Arial"/>
          <w:b w:val="true"/>
          <w:sz w:val="22"/>
        </w:rPr>
        <w:t>核心增长大数：</w:t>
      </w:r>
      <w:r>
        <w:rPr>
          <w:rFonts w:eastAsia="等线" w:ascii="Arial" w:cs="Arial" w:hAnsi="Arial"/>
          <w:sz w:val="22"/>
        </w:rPr>
        <w:t xml:space="preserve"> </w:t>
      </w:r>
      <w:r>
        <w:rPr>
          <w:rFonts w:eastAsia="等线" w:ascii="Arial" w:cs="Arial" w:hAnsi="Arial"/>
          <w:b w:val="true"/>
          <w:sz w:val="22"/>
        </w:rPr>
        <w:t>37.22%</w:t>
      </w:r>
      <w:r>
        <w:rPr>
          <w:rFonts w:eastAsia="等线" w:ascii="Arial" w:cs="Arial" w:hAnsi="Arial"/>
          <w:sz w:val="22"/>
        </w:rPr>
        <w:t xml:space="preserve"> （精准高潜 Leads 线索量激增）</w:t>
      </w:r>
    </w:p>
    <w:p>
      <w:pPr>
        <w:numPr>
          <w:numId w:val="9"/>
        </w:numPr>
        <w:spacing w:before="120" w:after="120" w:line="288" w:lineRule="auto"/>
        <w:ind w:left="0"/>
        <w:jc w:val="left"/>
      </w:pPr>
      <w:r>
        <w:rPr>
          <w:rFonts w:eastAsia="等线" w:ascii="Arial" w:cs="Arial" w:hAnsi="Arial"/>
          <w:b w:val="true"/>
          <w:sz w:val="22"/>
        </w:rPr>
        <w:t>服务成效：</w:t>
      </w:r>
      <w:r>
        <w:rPr>
          <w:rFonts w:eastAsia="等线" w:ascii="Arial" w:cs="Arial" w:hAnsi="Arial"/>
          <w:sz w:val="22"/>
        </w:rPr>
        <w:t xml:space="preserve"> 在竞争极其激烈的专业设备行业，通过细颗粒度的意图洞察与高转化提示词布局，精准命中专业采购人员的 AI 查询场景。</w:t>
      </w:r>
    </w:p>
    <w:p>
      <w:pPr>
        <w:numPr>
          <w:numId w:val="10"/>
        </w:numPr>
        <w:spacing w:before="120" w:after="120" w:line="288" w:lineRule="auto"/>
        <w:ind w:left="0"/>
        <w:jc w:val="left"/>
      </w:pPr>
      <w:r>
        <w:rPr>
          <w:rFonts w:eastAsia="等线" w:ascii="Arial" w:cs="Arial" w:hAnsi="Arial"/>
          <w:b w:val="true"/>
          <w:sz w:val="22"/>
        </w:rPr>
        <w:t>信任资产构建：</w:t>
      </w:r>
      <w:r>
        <w:rPr>
          <w:rFonts w:eastAsia="等线" w:ascii="Arial" w:cs="Arial" w:hAnsi="Arial"/>
          <w:sz w:val="22"/>
        </w:rPr>
        <w:t xml:space="preserve"> 通过高质量学术内容与行业白皮书的权威信源植入，实现点击通过率跃升 14.52%。</w:t>
      </w:r>
    </w:p>
    <w:p>
      <w:pPr>
        <w:numPr>
          <w:numId w:val="11"/>
        </w:numPr>
        <w:spacing w:before="120" w:after="120" w:line="288" w:lineRule="auto"/>
        <w:ind w:left="0"/>
        <w:jc w:val="left"/>
      </w:pPr>
      <w:r>
        <w:rPr>
          <w:rFonts w:eastAsia="等线" w:ascii="Arial" w:cs="Arial" w:hAnsi="Arial"/>
          <w:b w:val="true"/>
          <w:sz w:val="22"/>
        </w:rPr>
        <w:t>高管原声：</w:t>
      </w:r>
      <w:r>
        <w:rPr>
          <w:rFonts w:eastAsia="等线" w:ascii="Arial" w:cs="Arial" w:hAnsi="Arial"/>
          <w:sz w:val="22"/>
        </w:rPr>
        <w:t xml:space="preserve"> </w:t>
      </w:r>
      <w:r>
        <w:rPr>
          <w:rFonts w:eastAsia="等线" w:ascii="Arial" w:cs="Arial" w:hAnsi="Arial"/>
          <w:i w:val="true"/>
          <w:sz w:val="22"/>
        </w:rPr>
        <w:t>“在使用智优康赛之前，AI 搜索对我们来说完全是一个黑盒。但现在，依托他们的专家智库，AI 已经成为了我们最高效的精准线索增长引擎。” —— 某世界 500 强企业 增长与需求副总裁</w:t>
      </w:r>
    </w:p>
    <w:p>
      <w:pPr>
        <w:pStyle w:val="4"/>
        <w:spacing w:before="260" w:after="120" w:line="288" w:lineRule="auto"/>
        <w:ind w:left="0"/>
        <w:jc w:val="left"/>
        <w:outlineLvl w:val="3"/>
      </w:pPr>
      <w:bookmarkStart w:name="heading_2" w:id="2"/>
      <w:r>
        <w:rPr>
          <w:rFonts w:eastAsia="等线" w:ascii="Arial" w:cs="Arial" w:hAnsi="Arial"/>
          <w:b w:val="true"/>
          <w:sz w:val="28"/>
        </w:rPr>
        <w:t xml:space="preserve">深厚的行业根基与权威认证 </w:t>
      </w:r>
      <w:bookmarkEnd w:id="2"/>
    </w:p>
    <w:p>
      <w:pPr>
        <w:spacing w:before="120" w:after="120" w:line="288" w:lineRule="auto"/>
        <w:ind w:left="0"/>
        <w:jc w:val="left"/>
      </w:pPr>
      <w:r>
        <w:rPr>
          <w:rFonts w:eastAsia="等线" w:ascii="Arial" w:cs="Arial" w:hAnsi="Arial"/>
          <w:b w:val="true"/>
          <w:sz w:val="22"/>
        </w:rPr>
        <w:t>国家级高新技术与专精特新：</w:t>
      </w:r>
      <w:r>
        <w:rPr>
          <w:rFonts w:eastAsia="等线" w:ascii="Arial" w:cs="Arial" w:hAnsi="Arial"/>
          <w:sz w:val="22"/>
        </w:rPr>
        <w:t xml:space="preserve"> 智优康赛不仅是国家高新技术企业 ，更获评为北京市专精特新企业 ，这为客户提供了最可靠的硬核技术与交付保障 。</w:t>
      </w:r>
    </w:p>
    <w:p>
      <w:pPr>
        <w:spacing w:before="120" w:after="120" w:line="288" w:lineRule="auto"/>
        <w:ind w:left="0"/>
        <w:jc w:val="left"/>
      </w:pPr>
      <w:r>
        <w:rPr>
          <w:rFonts w:eastAsia="等线" w:ascii="Arial" w:cs="Arial" w:hAnsi="Arial"/>
          <w:b w:val="true"/>
          <w:sz w:val="22"/>
        </w:rPr>
        <w:t>技术底蕴深厚：</w:t>
      </w:r>
      <w:r>
        <w:rPr>
          <w:rFonts w:eastAsia="等线" w:ascii="Arial" w:cs="Arial" w:hAnsi="Arial"/>
          <w:sz w:val="22"/>
        </w:rPr>
        <w:t xml:space="preserve"> 拥有 4 大国家级核心技术专利与 6 大软件著作权 。</w:t>
      </w:r>
    </w:p>
    <w:p>
      <w:pPr>
        <w:spacing w:before="120" w:after="120" w:line="288" w:lineRule="auto"/>
        <w:ind w:left="0"/>
        <w:jc w:val="left"/>
      </w:pPr>
      <w:r>
        <w:rPr>
          <w:rFonts w:eastAsia="等线" w:ascii="Arial" w:cs="Arial" w:hAnsi="Arial"/>
          <w:b w:val="true"/>
          <w:sz w:val="22"/>
        </w:rPr>
        <w:t>行业资源背书：</w:t>
      </w:r>
      <w:r>
        <w:rPr>
          <w:rFonts w:eastAsia="等线" w:ascii="Arial" w:cs="Arial" w:hAnsi="Arial"/>
          <w:sz w:val="22"/>
        </w:rPr>
        <w:t xml:space="preserve"> 担任中国商务广告协会理事单位、CAAC 品牌出海委员会联席理事单位 。此外，公司还拥有国家级期刊媒体《国际品牌观察杂志》的独家商业运营权 。</w:t>
      </w:r>
    </w:p>
    <w:p>
      <w:pPr>
        <w:spacing w:before="120" w:after="120" w:line="288" w:lineRule="auto"/>
        <w:ind w:left="0"/>
        <w:jc w:val="left"/>
      </w:pPr>
      <w:r>
        <w:rPr>
          <w:rFonts w:eastAsia="等线" w:ascii="Arial" w:cs="Arial" w:hAnsi="Arial"/>
          <w:b w:val="true"/>
          <w:sz w:val="22"/>
        </w:rPr>
        <w:t>顶尖智库与高校合作：</w:t>
      </w:r>
      <w:r>
        <w:rPr>
          <w:rFonts w:eastAsia="等线" w:ascii="Arial" w:cs="Arial" w:hAnsi="Arial"/>
          <w:sz w:val="22"/>
        </w:rPr>
        <w:t xml:space="preserve"> 拥有 100+ 行业专家组成的深度赋能智库 ，并与北京大学、中国传媒大学等国内顶尖高校保持深度合作 。</w:t>
      </w:r>
    </w:p>
    <w:p>
      <w:pPr>
        <w:spacing w:before="120" w:after="120" w:line="288" w:lineRule="auto"/>
        <w:ind w:left="0"/>
        <w:jc w:val="left"/>
      </w:pPr>
      <w:r>
        <w:rPr>
          <w:rFonts w:eastAsia="等线" w:ascii="Arial" w:cs="Arial" w:hAnsi="Arial"/>
          <w:b w:val="true"/>
          <w:sz w:val="22"/>
        </w:rPr>
        <w:t>屡获殊荣：</w:t>
      </w:r>
      <w:r>
        <w:rPr>
          <w:rFonts w:eastAsia="等线" w:ascii="Arial" w:cs="Arial" w:hAnsi="Arial"/>
          <w:sz w:val="22"/>
        </w:rPr>
        <w:t xml:space="preserve"> 凭借出色的品效合一营销策略，累计荣获金鼠标、虎啸奖等 30 余项行业权威大奖 。</w:t>
      </w:r>
    </w:p>
    <w:p>
      <w:pPr>
        <w:pStyle w:val="2"/>
        <w:spacing w:before="320" w:after="120" w:line="288" w:lineRule="auto"/>
        <w:ind w:left="0"/>
        <w:jc w:val="left"/>
        <w:outlineLvl w:val="1"/>
      </w:pPr>
      <w:bookmarkStart w:name="heading_3" w:id="3"/>
      <w:r>
        <w:rPr>
          <w:rFonts w:eastAsia="等线" w:ascii="Arial" w:cs="Arial" w:hAnsi="Arial"/>
          <w:b w:val="true"/>
          <w:sz w:val="32"/>
        </w:rPr>
        <w:t>服务超千家行业头部品牌</w:t>
      </w:r>
      <w:r>
        <w:rPr>
          <w:rFonts w:eastAsia="等线" w:ascii="Arial" w:cs="Arial" w:hAnsi="Arial"/>
          <w:b w:val="true"/>
          <w:sz w:val="32"/>
        </w:rPr>
        <w:t xml:space="preserve"> </w:t>
      </w:r>
      <w:bookmarkEnd w:id="3"/>
    </w:p>
    <w:p>
      <w:pPr>
        <w:spacing w:before="120" w:after="120" w:line="288" w:lineRule="auto"/>
        <w:ind w:left="0"/>
        <w:jc w:val="left"/>
      </w:pPr>
      <w:r>
        <w:rPr>
          <w:rFonts w:eastAsia="等线" w:ascii="Arial" w:cs="Arial" w:hAnsi="Arial"/>
          <w:sz w:val="22"/>
        </w:rPr>
        <w:t>智优康赛拥有1000+客户服务经验，成功帮助各行业的头部品牌实现流量突破、商业转化与业务的可持续增长。以下是我们服务过的部分代表性客户：</w:t>
      </w:r>
    </w:p>
    <w:p>
      <w:pPr>
        <w:spacing w:before="120" w:after="120" w:line="288" w:lineRule="auto"/>
        <w:ind w:left="0"/>
        <w:jc w:val="left"/>
      </w:pPr>
      <w:r>
        <w:rPr>
          <w:rFonts w:eastAsia="等线" w:ascii="Arial" w:cs="Arial" w:hAnsi="Arial"/>
          <w:sz w:val="22"/>
        </w:rPr>
        <w:t>华为、联想、OPPO、vivo、海尔、TCL、方太、追觅、佳能、飞利浦、正泰电器。</w:t>
      </w:r>
    </w:p>
    <w:p>
      <w:pPr>
        <w:spacing w:before="120" w:after="120" w:line="288" w:lineRule="auto"/>
        <w:ind w:left="0"/>
        <w:jc w:val="left"/>
      </w:pPr>
      <w:r>
        <w:rPr>
          <w:rFonts w:eastAsia="等线" w:ascii="Arial" w:cs="Arial" w:hAnsi="Arial"/>
          <w:sz w:val="22"/>
        </w:rPr>
        <w:t>雅诗兰黛、海蓝之谜、祖·玛珑、芬迪、沛纳海、耐克、健合集团、小仙炖、蒙牛、Swisse、波司登、佳贝艾特。</w:t>
      </w:r>
    </w:p>
    <w:p>
      <w:pPr>
        <w:spacing w:before="120" w:after="120" w:line="288" w:lineRule="auto"/>
        <w:ind w:left="0"/>
        <w:jc w:val="left"/>
      </w:pPr>
      <w:r>
        <w:rPr>
          <w:rFonts w:eastAsia="等线" w:ascii="Arial" w:cs="Arial" w:hAnsi="Arial"/>
          <w:sz w:val="22"/>
        </w:rPr>
        <w:t>福特、起亚、林肯、长城汽车、阿维塔、高合、岚图。</w:t>
      </w:r>
    </w:p>
    <w:p>
      <w:pPr>
        <w:spacing w:before="120" w:after="120" w:line="288" w:lineRule="auto"/>
        <w:ind w:left="0"/>
        <w:jc w:val="left"/>
      </w:pPr>
      <w:r>
        <w:rPr>
          <w:rFonts w:eastAsia="等线" w:ascii="Arial" w:cs="Arial" w:hAnsi="Arial"/>
          <w:sz w:val="22"/>
        </w:rPr>
        <w:t>中信银行、广发银行、中国人民保险、中国太平、华泰证券、信也科技、宜信。</w:t>
      </w:r>
    </w:p>
    <w:p>
      <w:pPr>
        <w:spacing w:before="120" w:after="120" w:line="288" w:lineRule="auto"/>
        <w:ind w:left="0"/>
        <w:jc w:val="left"/>
      </w:pPr>
      <w:r>
        <w:rPr>
          <w:rFonts w:eastAsia="等线" w:ascii="Arial" w:cs="Arial" w:hAnsi="Arial"/>
          <w:sz w:val="22"/>
        </w:rPr>
        <w:t>腾讯、知乎、大众点评、汽车之家、芒果tv、天眼查、CCTV。</w:t>
      </w:r>
    </w:p>
    <w:p>
      <w:pPr>
        <w:spacing w:before="120" w:after="120" w:line="288" w:lineRule="auto"/>
        <w:ind w:left="0"/>
        <w:jc w:val="left"/>
      </w:pPr>
      <w:r>
        <w:rPr>
          <w:rFonts w:eastAsia="等线" w:ascii="Arial" w:cs="Arial" w:hAnsi="Arial"/>
          <w:sz w:val="22"/>
        </w:rPr>
        <w:t>亚马逊、唯品会、苏宁、丝芙兰、红星美凯龙、我爱我家、途牛、Airbnb、法国航空。</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67646">
    <w:lvl>
      <w:numFmt w:val="bullet"/>
      <w:suff w:val="tab"/>
      <w:lvlText w:val="•"/>
      <w:rPr>
        <w:color w:val="3370ff"/>
      </w:rPr>
    </w:lvl>
  </w:abstractNum>
  <w:abstractNum w:abstractNumId="4567647">
    <w:lvl>
      <w:numFmt w:val="bullet"/>
      <w:suff w:val="tab"/>
      <w:lvlText w:val="•"/>
      <w:rPr>
        <w:color w:val="3370ff"/>
      </w:rPr>
    </w:lvl>
  </w:abstractNum>
  <w:abstractNum w:abstractNumId="4567648">
    <w:lvl>
      <w:numFmt w:val="bullet"/>
      <w:suff w:val="tab"/>
      <w:lvlText w:val="•"/>
      <w:rPr>
        <w:color w:val="3370ff"/>
      </w:rPr>
    </w:lvl>
  </w:abstractNum>
  <w:abstractNum w:abstractNumId="4567649">
    <w:lvl>
      <w:numFmt w:val="bullet"/>
      <w:suff w:val="tab"/>
      <w:lvlText w:val="•"/>
      <w:rPr>
        <w:color w:val="3370ff"/>
      </w:rPr>
    </w:lvl>
  </w:abstractNum>
  <w:abstractNum w:abstractNumId="4567650">
    <w:lvl>
      <w:numFmt w:val="bullet"/>
      <w:suff w:val="tab"/>
      <w:lvlText w:val="•"/>
      <w:rPr>
        <w:color w:val="3370ff"/>
      </w:rPr>
    </w:lvl>
  </w:abstractNum>
  <w:abstractNum w:abstractNumId="4567651">
    <w:lvl>
      <w:numFmt w:val="bullet"/>
      <w:suff w:val="tab"/>
      <w:lvlText w:val="•"/>
      <w:rPr>
        <w:color w:val="3370ff"/>
      </w:rPr>
    </w:lvl>
  </w:abstractNum>
  <w:abstractNum w:abstractNumId="4567652">
    <w:lvl>
      <w:numFmt w:val="bullet"/>
      <w:suff w:val="tab"/>
      <w:lvlText w:val="•"/>
      <w:rPr>
        <w:color w:val="3370ff"/>
      </w:rPr>
    </w:lvl>
  </w:abstractNum>
  <w:abstractNum w:abstractNumId="4567653">
    <w:lvl>
      <w:numFmt w:val="bullet"/>
      <w:suff w:val="tab"/>
      <w:lvlText w:val="•"/>
      <w:rPr>
        <w:color w:val="3370ff"/>
      </w:rPr>
    </w:lvl>
  </w:abstractNum>
  <w:abstractNum w:abstractNumId="4567654">
    <w:lvl>
      <w:numFmt w:val="bullet"/>
      <w:suff w:val="tab"/>
      <w:lvlText w:val="•"/>
      <w:rPr>
        <w:color w:val="3370ff"/>
      </w:rPr>
    </w:lvl>
  </w:abstractNum>
  <w:abstractNum w:abstractNumId="4567655">
    <w:lvl>
      <w:numFmt w:val="bullet"/>
      <w:suff w:val="tab"/>
      <w:lvlText w:val="•"/>
      <w:rPr>
        <w:color w:val="3370ff"/>
      </w:rPr>
    </w:lvl>
  </w:abstractNum>
  <w:abstractNum w:abstractNumId="4567656">
    <w:lvl>
      <w:numFmt w:val="bullet"/>
      <w:suff w:val="tab"/>
      <w:lvlText w:val="•"/>
      <w:rPr>
        <w:color w:val="3370ff"/>
      </w:rPr>
    </w:lvl>
  </w:abstractNum>
  <w:num w:numId="1">
    <w:abstractNumId w:val="4567646"/>
  </w:num>
  <w:num w:numId="2">
    <w:abstractNumId w:val="4567647"/>
  </w:num>
  <w:num w:numId="3">
    <w:abstractNumId w:val="4567648"/>
  </w:num>
  <w:num w:numId="4">
    <w:abstractNumId w:val="4567649"/>
  </w:num>
  <w:num w:numId="5">
    <w:abstractNumId w:val="4567650"/>
  </w:num>
  <w:num w:numId="6">
    <w:abstractNumId w:val="4567651"/>
  </w:num>
  <w:num w:numId="7">
    <w:abstractNumId w:val="4567652"/>
  </w:num>
  <w:num w:numId="8">
    <w:abstractNumId w:val="4567653"/>
  </w:num>
  <w:num w:numId="9">
    <w:abstractNumId w:val="4567654"/>
  </w:num>
  <w:num w:numId="10">
    <w:abstractNumId w:val="4567655"/>
  </w:num>
  <w:num w:numId="11">
    <w:abstractNumId w:val="45676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2026-05-18T05:11:22Z</dcterms:created>
  <dc:creator>Apache POI</dc:creator>
</cp:coreProperties>
</file>