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Global assessment of COVID-19 impact on biodiversity monitoring: Scale and statistical concerns</w:t>
      </w:r>
    </w:p>
    <w:p>
      <w:pPr>
        <w:pStyle w:val="Author"/>
      </w:pPr>
      <w:r>
        <w:t xml:space="preserve">Karthik Thrikkadeeri</w:t>
      </w:r>
    </w:p>
    <w:p>
      <w:pPr>
        <w:pStyle w:val="Author"/>
      </w:pPr>
      <w:r>
        <w:t xml:space="preserve">Ashwin Viswanathan</w:t>
      </w:r>
    </w:p>
    <w:p>
      <w:pPr>
        <w:pStyle w:val="Author"/>
      </w:pPr>
      <w:r>
        <w:t xml:space="preserve">Vinay K L</w:t>
      </w:r>
    </w:p>
    <w:bookmarkStart w:id="20" w:name="introduction"/>
    <w:p>
      <w:pPr>
        <w:pStyle w:val="Heading1"/>
      </w:pPr>
      <w:r>
        <w:t xml:space="preserve">Introduction</w:t>
      </w:r>
    </w:p>
    <w:p>
      <w:pPr>
        <w:pStyle w:val="FirstParagraph"/>
      </w:pPr>
      <w:r>
        <w:t xml:space="preserve">The COVID-19 pandemic had a significant impact on humanity, including widespread deaths and a sharp disruption in</w:t>
      </w:r>
      <w:r>
        <w:t xml:space="preserve"> </w:t>
      </w:r>
      <w:r>
        <w:t xml:space="preserve">“normal”</w:t>
      </w:r>
      <w:r>
        <w:t xml:space="preserve"> </w:t>
      </w:r>
      <w:r>
        <w:t xml:space="preserve">human activities (i.e., Anthropause). In order to understand how this influenced biodiversity data collection across the world, Roilo et al.</w:t>
      </w:r>
      <w:r>
        <w:rPr>
          <w:vertAlign w:val="superscript"/>
        </w:rPr>
        <w:t xml:space="preserve">1</w:t>
      </w:r>
      <w:r>
        <w:t xml:space="preserve"> </w:t>
      </w:r>
      <w:r>
        <w:t xml:space="preserve">analysed large-scale biodiversity datasets. Although some of their results match perceptions and evidence from various regions, we highlight some issues underlying their analytical choices which have not been addressed adequately. We also illustrate that several of their inferences about the pandemic and biodiversity monitoring (particularly in the Global South) do not directly follow from their results, and are therefore unfounded.</w:t>
      </w:r>
    </w:p>
    <w:bookmarkEnd w:id="20"/>
    <w:bookmarkStart w:id="22" w:name="sec-temp-scope"/>
    <w:p>
      <w:pPr>
        <w:pStyle w:val="Heading1"/>
      </w:pPr>
      <w:r>
        <w:t xml:space="preserve">Mismatch in temporal scope</w:t>
      </w:r>
    </w:p>
    <w:p>
      <w:pPr>
        <w:pStyle w:val="FirstParagraph"/>
      </w:pPr>
      <w:r>
        <w:t xml:space="preserve">With their title, Roilo et al.</w:t>
      </w:r>
      <w:r>
        <w:rPr>
          <w:vertAlign w:val="superscript"/>
        </w:rPr>
        <w:t xml:space="preserve">1</w:t>
      </w:r>
      <w:r>
        <w:t xml:space="preserve"> </w:t>
      </w:r>
      <w:r>
        <w:t xml:space="preserve">position their study as an analysis of large spatial and temporal scale, but its scope is actually much more myopic than expected. Their definition of</w:t>
      </w:r>
      <w:r>
        <w:t xml:space="preserve"> </w:t>
      </w:r>
      <w:r>
        <w:t xml:space="preserve">“the COVID-19 lockdown”</w:t>
      </w:r>
      <w:r>
        <w:t xml:space="preserve"> </w:t>
      </w:r>
      <w:r>
        <w:t xml:space="preserve">is the six-week period of 15 March–1 May 2020, which not only completely misses the second year of lockdowns (2021) but also fails to account for differences around the world in the timing of first wave lockdowns</w:t>
      </w:r>
      <w:r>
        <w:rPr>
          <w:vertAlign w:val="superscript"/>
        </w:rPr>
        <w:t xml:space="preserve">2</w:t>
      </w:r>
      <w:r>
        <w:t xml:space="preserve">. For instance, the first lockdown in India started on 25 March 2020</w:t>
      </w:r>
      <w:r>
        <w:rPr>
          <w:vertAlign w:val="superscript"/>
        </w:rPr>
        <w:t xml:space="preserve">3</w:t>
      </w:r>
      <w:r>
        <w:t xml:space="preserve"> </w:t>
      </w:r>
      <w:r>
        <w:t xml:space="preserve">and extended until 31 May</w:t>
      </w:r>
      <w:r>
        <w:rPr>
          <w:vertAlign w:val="superscript"/>
        </w:rPr>
        <w:t xml:space="preserve">4</w:t>
      </w:r>
      <w:r>
        <w:t xml:space="preserve">, meaning the analysed period missed</w:t>
      </w:r>
      <w:r>
        <w:t xml:space="preserve"> </w:t>
      </w:r>
      <m:oMath>
        <m:r>
          <m:rPr>
            <m:sty m:val="p"/>
          </m:rPr>
          <m:t>&gt;</m:t>
        </m:r>
      </m:oMath>
      <w:r>
        <w:t xml:space="preserve"> </w:t>
      </w:r>
      <w:r>
        <w:t xml:space="preserve">29% of the actual lockdown in India. As such, the scope of their analysis narrows down to the immediate global impact of one part of the first COVID-19 lockdowns, rather than a full picture of the pandemic impact. (Note: The interactive</w:t>
      </w:r>
      <w:r>
        <w:t xml:space="preserve"> </w:t>
      </w:r>
      <w:hyperlink r:id="rId21">
        <w:r>
          <w:rPr>
            <w:rStyle w:val="Hyperlink"/>
          </w:rPr>
          <w:t xml:space="preserve">Anthropause app</w:t>
        </w:r>
      </w:hyperlink>
      <w:r>
        <w:t xml:space="preserve"> </w:t>
      </w:r>
      <w:r>
        <w:t xml:space="preserve">allows full-year visualisation, but none of the authors’ actual analyses do.)</w:t>
      </w:r>
    </w:p>
    <w:p>
      <w:pPr>
        <w:pStyle w:val="BodyText"/>
      </w:pPr>
      <w:r>
        <w:t xml:space="preserve">The study involves several before-after comparisons assessing this impact. However, these do not consistently follow the authors’ original definition of the</w:t>
      </w:r>
      <w:r>
        <w:t xml:space="preserve"> </w:t>
      </w:r>
      <w:r>
        <w:t xml:space="preserve">“lockdown”</w:t>
      </w:r>
      <w:r>
        <w:t xml:space="preserve"> </w:t>
      </w:r>
      <w:r>
        <w:t xml:space="preserve">time period. The change in park visitors metric derived from Google mobility data—which was the most significant predictor in their socioeconomic analysis (</w:t>
      </w:r>
      <w:hyperlink w:anchor="sec-socioeconomic">
        <w:r>
          <w:rPr>
            <w:rStyle w:val="Hyperlink"/>
          </w:rPr>
          <w:t xml:space="preserve">Section 5</w:t>
        </w:r>
      </w:hyperlink>
      <w:r>
        <w:t xml:space="preserve">)—actually represents change from the five-week baseline period of 3 January–6 February 2020; due to this discrepancy in what is being compared, meaningful inferences from this analysis are difficult. Although human mobility is likely to have been lower also compared with 2019, equating the periods of January–February and March–May in this context is statistically/scientifically flawed, given how human mobility is driven by many seasonal realities such as weather, natural phenology, holidays, sociocultural calendars, etc.</w:t>
      </w:r>
    </w:p>
    <w:bookmarkEnd w:id="22"/>
    <w:bookmarkStart w:id="23" w:name="sec-spat-scope"/>
    <w:p>
      <w:pPr>
        <w:pStyle w:val="Heading1"/>
      </w:pPr>
      <w:r>
        <w:t xml:space="preserve">Limitations in spatial scope</w:t>
      </w:r>
    </w:p>
    <w:p>
      <w:pPr>
        <w:pStyle w:val="FirstParagraph"/>
      </w:pPr>
      <w:r>
        <w:t xml:space="preserve">Cross-country nuance is lacking also in the spatial aspects of their analysis. Firstly, citizen science datasets require careful curation of data prior to analyses for many reasons</w:t>
      </w:r>
      <w:r>
        <w:rPr>
          <w:vertAlign w:val="superscript"/>
        </w:rPr>
        <w:t xml:space="preserve">5,6</w:t>
      </w:r>
      <w:r>
        <w:t xml:space="preserve">, including that comparisons are not meaningful if data quantity and/or quality are already low (as in the case of most</w:t>
      </w:r>
      <w:r>
        <w:t xml:space="preserve"> </w:t>
      </w:r>
      <w:r>
        <w:t xml:space="preserve">“least developed”</w:t>
      </w:r>
      <w:r>
        <w:t xml:space="preserve"> </w:t>
      </w:r>
      <w:r>
        <w:t xml:space="preserve">countries analysed here). This is why certain minimum thresholds need to be used in the data curation pipeline; otherwise, drawing strict correlations, in this case with the pandemic, is inappropriate due to the many biases and factors of variation unaccounted for.</w:t>
      </w:r>
    </w:p>
    <w:p>
      <w:pPr>
        <w:pStyle w:val="BodyText"/>
      </w:pPr>
      <w:r>
        <w:t xml:space="preserve">Secondly, even among the countries with valid results, variability in the observed response to the pandemic has been ignored in their interpretations (see</w:t>
      </w:r>
      <w:r>
        <w:t xml:space="preserve"> </w:t>
      </w:r>
      <w:hyperlink w:anchor="sec-stats">
        <w:r>
          <w:rPr>
            <w:rStyle w:val="Hyperlink"/>
          </w:rPr>
          <w:t xml:space="preserve">Section 4</w:t>
        </w:r>
      </w:hyperlink>
      <w:r>
        <w:t xml:space="preserve"> </w:t>
      </w:r>
      <w:r>
        <w:t xml:space="preserve">for specific examples). Moreover, when discussing literature, although Roilo et al.</w:t>
      </w:r>
      <w:r>
        <w:rPr>
          <w:vertAlign w:val="superscript"/>
        </w:rPr>
        <w:t xml:space="preserve">1</w:t>
      </w:r>
      <w:r>
        <w:t xml:space="preserve"> </w:t>
      </w:r>
      <w:r>
        <w:t xml:space="preserve">do acknowledge some previous studies that showed highly variable results</w:t>
      </w:r>
      <w:r>
        <w:rPr>
          <w:vertAlign w:val="superscript"/>
        </w:rPr>
        <w:t xml:space="preserve">7</w:t>
      </w:r>
      <w:r>
        <w:t xml:space="preserve"> </w:t>
      </w:r>
      <w:r>
        <w:t xml:space="preserve">(some showing no effect of the lockdown</w:t>
      </w:r>
      <w:r>
        <w:rPr>
          <w:vertAlign w:val="superscript"/>
        </w:rPr>
        <w:t xml:space="preserve">8</w:t>
      </w:r>
      <w:r>
        <w:t xml:space="preserve"> </w:t>
      </w:r>
      <w:r>
        <w:t xml:space="preserve">or a positive one</w:t>
      </w:r>
      <w:r>
        <w:rPr>
          <w:vertAlign w:val="superscript"/>
        </w:rPr>
        <w:t xml:space="preserve">9,10</w:t>
      </w:r>
      <w:r>
        <w:t xml:space="preserve">), they fail to contextualise nuanced analyses particularly relating to their inferences about the Global South</w:t>
      </w:r>
      <w:r>
        <w:rPr>
          <w:vertAlign w:val="superscript"/>
        </w:rPr>
        <w:t xml:space="preserve">11</w:t>
      </w:r>
      <w:r>
        <w:t xml:space="preserve">. Amongst the studies acknowledged, many nuances and especially contradictory results have remained unaddressed. The authors, however, still claim</w:t>
      </w:r>
      <w:r>
        <w:t xml:space="preserve"> </w:t>
      </w:r>
      <w:r>
        <w:t xml:space="preserve">“a comprehensive evaluation of how country-specific regulations affected people’s movements and data collection activities”</w:t>
      </w:r>
      <w:r>
        <w:t xml:space="preserve">, effectively reducing the nuances down to just national government regulations and ignoring the many other sociocultural factors affecting citizen science participation.</w:t>
      </w:r>
    </w:p>
    <w:bookmarkEnd w:id="23"/>
    <w:bookmarkStart w:id="27" w:name="sec-stats"/>
    <w:p>
      <w:pPr>
        <w:pStyle w:val="Heading1"/>
      </w:pPr>
      <w:r>
        <w:t xml:space="preserve">Appropriateness of statistical methods</w:t>
      </w:r>
    </w:p>
    <w:p>
      <w:pPr>
        <w:pStyle w:val="FirstParagraph"/>
      </w:pPr>
      <w:r>
        <w:t xml:space="preserve">Citizen science data are characteristically noisy and uneven, rendering simple statistical methods and conventional significance tests inappropriate</w:t>
      </w:r>
      <w:r>
        <w:rPr>
          <w:vertAlign w:val="superscript"/>
        </w:rPr>
        <w:t xml:space="preserve">12</w:t>
      </w:r>
      <w:r>
        <w:t xml:space="preserve">. Typical statistical best practices include hierarchical or Bayesian modelling, importantly with explicit effort correction and strong data curation pipelines</w:t>
      </w:r>
      <w:r>
        <w:rPr>
          <w:vertAlign w:val="superscript"/>
        </w:rPr>
        <w:t xml:space="preserve">12</w:t>
      </w:r>
      <w:r>
        <w:t xml:space="preserve">. The statistical analyses in Roilo et al.</w:t>
      </w:r>
      <w:r>
        <w:rPr>
          <w:vertAlign w:val="superscript"/>
        </w:rPr>
        <w:t xml:space="preserve">1</w:t>
      </w:r>
      <w:r>
        <w:t xml:space="preserve"> </w:t>
      </w:r>
      <w:r>
        <w:t xml:space="preserve">do not correct for effort nor involve curated data. They do not utilise effect sizes or confidence estimates, and instead either rely on p-values (inappropriate for large, noisy datasets</w:t>
      </w:r>
      <w:r>
        <w:rPr>
          <w:vertAlign w:val="superscript"/>
        </w:rPr>
        <w:t xml:space="preserve">13,14</w:t>
      </w:r>
      <w:r>
        <w:t xml:space="preserve">) or simple numerical or visual comparisons of percent change and counts. For example, their headline metric (Figure 1) is a simple percent change in number of occurrence records. Notably, many countries show a positive or negative change of 0%–25%, especially when expanding the temporal scope beyond the six-week period—it is not possible to discount these changes simply being some stochastic artefact of multiple comparisons, such as</w:t>
      </w:r>
      <w:r>
        <w:t xml:space="preserve"> </w:t>
      </w:r>
      <w:r>
        <w:t xml:space="preserve">“regression to the mean”</w:t>
      </w:r>
      <w:r>
        <w:rPr>
          <w:vertAlign w:val="superscript"/>
        </w:rPr>
        <w:t xml:space="preserve">15,16</w:t>
      </w:r>
      <w:r>
        <w:t xml:space="preserve">.</w:t>
      </w:r>
    </w:p>
    <w:bookmarkStart w:id="24" w:name="Xfeeaf47a71c782679e9556307c6f00480819a2b"/>
    <w:p>
      <w:pPr>
        <w:pStyle w:val="Heading2"/>
      </w:pPr>
      <w:r>
        <w:t xml:space="preserve">Assessment of significance is superficial</w:t>
      </w:r>
    </w:p>
    <w:p>
      <w:pPr>
        <w:pStyle w:val="FirstParagraph"/>
      </w:pPr>
      <w:r>
        <w:t xml:space="preserve">The authors attempted to assess</w:t>
      </w:r>
      <w:r>
        <w:t xml:space="preserve"> </w:t>
      </w:r>
      <w:r>
        <w:t xml:space="preserve">“significance”</w:t>
      </w:r>
      <w:r>
        <w:t xml:space="preserve"> </w:t>
      </w:r>
      <w:r>
        <w:t xml:space="preserve">of the 2020 lockdown deviation in data collection, given its increasing trend over the years since 2010. They did this by fitting a smoothing spline to the 2010–2023 data, and comparing the predicted values for 2020 with the observed values. Despite the misleading reference in Table S2 to</w:t>
      </w:r>
      <w:r>
        <w:t xml:space="preserve"> </w:t>
      </w:r>
      <w:r>
        <w:t xml:space="preserve">“linear regressions”</w:t>
      </w:r>
      <w:r>
        <w:t xml:space="preserve">, smoothing splines are not an appropriate statistical method in this context, due to their following properties</w:t>
      </w:r>
      <w:r>
        <w:rPr>
          <w:vertAlign w:val="superscript"/>
        </w:rPr>
        <w:t xml:space="preserve">17</w:t>
      </w:r>
      <w:r>
        <w:t xml:space="preserve">: they do not produce simultaneous confidence bands, thereby underestimating uncertainty and risking false positives; the width of their confidence interval depends on the smoothing parameter (which the authors limited to 0.4–0.6 without justification); they ignore residual noise, rendering comparisons of observed and predicted values meaningless.</w:t>
      </w:r>
    </w:p>
    <w:p>
      <w:pPr>
        <w:pStyle w:val="BodyText"/>
      </w:pPr>
      <w:r>
        <w:t xml:space="preserve">Irrespective of these issues, however, this</w:t>
      </w:r>
      <w:r>
        <w:t xml:space="preserve"> </w:t>
      </w:r>
      <w:r>
        <w:t xml:space="preserve">“significance”</w:t>
      </w:r>
      <w:r>
        <w:t xml:space="preserve"> </w:t>
      </w:r>
      <w:r>
        <w:t xml:space="preserve">assessment did not find its way into interpretation of the results. Figure 1 shows percent change between 2019 and 2020, whereas Table S2 shows percent change between predicted and observed values for 2020—and these two have several contradictory patterns. For example, Canada, United States, New Zealand, Zimbabwe and Papua New Guinea all show non-</w:t>
      </w:r>
      <w:r>
        <w:t xml:space="preserve">“significant”</w:t>
      </w:r>
      <w:r>
        <w:t xml:space="preserve"> </w:t>
      </w:r>
      <w:r>
        <w:t xml:space="preserve">changes in Table S2 but decreases (Papua New Guinea) or increases (others) in Figure 1. Further, Australia shows a decrease in Table S2 but an increase in Figure 1.</w:t>
      </w:r>
    </w:p>
    <w:bookmarkEnd w:id="24"/>
    <w:bookmarkStart w:id="25" w:name="X9ec2e1e4ac39173f5463641f8f4d30f3e00b401"/>
    <w:p>
      <w:pPr>
        <w:pStyle w:val="Heading2"/>
      </w:pPr>
      <w:r>
        <w:t xml:space="preserve">Number of records is a poor response variable</w:t>
      </w:r>
    </w:p>
    <w:p>
      <w:pPr>
        <w:pStyle w:val="FirstParagraph"/>
      </w:pPr>
      <w:r>
        <w:t xml:space="preserve">The GBIF dataset contains data from a wide variety of datasets and repositories, all of which have different frameworks and protocols</w:t>
      </w:r>
      <w:r>
        <w:rPr>
          <w:vertAlign w:val="superscript"/>
        </w:rPr>
        <w:t xml:space="preserve">18</w:t>
      </w:r>
      <w:r>
        <w:t xml:space="preserve">. However, eBird is the largest contributor among these (</w:t>
      </w:r>
      <w:r>
        <w:rPr>
          <w:rStyle w:val="VerbatimChar"/>
        </w:rPr>
        <w:t xml:space="preserve">X%</w:t>
      </w:r>
      <w:r>
        <w:t xml:space="preserve">), and is fundamentally different from them in having a semi-structured framework</w:t>
      </w:r>
      <w:r>
        <w:rPr>
          <w:vertAlign w:val="superscript"/>
        </w:rPr>
        <w:t xml:space="preserve">19,20</w:t>
      </w:r>
      <w:r>
        <w:t xml:space="preserve">. Although eBird data are not collected following strict</w:t>
      </w:r>
      <w:r>
        <w:t xml:space="preserve"> </w:t>
      </w:r>
      <w:r>
        <w:t xml:space="preserve">“systematic”</w:t>
      </w:r>
      <w:r>
        <w:t xml:space="preserve"> </w:t>
      </w:r>
      <w:r>
        <w:t xml:space="preserve">protocols, they are still structured into fundamental units called</w:t>
      </w:r>
      <w:r>
        <w:t xml:space="preserve"> </w:t>
      </w:r>
      <w:r>
        <w:t xml:space="preserve">“checklists”</w:t>
      </w:r>
      <w:r>
        <w:t xml:space="preserve"> </w:t>
      </w:r>
      <w:r>
        <w:t xml:space="preserve">which contain a large amount of associated metadata, and typically enable inference of not just detections but also non-detections</w:t>
      </w:r>
      <w:r>
        <w:rPr>
          <w:vertAlign w:val="superscript"/>
        </w:rPr>
        <w:t xml:space="preserve">19,20</w:t>
      </w:r>
      <w:r>
        <w:t xml:space="preserve">.</w:t>
      </w:r>
    </w:p>
    <w:p>
      <w:pPr>
        <w:pStyle w:val="BodyText"/>
      </w:pPr>
      <w:r>
        <w:t xml:space="preserve">The</w:t>
      </w:r>
      <w:r>
        <w:t xml:space="preserve"> </w:t>
      </w:r>
      <w:r>
        <w:t xml:space="preserve">“activity ranges”</w:t>
      </w:r>
      <w:r>
        <w:t xml:space="preserve"> </w:t>
      </w:r>
      <w:r>
        <w:t xml:space="preserve">analysis (see</w:t>
      </w:r>
      <w:r>
        <w:t xml:space="preserve"> </w:t>
      </w:r>
      <w:hyperlink w:anchor="sec-act-ranges">
        <w:r>
          <w:rPr>
            <w:rStyle w:val="Hyperlink"/>
          </w:rPr>
          <w:t xml:space="preserve">Section 4.3</w:t>
        </w:r>
      </w:hyperlink>
      <w:r>
        <w:t xml:space="preserve">) is based on the number of records (or</w:t>
      </w:r>
      <w:r>
        <w:t xml:space="preserve"> </w:t>
      </w:r>
      <w:r>
        <w:t xml:space="preserve">“observations”</w:t>
      </w:r>
      <w:r>
        <w:t xml:space="preserve">) in the eBird dataset, and given that eBird dominates the GBIF dataset, so is the headline result (Figure 1). Thus, much of the interpretation is contingent on the appropriateness of this variable. We argue that the use of individual observations as units to infer about the pandemic impact on data collection effort inherently produces biased and flawed results. This is because the</w:t>
      </w:r>
      <w:r>
        <w:t xml:space="preserve"> </w:t>
      </w:r>
      <w:r>
        <w:t xml:space="preserve">“checklist”</w:t>
      </w:r>
      <w:r>
        <w:t xml:space="preserve"> </w:t>
      </w:r>
      <w:r>
        <w:t xml:space="preserve">is the meaningful unit in eBird data—not individual observations, which are much more difficult to compare meaningfully to effort.</w:t>
      </w:r>
    </w:p>
    <w:p>
      <w:pPr>
        <w:pStyle w:val="BodyText"/>
      </w:pPr>
      <w:r>
        <w:t xml:space="preserve">For instance, it is generally known that people moved around less during the pandemic and also potentially visited fewer national parks and</w:t>
      </w:r>
      <w:r>
        <w:t xml:space="preserve"> </w:t>
      </w:r>
      <w:r>
        <w:t xml:space="preserve">“interesting”</w:t>
      </w:r>
      <w:r>
        <w:t xml:space="preserve"> </w:t>
      </w:r>
      <w:r>
        <w:t xml:space="preserve">areas, instead spending more time in urban areas closer to home</w:t>
      </w:r>
      <w:r>
        <w:rPr>
          <w:vertAlign w:val="superscript"/>
        </w:rPr>
        <w:t xml:space="preserve">7,11,21–23</w:t>
      </w:r>
      <w:r>
        <w:t xml:space="preserve">. This very likely resulted in a reduction in the number of species observed per checklist due to lower species diversity in urban areas. Comparing observations thus produces the false impression of lowered effort even if the number of checklists (better metric of effort) remained the same. Similarly, people around the world also avoided groups during the lockdowns</w:t>
      </w:r>
      <w:r>
        <w:rPr>
          <w:vertAlign w:val="superscript"/>
        </w:rPr>
        <w:t xml:space="preserve">11,22</w:t>
      </w:r>
      <w:r>
        <w:t xml:space="preserve">. In eBird data, this likely reflected in fewer</w:t>
      </w:r>
      <w:r>
        <w:t xml:space="preserve"> </w:t>
      </w:r>
      <w:r>
        <w:t xml:space="preserve">“group birding”</w:t>
      </w:r>
      <w:r>
        <w:t xml:space="preserve"> </w:t>
      </w:r>
      <w:r>
        <w:t xml:space="preserve">events. Roilo et al.</w:t>
      </w:r>
      <w:r>
        <w:rPr>
          <w:vertAlign w:val="superscript"/>
        </w:rPr>
        <w:t xml:space="preserve">1</w:t>
      </w:r>
      <w:r>
        <w:t xml:space="preserve"> </w:t>
      </w:r>
      <w:r>
        <w:t xml:space="preserve">summarised observations without removing</w:t>
      </w:r>
      <w:r>
        <w:t xml:space="preserve"> </w:t>
      </w:r>
      <w:r>
        <w:t xml:space="preserve">“duplicates”</w:t>
      </w:r>
      <w:r>
        <w:t xml:space="preserve">, which are multiple copies of the same observations created for every birder involved in a group birding event. This would necessarily inflate the</w:t>
      </w:r>
      <w:r>
        <w:t xml:space="preserve"> </w:t>
      </w:r>
      <w:r>
        <w:t xml:space="preserve">“reduction”</w:t>
      </w:r>
      <w:r>
        <w:t xml:space="preserve"> </w:t>
      </w:r>
      <w:r>
        <w:t xml:space="preserve">in number of observations during 2020, regardless of whether independent birding effort (measured in</w:t>
      </w:r>
      <w:r>
        <w:t xml:space="preserve"> </w:t>
      </w:r>
      <w:r>
        <w:t xml:space="preserve">“unique”</w:t>
      </w:r>
      <w:r>
        <w:t xml:space="preserve"> </w:t>
      </w:r>
      <w:r>
        <w:t xml:space="preserve">checklists) actually decreased.</w:t>
      </w:r>
    </w:p>
    <w:p>
      <w:pPr>
        <w:pStyle w:val="BodyText"/>
      </w:pPr>
      <w:r>
        <w:t xml:space="preserve">For these reasons, not only is number of observations a poor metric for this analysis, but it also renders interpretation difficult because of the protocol inconsistencies between datasets in GBIF. Using only eBird data is one way to use checklists and get rid of the various biases that come from inconsistent use of other citizen science platforms globally.</w:t>
      </w:r>
    </w:p>
    <w:bookmarkEnd w:id="25"/>
    <w:bookmarkStart w:id="26" w:name="sec-act-ranges"/>
    <w:p>
      <w:pPr>
        <w:pStyle w:val="Heading2"/>
      </w:pPr>
      <w:r>
        <w:t xml:space="preserve">Activity ranges analysis tells incomplete story</w:t>
      </w:r>
    </w:p>
    <w:p>
      <w:pPr>
        <w:pStyle w:val="FirstParagraph"/>
      </w:pPr>
      <w:r>
        <w:t xml:space="preserve">From this analysis, the authors found that activity ranges of eBirders shrunk during the six-week period in 2020. This result seems to be valid/legitimate, and is in fact one of the only unanimous consistent patterns across studies exploring the pandemic impact</w:t>
      </w:r>
      <w:r>
        <w:rPr>
          <w:vertAlign w:val="superscript"/>
        </w:rPr>
        <w:t xml:space="preserve">7,11,21–23</w:t>
      </w:r>
      <w:r>
        <w:t xml:space="preserve">. However, the statistical test they used to test for</w:t>
      </w:r>
      <w:r>
        <w:t xml:space="preserve"> </w:t>
      </w:r>
      <w:r>
        <w:t xml:space="preserve">“significant”</w:t>
      </w:r>
      <w:r>
        <w:t xml:space="preserve"> </w:t>
      </w:r>
      <w:r>
        <w:t xml:space="preserve">differences in before-after comparisons was the Kolmogorov-Smirnov test. This is not an appropriate test, because it focuses on the distribution of data (rather than their means as in previous analyses), specifically comparing whether areas of eBirder activity in 2019 and 2020 followed the same distribution</w:t>
      </w:r>
      <w:r>
        <w:rPr>
          <w:vertAlign w:val="superscript"/>
        </w:rPr>
        <w:t xml:space="preserve">24</w:t>
      </w:r>
      <w:r>
        <w:t xml:space="preserve">. This test is thus sensitive to differences in shape in addition to mean or variance, and therefore not robust to unequal sample sizes or noisy data</w:t>
      </w:r>
      <w:r>
        <w:rPr>
          <w:vertAlign w:val="superscript"/>
        </w:rPr>
        <w:t xml:space="preserve">25</w:t>
      </w:r>
      <w:r>
        <w:t xml:space="preserve">.</w:t>
      </w:r>
    </w:p>
    <w:p>
      <w:pPr>
        <w:pStyle w:val="BodyText"/>
      </w:pPr>
      <w:r>
        <w:t xml:space="preserve">The authors further compared the countries where each eBirder recorded observations in 2019 and 2020. However, they only considered 30 eBirders per country for this analysis, and these 30 were selected from the eBirders with observations on the most days during the six-week period in 2019. They introduce the premise of transboundary migrations of eBirders, suggesting that in less developed countries (which are generally also more biodiverse) higher proportions of data contribution come from tourists, i.e., foreign eBirders. While this is undeniably true, the analysis itself is questionable because it considers the 2019 top 30 eBirder list as the benchmark. Regardless of the economic class of a country, this can be misleading especially for such short timeframes analysed, since many factors unrelated to the pandemic could result in a top 30 list that does not represent local consistent birding, i.e., short-term visitors could lead in</w:t>
      </w:r>
      <w:r>
        <w:t xml:space="preserve"> </w:t>
      </w:r>
      <w:r>
        <w:t xml:space="preserve">“most activity”</w:t>
      </w:r>
      <w:r>
        <w:t xml:space="preserve">.</w:t>
      </w:r>
    </w:p>
    <w:p>
      <w:pPr>
        <w:pStyle w:val="BodyText"/>
      </w:pPr>
      <w:r>
        <w:t xml:space="preserve">It is obvious and intuitive that less developed countries would have greater tourism birding, and most tourists will likely not return to the same country in the following year. On the other hand, developed countries have lower contribution of tourism birding. The concept of returning birders does not make sense in the context of how tourism works; in order to infer about birders who</w:t>
      </w:r>
      <w:r>
        <w:t xml:space="preserve"> </w:t>
      </w:r>
      <w:r>
        <w:t xml:space="preserve">“stopped collecting data”</w:t>
      </w:r>
      <w:r>
        <w:t xml:space="preserve">, the analysis should focus on local birders only and no tourist birders. Moreover, the authors interpret Figure 4 with statements about developing and least developed countries together; the actual results only hold true for the least developed countries, whereas developing countries, notably, showed patterns similar to emerging and developed countries—which ties back to our earlier point about threshold minima for data quantity. Nevertheless, in order to claim an effect of the pandemic, the pattern seen during the six-week periods of 2019 and 2020 needs to be compared against those in other months of the year as well as other pairs of years.</w:t>
      </w:r>
    </w:p>
    <w:bookmarkEnd w:id="26"/>
    <w:bookmarkEnd w:id="27"/>
    <w:bookmarkStart w:id="28" w:name="sec-socioeconomic"/>
    <w:p>
      <w:pPr>
        <w:pStyle w:val="Heading1"/>
      </w:pPr>
      <w:r>
        <w:t xml:space="preserve">Socioeconomic analysis does not support inferences</w:t>
      </w:r>
    </w:p>
    <w:p>
      <w:pPr>
        <w:pStyle w:val="FirstParagraph"/>
      </w:pPr>
      <w:r>
        <w:t xml:space="preserve">The authors discuss their socioeconomic analysis extensively in the context of government regulations, which is questionable as the stringency index variable came out as insignificant in their GLS regression. The variable itself is also questionable because the daily stringency index was averaged over the high variability across the entire six-week period—a methodological decision the authors have omitted from the manuscript.</w:t>
      </w:r>
    </w:p>
    <w:p>
      <w:pPr>
        <w:pStyle w:val="BodyText"/>
      </w:pPr>
      <w:r>
        <w:t xml:space="preserve">Economic class was slightly significant at a relatively low level (Fig 2, Fig S2); this variable is clearly directional (most to least developed; e.g., labelled 1-4 in Table S4) even though it has not been treated as such in the model. Given this implicit directionality, and the fact that only one pairwise comparison of classes (developed vs developing) showed a significant difference, we disagree with the conclusion that economic class affected data collection during the pandemic (not an appropriate logical jump; least developed was similar to developed and emerging). This is not only scientifically untrue and misleading, but is also problematic in the image that it paints. In fact, a reasonable inference here is that there is no evidence that changes in records during the pandemic correlates with the economic class of a country, which would match increases in data collection seen elsewhere</w:t>
      </w:r>
      <w:r>
        <w:rPr>
          <w:vertAlign w:val="superscript"/>
        </w:rPr>
        <w:t xml:space="preserve">11,21</w:t>
      </w:r>
      <w:r>
        <w:t xml:space="preserve">.</w:t>
      </w:r>
    </w:p>
    <w:p>
      <w:pPr>
        <w:pStyle w:val="BodyText"/>
      </w:pPr>
      <w:r>
        <w:t xml:space="preserve">The change in visits to parks and outdoor areas came out as the most important predictor of change in records during the pandemic, with increase in park visits associated with increases in number of records. However, in addition to the temporal mismatch in what this Google Mobility data compares, the</w:t>
      </w:r>
      <w:r>
        <w:t xml:space="preserve"> </w:t>
      </w:r>
      <w:r>
        <w:t xml:space="preserve">“parks and outdoor areas”</w:t>
      </w:r>
      <w:r>
        <w:t xml:space="preserve"> </w:t>
      </w:r>
      <w:r>
        <w:t xml:space="preserve">it defines likely also do not mean the same thing across the world. Specifically, parks themselves in an urban planning context as well as the concept of park visits may not be as meaningful in parts of the Global South.</w:t>
      </w:r>
      <w:r>
        <w:t xml:space="preserve"> </w:t>
      </w:r>
      <w:r>
        <w:rPr>
          <w:i/>
          <w:iCs/>
        </w:rPr>
        <w:t xml:space="preserve">Need to play around with this data for developing countries and see if it still makes sense.</w:t>
      </w:r>
    </w:p>
    <w:bookmarkEnd w:id="28"/>
    <w:bookmarkStart w:id="29" w:name="conclusion"/>
    <w:p>
      <w:pPr>
        <w:pStyle w:val="Heading1"/>
      </w:pPr>
      <w:r>
        <w:t xml:space="preserve">Conclusion</w:t>
      </w:r>
    </w:p>
    <w:p>
      <w:pPr>
        <w:pStyle w:val="FirstParagraph"/>
      </w:pPr>
      <w:r>
        <w:t xml:space="preserve">In general, there seems to have been high variability across geographical units in the impact of the pandemic on citizen science data</w:t>
      </w:r>
      <w:r>
        <w:rPr>
          <w:vertAlign w:val="superscript"/>
        </w:rPr>
        <w:t xml:space="preserve">7,11</w:t>
      </w:r>
      <w:r>
        <w:t xml:space="preserve">; as a result, the larger the spatial or temporal scale, the less evidence there seems to be for any strong consistent trend. While some of the Roilo et al.’s results</w:t>
      </w:r>
      <w:r>
        <w:rPr>
          <w:vertAlign w:val="superscript"/>
        </w:rPr>
        <w:t xml:space="preserve">1</w:t>
      </w:r>
      <w:r>
        <w:t xml:space="preserve"> </w:t>
      </w:r>
      <w:r>
        <w:t xml:space="preserve">matched patterns seen elsewhere, the analyses themselves have underlying issues owing to the complex nature of citizen science data.</w:t>
      </w:r>
    </w:p>
    <w:p>
      <w:pPr>
        <w:pStyle w:val="BodyText"/>
      </w:pPr>
      <w:r>
        <w:t xml:space="preserve">The main takeaway from Roilo et al.</w:t>
      </w:r>
      <w:r>
        <w:rPr>
          <w:vertAlign w:val="superscript"/>
        </w:rPr>
        <w:t xml:space="preserve">1</w:t>
      </w:r>
      <w:r>
        <w:t xml:space="preserve"> </w:t>
      </w:r>
      <w:r>
        <w:t xml:space="preserve">was that local, community-based biodiversity monitoring programmes are vital, especially in less developed countries, to sustain and improve the quality of global biodiversity monitoring. This is certainly true and something to emphasise and work towards. However, we stress that our fundamental concern discussed here is about incomplete/superficial/weak analyses of complex citizen science datasets, and broad sweeping inferences that do not directly follow from their results. These often give rise to bold—and perhaps misleading—claims at large scales, particularly about issues that might work differently between the Global North and South. Importantly, our intent is not to discourage such attempts of analysing citizen science data, but rather to caution that extra care be taken and nuance be incorporated when making such large-scale inferences.</w:t>
      </w:r>
    </w:p>
    <w:bookmarkEnd w:id="29"/>
    <w:bookmarkStart w:id="79" w:name="references"/>
    <w:p>
      <w:pPr>
        <w:pStyle w:val="Heading1"/>
      </w:pPr>
      <w:r>
        <w:t xml:space="preserve">References</w:t>
      </w:r>
    </w:p>
    <w:bookmarkStart w:id="78" w:name="refs"/>
    <w:bookmarkStart w:id="31" w:name="ref-roilo2025"/>
    <w:p>
      <w:pPr>
        <w:pStyle w:val="Bibliography"/>
      </w:pPr>
      <w:r>
        <w:t xml:space="preserve">1.</w:t>
      </w:r>
      <w:r>
        <w:t xml:space="preserve"> </w:t>
      </w:r>
      <w:r>
        <w:t xml:space="preserve">	</w:t>
      </w:r>
      <w:r>
        <w:t xml:space="preserve">Roilo, S., Engler, J. O. &amp; Cord, A. F.</w:t>
      </w:r>
      <w:r>
        <w:t xml:space="preserve"> </w:t>
      </w:r>
      <w:hyperlink r:id="rId30">
        <w:r>
          <w:rPr>
            <w:rStyle w:val="Hyperlink"/>
          </w:rPr>
          <w:t xml:space="preserve">Global impact of the COVID-19 lockdown on biodiversity data collection</w:t>
        </w:r>
      </w:hyperlink>
      <w:r>
        <w:t xml:space="preserve">.</w:t>
      </w:r>
      <w:r>
        <w:t xml:space="preserve"> </w:t>
      </w:r>
      <w:r>
        <w:rPr>
          <w:i/>
          <w:iCs/>
        </w:rPr>
        <w:t xml:space="preserve">Sci Rep</w:t>
      </w:r>
      <w:r>
        <w:t xml:space="preserve"> </w:t>
      </w:r>
      <w:r>
        <w:rPr>
          <w:b/>
          <w:bCs/>
        </w:rPr>
        <w:t xml:space="preserve">15</w:t>
      </w:r>
      <w:r>
        <w:t xml:space="preserve">, 8767 (2025).</w:t>
      </w:r>
    </w:p>
    <w:bookmarkEnd w:id="31"/>
    <w:bookmarkStart w:id="32" w:name="ref-hale2020"/>
    <w:p>
      <w:pPr>
        <w:pStyle w:val="Bibliography"/>
      </w:pPr>
      <w:r>
        <w:t xml:space="preserve">2.</w:t>
      </w:r>
      <w:r>
        <w:t xml:space="preserve"> </w:t>
      </w:r>
      <w:r>
        <w:t xml:space="preserve">	</w:t>
      </w:r>
      <w:r>
        <w:t xml:space="preserve">Hale, T.</w:t>
      </w:r>
      <w:r>
        <w:t xml:space="preserve"> </w:t>
      </w:r>
      <w:r>
        <w:rPr>
          <w:i/>
          <w:iCs/>
        </w:rPr>
        <w:t xml:space="preserve">et al.</w:t>
      </w:r>
      <w:r>
        <w:t xml:space="preserve"> </w:t>
      </w:r>
      <w:r>
        <w:rPr>
          <w:i/>
          <w:iCs/>
        </w:rPr>
        <w:t xml:space="preserve">Variation in government responses to COVID-19</w:t>
      </w:r>
      <w:r>
        <w:t xml:space="preserve">. (2020).</w:t>
      </w:r>
    </w:p>
    <w:bookmarkEnd w:id="32"/>
    <w:bookmarkStart w:id="34" w:name="ref-bbcnews2020"/>
    <w:p>
      <w:pPr>
        <w:pStyle w:val="Bibliography"/>
      </w:pPr>
      <w:r>
        <w:t xml:space="preserve">3.</w:t>
      </w:r>
      <w:r>
        <w:t xml:space="preserve"> </w:t>
      </w:r>
      <w:r>
        <w:t xml:space="preserve">	</w:t>
      </w:r>
      <w:r>
        <w:t xml:space="preserve">BBC News.</w:t>
      </w:r>
      <w:r>
        <w:t xml:space="preserve"> </w:t>
      </w:r>
      <w:hyperlink r:id="rId33">
        <w:r>
          <w:rPr>
            <w:rStyle w:val="Hyperlink"/>
          </w:rPr>
          <w:t xml:space="preserve">Coronavirus: India enters</w:t>
        </w:r>
        <w:r>
          <w:rPr>
            <w:rStyle w:val="Hyperlink"/>
          </w:rPr>
          <w:t xml:space="preserve"> </w:t>
        </w:r>
        <w:r>
          <w:rPr>
            <w:rStyle w:val="Hyperlink"/>
          </w:rPr>
          <w:t xml:space="preserve">‘total lockdown’</w:t>
        </w:r>
        <w:r>
          <w:rPr>
            <w:rStyle w:val="Hyperlink"/>
          </w:rPr>
          <w:t xml:space="preserve"> </w:t>
        </w:r>
        <w:r>
          <w:rPr>
            <w:rStyle w:val="Hyperlink"/>
          </w:rPr>
          <w:t xml:space="preserve">after spike in cases</w:t>
        </w:r>
      </w:hyperlink>
      <w:r>
        <w:t xml:space="preserve">.</w:t>
      </w:r>
      <w:r>
        <w:t xml:space="preserve"> </w:t>
      </w:r>
      <w:r>
        <w:rPr>
          <w:i/>
          <w:iCs/>
        </w:rPr>
        <w:t xml:space="preserve">BBC News</w:t>
      </w:r>
      <w:r>
        <w:t xml:space="preserve"> </w:t>
      </w:r>
      <w:r>
        <w:t xml:space="preserve">(2020).</w:t>
      </w:r>
    </w:p>
    <w:bookmarkEnd w:id="34"/>
    <w:bookmarkStart w:id="36" w:name="ref-banerjea2020"/>
    <w:p>
      <w:pPr>
        <w:pStyle w:val="Bibliography"/>
      </w:pPr>
      <w:r>
        <w:t xml:space="preserve">4.</w:t>
      </w:r>
      <w:r>
        <w:t xml:space="preserve"> </w:t>
      </w:r>
      <w:r>
        <w:t xml:space="preserve">	</w:t>
      </w:r>
      <w:r>
        <w:t xml:space="preserve">Banerjea, A.</w:t>
      </w:r>
      <w:r>
        <w:t xml:space="preserve"> </w:t>
      </w:r>
      <w:hyperlink r:id="rId35">
        <w:r>
          <w:rPr>
            <w:rStyle w:val="Hyperlink"/>
          </w:rPr>
          <w:t xml:space="preserve">Coronavirus lockdown extended till 31 May, says NDMA</w:t>
        </w:r>
      </w:hyperlink>
      <w:r>
        <w:t xml:space="preserve">.</w:t>
      </w:r>
      <w:r>
        <w:t xml:space="preserve"> </w:t>
      </w:r>
      <w:r>
        <w:rPr>
          <w:i/>
          <w:iCs/>
        </w:rPr>
        <w:t xml:space="preserve">mint</w:t>
      </w:r>
      <w:r>
        <w:t xml:space="preserve"> </w:t>
      </w:r>
      <w:r>
        <w:t xml:space="preserve">(2020).</w:t>
      </w:r>
    </w:p>
    <w:bookmarkEnd w:id="36"/>
    <w:bookmarkStart w:id="38" w:name="ref-johnston2021"/>
    <w:p>
      <w:pPr>
        <w:pStyle w:val="Bibliography"/>
      </w:pPr>
      <w:r>
        <w:t xml:space="preserve">5.</w:t>
      </w:r>
      <w:r>
        <w:t xml:space="preserve"> </w:t>
      </w:r>
      <w:r>
        <w:t xml:space="preserve">	</w:t>
      </w:r>
      <w:r>
        <w:t xml:space="preserve">Johnston, A.</w:t>
      </w:r>
      <w:r>
        <w:t xml:space="preserve"> </w:t>
      </w:r>
      <w:r>
        <w:rPr>
          <w:i/>
          <w:iCs/>
        </w:rPr>
        <w:t xml:space="preserve">et al.</w:t>
      </w:r>
      <w:r>
        <w:t xml:space="preserve"> </w:t>
      </w:r>
      <w:hyperlink r:id="rId37">
        <w:r>
          <w:rPr>
            <w:rStyle w:val="Hyperlink"/>
          </w:rPr>
          <w:t xml:space="preserve">Analytical guidelines to increase the value of community science data: An example using eBird data to estimate species distributions</w:t>
        </w:r>
      </w:hyperlink>
      <w:r>
        <w:t xml:space="preserve">.</w:t>
      </w:r>
      <w:r>
        <w:t xml:space="preserve"> </w:t>
      </w:r>
      <w:r>
        <w:rPr>
          <w:i/>
          <w:iCs/>
        </w:rPr>
        <w:t xml:space="preserve">Diversity and Distributions</w:t>
      </w:r>
      <w:r>
        <w:t xml:space="preserve"> </w:t>
      </w:r>
      <w:r>
        <w:rPr>
          <w:b/>
          <w:bCs/>
        </w:rPr>
        <w:t xml:space="preserve">27</w:t>
      </w:r>
      <w:r>
        <w:t xml:space="preserve">, 1265–1277 (2021).</w:t>
      </w:r>
    </w:p>
    <w:bookmarkEnd w:id="38"/>
    <w:bookmarkStart w:id="40" w:name="ref-viswanathan2024a"/>
    <w:p>
      <w:pPr>
        <w:pStyle w:val="Bibliography"/>
      </w:pPr>
      <w:r>
        <w:t xml:space="preserve">6.</w:t>
      </w:r>
      <w:r>
        <w:t xml:space="preserve"> </w:t>
      </w:r>
      <w:r>
        <w:t xml:space="preserve">	</w:t>
      </w:r>
      <w:r>
        <w:t xml:space="preserve">Viswanathan, A.</w:t>
      </w:r>
      <w:r>
        <w:t xml:space="preserve"> </w:t>
      </w:r>
      <w:r>
        <w:rPr>
          <w:i/>
          <w:iCs/>
        </w:rPr>
        <w:t xml:space="preserve">et al.</w:t>
      </w:r>
      <w:r>
        <w:t xml:space="preserve"> State of India’s Birds 2023: A framework to leverage semi-structured citizen science for bird conservation. 2024.09.05.611348 Preprint at</w:t>
      </w:r>
      <w:r>
        <w:t xml:space="preserve"> </w:t>
      </w:r>
      <w:hyperlink r:id="rId39">
        <w:r>
          <w:rPr>
            <w:rStyle w:val="Hyperlink"/>
          </w:rPr>
          <w:t xml:space="preserve">https://doi.org/10.1101/2024.09.05.611348</w:t>
        </w:r>
      </w:hyperlink>
      <w:r>
        <w:t xml:space="preserve"> </w:t>
      </w:r>
      <w:r>
        <w:t xml:space="preserve">(2024).</w:t>
      </w:r>
    </w:p>
    <w:bookmarkEnd w:id="40"/>
    <w:bookmarkStart w:id="42" w:name="ref-hochachka2021"/>
    <w:p>
      <w:pPr>
        <w:pStyle w:val="Bibliography"/>
      </w:pPr>
      <w:r>
        <w:t xml:space="preserve">7.</w:t>
      </w:r>
      <w:r>
        <w:t xml:space="preserve"> </w:t>
      </w:r>
      <w:r>
        <w:t xml:space="preserve">	</w:t>
      </w:r>
      <w:r>
        <w:t xml:space="preserve">Hochachka, W. M., Alonso, H., Gutiérrez-Expósito, C., Miller, E. &amp; Johnston, A.</w:t>
      </w:r>
      <w:r>
        <w:t xml:space="preserve"> </w:t>
      </w:r>
      <w:hyperlink r:id="rId41">
        <w:r>
          <w:rPr>
            <w:rStyle w:val="Hyperlink"/>
          </w:rPr>
          <w:t xml:space="preserve">Regional variation in the impacts of the COVID-19 pandemic on the quantity and quality of data collected by the project eBird</w:t>
        </w:r>
      </w:hyperlink>
      <w:r>
        <w:t xml:space="preserve">.</w:t>
      </w:r>
      <w:r>
        <w:t xml:space="preserve"> </w:t>
      </w:r>
      <w:r>
        <w:rPr>
          <w:i/>
          <w:iCs/>
        </w:rPr>
        <w:t xml:space="preserve">Biological Conservation</w:t>
      </w:r>
      <w:r>
        <w:t xml:space="preserve"> </w:t>
      </w:r>
      <w:r>
        <w:rPr>
          <w:b/>
          <w:bCs/>
        </w:rPr>
        <w:t xml:space="preserve">254</w:t>
      </w:r>
      <w:r>
        <w:t xml:space="preserve">, 108974 (2021).</w:t>
      </w:r>
    </w:p>
    <w:bookmarkEnd w:id="42"/>
    <w:bookmarkStart w:id="44" w:name="ref-stenhouse2022"/>
    <w:p>
      <w:pPr>
        <w:pStyle w:val="Bibliography"/>
      </w:pPr>
      <w:r>
        <w:t xml:space="preserve">8.</w:t>
      </w:r>
      <w:r>
        <w:t xml:space="preserve"> </w:t>
      </w:r>
      <w:r>
        <w:t xml:space="preserve">	</w:t>
      </w:r>
      <w:r>
        <w:t xml:space="preserve">Stenhouse, A.</w:t>
      </w:r>
      <w:r>
        <w:t xml:space="preserve"> </w:t>
      </w:r>
      <w:r>
        <w:rPr>
          <w:i/>
          <w:iCs/>
        </w:rPr>
        <w:t xml:space="preserve">et al.</w:t>
      </w:r>
      <w:r>
        <w:t xml:space="preserve"> </w:t>
      </w:r>
      <w:hyperlink r:id="rId43">
        <w:r>
          <w:rPr>
            <w:rStyle w:val="Hyperlink"/>
          </w:rPr>
          <w:t xml:space="preserve">COVID restrictions impact wildlife monitoring in Australia</w:t>
        </w:r>
      </w:hyperlink>
      <w:r>
        <w:t xml:space="preserve">.</w:t>
      </w:r>
      <w:r>
        <w:t xml:space="preserve"> </w:t>
      </w:r>
      <w:r>
        <w:rPr>
          <w:i/>
          <w:iCs/>
        </w:rPr>
        <w:t xml:space="preserve">Biological Conservation</w:t>
      </w:r>
      <w:r>
        <w:t xml:space="preserve"> </w:t>
      </w:r>
      <w:r>
        <w:rPr>
          <w:b/>
          <w:bCs/>
        </w:rPr>
        <w:t xml:space="preserve">267</w:t>
      </w:r>
      <w:r>
        <w:t xml:space="preserve">, 109470 (2022).</w:t>
      </w:r>
    </w:p>
    <w:bookmarkEnd w:id="44"/>
    <w:bookmarkStart w:id="46" w:name="ref-sweet2022"/>
    <w:p>
      <w:pPr>
        <w:pStyle w:val="Bibliography"/>
      </w:pPr>
      <w:r>
        <w:t xml:space="preserve">9.</w:t>
      </w:r>
      <w:r>
        <w:t xml:space="preserve"> </w:t>
      </w:r>
      <w:r>
        <w:t xml:space="preserve">	</w:t>
      </w:r>
      <w:r>
        <w:t xml:space="preserve">Sweet, F. S. T., Rödl, T. &amp; Weisser, W. W.</w:t>
      </w:r>
      <w:r>
        <w:t xml:space="preserve"> </w:t>
      </w:r>
      <w:hyperlink r:id="rId45">
        <w:r>
          <w:rPr>
            <w:rStyle w:val="Hyperlink"/>
          </w:rPr>
          <w:t xml:space="preserve">COVID-19 lockdown measures impacted citizen science hedgehog observation numbers in Bavaria, Germany</w:t>
        </w:r>
      </w:hyperlink>
      <w:r>
        <w:t xml:space="preserve">.</w:t>
      </w:r>
      <w:r>
        <w:t xml:space="preserve"> </w:t>
      </w:r>
      <w:r>
        <w:rPr>
          <w:i/>
          <w:iCs/>
        </w:rPr>
        <w:t xml:space="preserve">Ecology and Evolution</w:t>
      </w:r>
      <w:r>
        <w:t xml:space="preserve"> </w:t>
      </w:r>
      <w:r>
        <w:rPr>
          <w:b/>
          <w:bCs/>
        </w:rPr>
        <w:t xml:space="preserve">12</w:t>
      </w:r>
      <w:r>
        <w:t xml:space="preserve">, e8989 (2022).</w:t>
      </w:r>
    </w:p>
    <w:bookmarkEnd w:id="46"/>
    <w:bookmarkStart w:id="48" w:name="ref-crimmins2021"/>
    <w:p>
      <w:pPr>
        <w:pStyle w:val="Bibliography"/>
      </w:pPr>
      <w:r>
        <w:t xml:space="preserve">10.</w:t>
      </w:r>
      <w:r>
        <w:t xml:space="preserve"> </w:t>
      </w:r>
      <w:r>
        <w:t xml:space="preserve">	</w:t>
      </w:r>
      <w:r>
        <w:t xml:space="preserve">Crimmins, T. M., Posthumus, E., Schaffer, S. &amp; Prudic, K. L.</w:t>
      </w:r>
      <w:r>
        <w:t xml:space="preserve"> </w:t>
      </w:r>
      <w:hyperlink r:id="rId47">
        <w:r>
          <w:rPr>
            <w:rStyle w:val="Hyperlink"/>
          </w:rPr>
          <w:t xml:space="preserve">COVID-19 impacts on participation in large scale biodiversity-themed community science projects in the United States</w:t>
        </w:r>
      </w:hyperlink>
      <w:r>
        <w:t xml:space="preserve">.</w:t>
      </w:r>
      <w:r>
        <w:t xml:space="preserve"> </w:t>
      </w:r>
      <w:r>
        <w:rPr>
          <w:i/>
          <w:iCs/>
        </w:rPr>
        <w:t xml:space="preserve">Biological Conservation</w:t>
      </w:r>
      <w:r>
        <w:t xml:space="preserve"> </w:t>
      </w:r>
      <w:r>
        <w:rPr>
          <w:b/>
          <w:bCs/>
        </w:rPr>
        <w:t xml:space="preserve">256</w:t>
      </w:r>
      <w:r>
        <w:t xml:space="preserve">, 109017 (2021).</w:t>
      </w:r>
    </w:p>
    <w:bookmarkEnd w:id="48"/>
    <w:bookmarkStart w:id="50" w:name="ref-thrikkadeeri2024"/>
    <w:p>
      <w:pPr>
        <w:pStyle w:val="Bibliography"/>
      </w:pPr>
      <w:r>
        <w:t xml:space="preserve">11.</w:t>
      </w:r>
      <w:r>
        <w:t xml:space="preserve"> </w:t>
      </w:r>
      <w:r>
        <w:t xml:space="preserve">	</w:t>
      </w:r>
      <w:r>
        <w:t xml:space="preserve">Thrikkadeeri, K. &amp; Viswanathan, A. Despite short-lived changes, COVID-19 pandemic had minimal large-scale impact on citizen science participation in India.</w:t>
      </w:r>
      <w:r>
        <w:t xml:space="preserve"> </w:t>
      </w:r>
      <w:r>
        <w:rPr>
          <w:i/>
          <w:iCs/>
        </w:rPr>
        <w:t xml:space="preserve">Ornithological Applications</w:t>
      </w:r>
      <w:r>
        <w:t xml:space="preserve"> </w:t>
      </w:r>
      <w:r>
        <w:t xml:space="preserve">duae024 (2024) doi:</w:t>
      </w:r>
      <w:hyperlink r:id="rId49">
        <w:r>
          <w:rPr>
            <w:rStyle w:val="Hyperlink"/>
          </w:rPr>
          <w:t xml:space="preserve">10.1093/ornithapp/duae024</w:t>
        </w:r>
      </w:hyperlink>
      <w:r>
        <w:t xml:space="preserve">.</w:t>
      </w:r>
    </w:p>
    <w:bookmarkEnd w:id="50"/>
    <w:bookmarkStart w:id="51" w:name="ref-isaac2014"/>
    <w:p>
      <w:pPr>
        <w:pStyle w:val="Bibliography"/>
      </w:pPr>
      <w:r>
        <w:t xml:space="preserve">12.</w:t>
      </w:r>
      <w:r>
        <w:t xml:space="preserve"> </w:t>
      </w:r>
      <w:r>
        <w:t xml:space="preserve">	</w:t>
      </w:r>
      <w:r>
        <w:t xml:space="preserve">Isaac, N. J., van Strien, A. J., August, T. A., de Zeeuw, M. P. &amp; Roy, D. B. Statistics for citizen science: extracting signals of change from noisy ecological data.</w:t>
      </w:r>
      <w:r>
        <w:t xml:space="preserve"> </w:t>
      </w:r>
      <w:r>
        <w:rPr>
          <w:i/>
          <w:iCs/>
        </w:rPr>
        <w:t xml:space="preserve">Methods in Ecology and Evolution</w:t>
      </w:r>
      <w:r>
        <w:t xml:space="preserve"> </w:t>
      </w:r>
      <w:r>
        <w:rPr>
          <w:b/>
          <w:bCs/>
        </w:rPr>
        <w:t xml:space="preserve">5</w:t>
      </w:r>
      <w:r>
        <w:t xml:space="preserve">, 1052–1060 (2014).</w:t>
      </w:r>
    </w:p>
    <w:bookmarkEnd w:id="51"/>
    <w:bookmarkStart w:id="53" w:name="ref-gotelli2004"/>
    <w:p>
      <w:pPr>
        <w:pStyle w:val="Bibliography"/>
      </w:pPr>
      <w:r>
        <w:t xml:space="preserve">13.</w:t>
      </w:r>
      <w:r>
        <w:t xml:space="preserve"> </w:t>
      </w:r>
      <w:r>
        <w:t xml:space="preserve">	</w:t>
      </w:r>
      <w:r>
        <w:t xml:space="preserve">Gotelli, N. J. &amp; Ellison, A. M.</w:t>
      </w:r>
      <w:r>
        <w:t xml:space="preserve"> </w:t>
      </w:r>
      <w:hyperlink r:id="rId52">
        <w:r>
          <w:rPr>
            <w:rStyle w:val="Hyperlink"/>
            <w:i/>
            <w:iCs/>
          </w:rPr>
          <w:t xml:space="preserve">A primer of ecological statistics</w:t>
        </w:r>
      </w:hyperlink>
      <w:r>
        <w:t xml:space="preserve">. vol. 1 (Sinauer Associates Sunderland, 2004).</w:t>
      </w:r>
    </w:p>
    <w:bookmarkEnd w:id="53"/>
    <w:bookmarkStart w:id="55" w:name="ref-wasserstein2016"/>
    <w:p>
      <w:pPr>
        <w:pStyle w:val="Bibliography"/>
      </w:pPr>
      <w:r>
        <w:t xml:space="preserve">14.</w:t>
      </w:r>
      <w:r>
        <w:t xml:space="preserve"> </w:t>
      </w:r>
      <w:r>
        <w:t xml:space="preserve">	</w:t>
      </w:r>
      <w:r>
        <w:t xml:space="preserve">Wasserstein, R. L. &amp; and Lazar, N. A.</w:t>
      </w:r>
      <w:r>
        <w:t xml:space="preserve"> </w:t>
      </w:r>
      <w:hyperlink r:id="rId54">
        <w:r>
          <w:rPr>
            <w:rStyle w:val="Hyperlink"/>
          </w:rPr>
          <w:t xml:space="preserve">The ASA Statement on p-Values: Context, Process, and Purpose</w:t>
        </w:r>
      </w:hyperlink>
      <w:r>
        <w:t xml:space="preserve">.</w:t>
      </w:r>
      <w:r>
        <w:t xml:space="preserve"> </w:t>
      </w:r>
      <w:r>
        <w:rPr>
          <w:i/>
          <w:iCs/>
        </w:rPr>
        <w:t xml:space="preserve">The American Statistician</w:t>
      </w:r>
      <w:r>
        <w:t xml:space="preserve"> </w:t>
      </w:r>
      <w:r>
        <w:rPr>
          <w:b/>
          <w:bCs/>
        </w:rPr>
        <w:t xml:space="preserve">70</w:t>
      </w:r>
      <w:r>
        <w:t xml:space="preserve">, 129–133 (2016).</w:t>
      </w:r>
    </w:p>
    <w:bookmarkEnd w:id="55"/>
    <w:bookmarkStart w:id="57" w:name="ref-mazalla2022"/>
    <w:p>
      <w:pPr>
        <w:pStyle w:val="Bibliography"/>
      </w:pPr>
      <w:r>
        <w:t xml:space="preserve">15.</w:t>
      </w:r>
      <w:r>
        <w:t xml:space="preserve"> </w:t>
      </w:r>
      <w:r>
        <w:t xml:space="preserve">	</w:t>
      </w:r>
      <w:r>
        <w:t xml:space="preserve">Mazalla, L. &amp; Diekmann, M.</w:t>
      </w:r>
      <w:r>
        <w:t xml:space="preserve"> </w:t>
      </w:r>
      <w:hyperlink r:id="rId56">
        <w:r>
          <w:rPr>
            <w:rStyle w:val="Hyperlink"/>
          </w:rPr>
          <w:t xml:space="preserve">Regression to the mean in vegetation science</w:t>
        </w:r>
      </w:hyperlink>
      <w:r>
        <w:t xml:space="preserve">.</w:t>
      </w:r>
      <w:r>
        <w:t xml:space="preserve"> </w:t>
      </w:r>
      <w:r>
        <w:rPr>
          <w:i/>
          <w:iCs/>
        </w:rPr>
        <w:t xml:space="preserve">Journal of Vegetation Science</w:t>
      </w:r>
      <w:r>
        <w:t xml:space="preserve"> </w:t>
      </w:r>
      <w:r>
        <w:rPr>
          <w:b/>
          <w:bCs/>
        </w:rPr>
        <w:t xml:space="preserve">33</w:t>
      </w:r>
      <w:r>
        <w:t xml:space="preserve">, e13117 (2022).</w:t>
      </w:r>
    </w:p>
    <w:bookmarkEnd w:id="57"/>
    <w:bookmarkStart w:id="59" w:name="ref-barnett2005"/>
    <w:p>
      <w:pPr>
        <w:pStyle w:val="Bibliography"/>
      </w:pPr>
      <w:r>
        <w:t xml:space="preserve">16.</w:t>
      </w:r>
      <w:r>
        <w:t xml:space="preserve"> </w:t>
      </w:r>
      <w:r>
        <w:t xml:space="preserve">	</w:t>
      </w:r>
      <w:r>
        <w:t xml:space="preserve">Barnett, A. G., van der Pols, J. C. &amp; Dobson, A. J.</w:t>
      </w:r>
      <w:r>
        <w:t xml:space="preserve"> </w:t>
      </w:r>
      <w:hyperlink r:id="rId58">
        <w:r>
          <w:rPr>
            <w:rStyle w:val="Hyperlink"/>
          </w:rPr>
          <w:t xml:space="preserve">Regression to the mean: what it is and how to deal with it</w:t>
        </w:r>
      </w:hyperlink>
      <w:r>
        <w:t xml:space="preserve">.</w:t>
      </w:r>
      <w:r>
        <w:t xml:space="preserve"> </w:t>
      </w:r>
      <w:r>
        <w:rPr>
          <w:i/>
          <w:iCs/>
        </w:rPr>
        <w:t xml:space="preserve">International Journal of Epidemiology</w:t>
      </w:r>
      <w:r>
        <w:t xml:space="preserve"> </w:t>
      </w:r>
      <w:r>
        <w:rPr>
          <w:b/>
          <w:bCs/>
        </w:rPr>
        <w:t xml:space="preserve">34</w:t>
      </w:r>
      <w:r>
        <w:t xml:space="preserve">, 215–220 (2005).</w:t>
      </w:r>
    </w:p>
    <w:bookmarkEnd w:id="59"/>
    <w:bookmarkStart w:id="61" w:name="ref-helwig2024"/>
    <w:p>
      <w:pPr>
        <w:pStyle w:val="Bibliography"/>
      </w:pPr>
      <w:r>
        <w:t xml:space="preserve">17.</w:t>
      </w:r>
      <w:r>
        <w:t xml:space="preserve"> </w:t>
      </w:r>
      <w:r>
        <w:t xml:space="preserve">	</w:t>
      </w:r>
      <w:r>
        <w:t xml:space="preserve">Helwig, N. E.</w:t>
      </w:r>
      <w:r>
        <w:t xml:space="preserve"> </w:t>
      </w:r>
      <w:hyperlink r:id="rId60">
        <w:r>
          <w:rPr>
            <w:rStyle w:val="Hyperlink"/>
          </w:rPr>
          <w:t xml:space="preserve">Package</w:t>
        </w:r>
        <w:r>
          <w:rPr>
            <w:rStyle w:val="Hyperlink"/>
          </w:rPr>
          <w:t xml:space="preserve"> </w:t>
        </w:r>
        <w:r>
          <w:rPr>
            <w:rStyle w:val="Hyperlink"/>
          </w:rPr>
          <w:t xml:space="preserve">‘npreg’</w:t>
        </w:r>
      </w:hyperlink>
      <w:r>
        <w:t xml:space="preserve">. (2024).</w:t>
      </w:r>
    </w:p>
    <w:bookmarkEnd w:id="61"/>
    <w:bookmarkStart w:id="63" w:name="ref-gbif2025"/>
    <w:p>
      <w:pPr>
        <w:pStyle w:val="Bibliography"/>
      </w:pPr>
      <w:r>
        <w:t xml:space="preserve">18.</w:t>
      </w:r>
      <w:r>
        <w:t xml:space="preserve"> </w:t>
      </w:r>
      <w:r>
        <w:t xml:space="preserve">	</w:t>
      </w:r>
      <w:r>
        <w:t xml:space="preserve">GBIF. What is GBIF?</w:t>
      </w:r>
      <w:r>
        <w:t xml:space="preserve"> </w:t>
      </w:r>
      <w:hyperlink r:id="rId62">
        <w:r>
          <w:rPr>
            <w:rStyle w:val="Hyperlink"/>
          </w:rPr>
          <w:t xml:space="preserve">https://www.gbif.org/what-is-gbif</w:t>
        </w:r>
      </w:hyperlink>
      <w:r>
        <w:t xml:space="preserve"> </w:t>
      </w:r>
      <w:r>
        <w:t xml:space="preserve">(2025).</w:t>
      </w:r>
    </w:p>
    <w:bookmarkEnd w:id="63"/>
    <w:bookmarkStart w:id="65" w:name="ref-kelling2019"/>
    <w:p>
      <w:pPr>
        <w:pStyle w:val="Bibliography"/>
      </w:pPr>
      <w:r>
        <w:t xml:space="preserve">19.</w:t>
      </w:r>
      <w:r>
        <w:t xml:space="preserve"> </w:t>
      </w:r>
      <w:r>
        <w:t xml:space="preserve">	</w:t>
      </w:r>
      <w:r>
        <w:t xml:space="preserve">Kelling, S.</w:t>
      </w:r>
      <w:r>
        <w:t xml:space="preserve"> </w:t>
      </w:r>
      <w:r>
        <w:rPr>
          <w:i/>
          <w:iCs/>
        </w:rPr>
        <w:t xml:space="preserve">et al.</w:t>
      </w:r>
      <w:r>
        <w:t xml:space="preserve"> </w:t>
      </w:r>
      <w:hyperlink r:id="rId64">
        <w:r>
          <w:rPr>
            <w:rStyle w:val="Hyperlink"/>
          </w:rPr>
          <w:t xml:space="preserve">Using Semistructured Surveys to Improve Citizen Science Data for Monitoring Biodiversity</w:t>
        </w:r>
      </w:hyperlink>
      <w:r>
        <w:t xml:space="preserve">.</w:t>
      </w:r>
      <w:r>
        <w:t xml:space="preserve"> </w:t>
      </w:r>
      <w:r>
        <w:rPr>
          <w:i/>
          <w:iCs/>
        </w:rPr>
        <w:t xml:space="preserve">BioScience</w:t>
      </w:r>
      <w:r>
        <w:t xml:space="preserve"> </w:t>
      </w:r>
      <w:r>
        <w:rPr>
          <w:b/>
          <w:bCs/>
        </w:rPr>
        <w:t xml:space="preserve">69</w:t>
      </w:r>
      <w:r>
        <w:t xml:space="preserve">, 170–179 (2019).</w:t>
      </w:r>
    </w:p>
    <w:bookmarkEnd w:id="65"/>
    <w:bookmarkStart w:id="67" w:name="ref-sullivan2014"/>
    <w:p>
      <w:pPr>
        <w:pStyle w:val="Bibliography"/>
      </w:pPr>
      <w:r>
        <w:t xml:space="preserve">20.</w:t>
      </w:r>
      <w:r>
        <w:t xml:space="preserve"> </w:t>
      </w:r>
      <w:r>
        <w:t xml:space="preserve">	</w:t>
      </w:r>
      <w:r>
        <w:t xml:space="preserve">Sullivan, B. L.</w:t>
      </w:r>
      <w:r>
        <w:t xml:space="preserve"> </w:t>
      </w:r>
      <w:r>
        <w:rPr>
          <w:i/>
          <w:iCs/>
        </w:rPr>
        <w:t xml:space="preserve">et al.</w:t>
      </w:r>
      <w:r>
        <w:t xml:space="preserve"> </w:t>
      </w:r>
      <w:hyperlink r:id="rId66">
        <w:r>
          <w:rPr>
            <w:rStyle w:val="Hyperlink"/>
          </w:rPr>
          <w:t xml:space="preserve">The eBird enterprise: An integrated approach to development and application of citizen science</w:t>
        </w:r>
      </w:hyperlink>
      <w:r>
        <w:t xml:space="preserve">.</w:t>
      </w:r>
      <w:r>
        <w:t xml:space="preserve"> </w:t>
      </w:r>
      <w:r>
        <w:rPr>
          <w:i/>
          <w:iCs/>
        </w:rPr>
        <w:t xml:space="preserve">Biological Conservation</w:t>
      </w:r>
      <w:r>
        <w:t xml:space="preserve"> </w:t>
      </w:r>
      <w:r>
        <w:rPr>
          <w:b/>
          <w:bCs/>
        </w:rPr>
        <w:t xml:space="preserve">169</w:t>
      </w:r>
      <w:r>
        <w:t xml:space="preserve">, 31–40 (2014).</w:t>
      </w:r>
    </w:p>
    <w:bookmarkEnd w:id="67"/>
    <w:bookmarkStart w:id="69" w:name="ref-basile2021"/>
    <w:p>
      <w:pPr>
        <w:pStyle w:val="Bibliography"/>
      </w:pPr>
      <w:r>
        <w:t xml:space="preserve">21.</w:t>
      </w:r>
      <w:r>
        <w:t xml:space="preserve"> </w:t>
      </w:r>
      <w:r>
        <w:t xml:space="preserve">	</w:t>
      </w:r>
      <w:r>
        <w:t xml:space="preserve">Basile, M., Russo, L. F., Russo, V. G., Senese, A. &amp; Bernardo, N.</w:t>
      </w:r>
      <w:r>
        <w:t xml:space="preserve"> </w:t>
      </w:r>
      <w:hyperlink r:id="rId68">
        <w:r>
          <w:rPr>
            <w:rStyle w:val="Hyperlink"/>
          </w:rPr>
          <w:t xml:space="preserve">Birds seen and not seen during the COVID-19 pandemic: The impact of lockdown measures on citizen science bird observations</w:t>
        </w:r>
      </w:hyperlink>
      <w:r>
        <w:t xml:space="preserve">.</w:t>
      </w:r>
      <w:r>
        <w:t xml:space="preserve"> </w:t>
      </w:r>
      <w:r>
        <w:rPr>
          <w:i/>
          <w:iCs/>
        </w:rPr>
        <w:t xml:space="preserve">Biological Conservation</w:t>
      </w:r>
      <w:r>
        <w:t xml:space="preserve"> </w:t>
      </w:r>
      <w:r>
        <w:rPr>
          <w:b/>
          <w:bCs/>
        </w:rPr>
        <w:t xml:space="preserve">256</w:t>
      </w:r>
      <w:r>
        <w:t xml:space="preserve">, 109079 (2021).</w:t>
      </w:r>
    </w:p>
    <w:bookmarkEnd w:id="69"/>
    <w:bookmarkStart w:id="71" w:name="ref-randler2020"/>
    <w:p>
      <w:pPr>
        <w:pStyle w:val="Bibliography"/>
      </w:pPr>
      <w:r>
        <w:t xml:space="preserve">22.</w:t>
      </w:r>
      <w:r>
        <w:t xml:space="preserve"> </w:t>
      </w:r>
      <w:r>
        <w:t xml:space="preserve">	</w:t>
      </w:r>
      <w:r>
        <w:t xml:space="preserve">Randler, C., Tryjanowski, P., Jokimäki, J., Kaisanlahti-Jokimäki, M.-L. &amp; Staller, N.</w:t>
      </w:r>
      <w:r>
        <w:t xml:space="preserve"> </w:t>
      </w:r>
      <w:hyperlink r:id="rId70">
        <w:r>
          <w:rPr>
            <w:rStyle w:val="Hyperlink"/>
          </w:rPr>
          <w:t xml:space="preserve">SARS-CoV2 (COVID-19) Pandemic Lockdown Influences Nature-Based Recreational Activity: The Case of Birders</w:t>
        </w:r>
      </w:hyperlink>
      <w:r>
        <w:t xml:space="preserve">.</w:t>
      </w:r>
      <w:r>
        <w:t xml:space="preserve"> </w:t>
      </w:r>
      <w:r>
        <w:rPr>
          <w:i/>
          <w:iCs/>
        </w:rPr>
        <w:t xml:space="preserve">International Journal of Environmental Research and Public Health</w:t>
      </w:r>
      <w:r>
        <w:t xml:space="preserve"> </w:t>
      </w:r>
      <w:r>
        <w:rPr>
          <w:b/>
          <w:bCs/>
        </w:rPr>
        <w:t xml:space="preserve">17</w:t>
      </w:r>
      <w:r>
        <w:t xml:space="preserve">, 7310 (2020).</w:t>
      </w:r>
    </w:p>
    <w:bookmarkEnd w:id="71"/>
    <w:bookmarkStart w:id="73" w:name="ref-vardi2021"/>
    <w:p>
      <w:pPr>
        <w:pStyle w:val="Bibliography"/>
      </w:pPr>
      <w:r>
        <w:t xml:space="preserve">23.</w:t>
      </w:r>
      <w:r>
        <w:t xml:space="preserve"> </w:t>
      </w:r>
      <w:r>
        <w:t xml:space="preserve">	</w:t>
      </w:r>
      <w:r>
        <w:t xml:space="preserve">Vardi, R., Berger-Tal, O. &amp; Roll, U.</w:t>
      </w:r>
      <w:r>
        <w:t xml:space="preserve"> </w:t>
      </w:r>
      <w:hyperlink r:id="rId72">
        <w:r>
          <w:rPr>
            <w:rStyle w:val="Hyperlink"/>
          </w:rPr>
          <w:t xml:space="preserve">iNaturalist insights illuminate COVID-19 effects on large mammals in urban centers</w:t>
        </w:r>
      </w:hyperlink>
      <w:r>
        <w:t xml:space="preserve">.</w:t>
      </w:r>
      <w:r>
        <w:t xml:space="preserve"> </w:t>
      </w:r>
      <w:r>
        <w:rPr>
          <w:i/>
          <w:iCs/>
        </w:rPr>
        <w:t xml:space="preserve">Biological Conservation</w:t>
      </w:r>
      <w:r>
        <w:t xml:space="preserve"> </w:t>
      </w:r>
      <w:r>
        <w:rPr>
          <w:b/>
          <w:bCs/>
        </w:rPr>
        <w:t xml:space="preserve">254</w:t>
      </w:r>
      <w:r>
        <w:t xml:space="preserve">, 108953 (2021).</w:t>
      </w:r>
    </w:p>
    <w:bookmarkEnd w:id="73"/>
    <w:bookmarkStart w:id="75" w:name="ref-berger2014"/>
    <w:p>
      <w:pPr>
        <w:pStyle w:val="Bibliography"/>
      </w:pPr>
      <w:r>
        <w:t xml:space="preserve">24.</w:t>
      </w:r>
      <w:r>
        <w:t xml:space="preserve"> </w:t>
      </w:r>
      <w:r>
        <w:t xml:space="preserve">	</w:t>
      </w:r>
      <w:r>
        <w:t xml:space="preserve">Berger, V. W. &amp; Zhou, Y. Kolmogorov–Smirnov Test: Overview. in</w:t>
      </w:r>
      <w:r>
        <w:t xml:space="preserve"> </w:t>
      </w:r>
      <w:r>
        <w:rPr>
          <w:i/>
          <w:iCs/>
        </w:rPr>
        <w:t xml:space="preserve">Wiley StatsRef: Statistics Reference Online</w:t>
      </w:r>
      <w:r>
        <w:t xml:space="preserve"> </w:t>
      </w:r>
      <w:r>
        <w:t xml:space="preserve">(John Wiley &amp; Sons, Ltd, 2014). doi:</w:t>
      </w:r>
      <w:hyperlink r:id="rId74">
        <w:r>
          <w:rPr>
            <w:rStyle w:val="Hyperlink"/>
          </w:rPr>
          <w:t xml:space="preserve">10.1002/9781118445112.stat06558</w:t>
        </w:r>
      </w:hyperlink>
      <w:r>
        <w:t xml:space="preserve">.</w:t>
      </w:r>
    </w:p>
    <w:bookmarkEnd w:id="75"/>
    <w:bookmarkStart w:id="77" w:name="ref-bubeliny2011"/>
    <w:p>
      <w:pPr>
        <w:pStyle w:val="Bibliography"/>
      </w:pPr>
      <w:r>
        <w:t xml:space="preserve">25.</w:t>
      </w:r>
      <w:r>
        <w:t xml:space="preserve"> </w:t>
      </w:r>
      <w:r>
        <w:t xml:space="preserve">	</w:t>
      </w:r>
      <w:r>
        <w:t xml:space="preserve">Bubelíny, P. Some notes on biasedness and unbiasedness of two-sample Kolmogorov-Smirnov test. Preprint at</w:t>
      </w:r>
      <w:r>
        <w:t xml:space="preserve"> </w:t>
      </w:r>
      <w:hyperlink r:id="rId76">
        <w:r>
          <w:rPr>
            <w:rStyle w:val="Hyperlink"/>
          </w:rPr>
          <w:t xml:space="preserve">https://doi.org/10.48550/arXiv.1106.5598</w:t>
        </w:r>
      </w:hyperlink>
      <w:r>
        <w:t xml:space="preserve"> </w:t>
      </w:r>
      <w:r>
        <w:t xml:space="preserve">(2011).</w:t>
      </w:r>
    </w:p>
    <w:bookmarkEnd w:id="77"/>
    <w:bookmarkEnd w:id="78"/>
    <w:p>
      <w:r>
        <w:br w:type="page"/>
      </w:r>
    </w:p>
    <w:bookmarkEnd w:id="79"/>
    <w:bookmarkStart w:id="80" w:name="author-contributions"/>
    <w:p>
      <w:pPr>
        <w:pStyle w:val="Heading1"/>
      </w:pPr>
      <w:r>
        <w:t xml:space="preserve">Author contributions</w:t>
      </w:r>
    </w:p>
    <w:bookmarkEnd w:id="80"/>
    <w:bookmarkStart w:id="81" w:name="competing-interests"/>
    <w:p>
      <w:pPr>
        <w:pStyle w:val="Heading1"/>
      </w:pPr>
      <w:r>
        <w:t xml:space="preserve">Competing interests</w:t>
      </w:r>
    </w:p>
    <w:p>
      <w:pPr>
        <w:pStyle w:val="FirstParagraph"/>
      </w:pPr>
      <w:r>
        <w:t xml:space="preserve">We (KT and AV) conducted a similar analysis for India</w:t>
      </w:r>
      <w:r>
        <w:rPr>
          <w:vertAlign w:val="superscript"/>
        </w:rPr>
        <w:t xml:space="preserve">11</w:t>
      </w:r>
      <w:r>
        <w:t xml:space="preserve">, which found results that do not match those of Roilo et al.</w:t>
      </w:r>
      <w:r>
        <w:rPr>
          <w:vertAlign w:val="superscript"/>
        </w:rPr>
        <w:t xml:space="preserve">1</w:t>
      </w:r>
      <w:r>
        <w:t xml:space="preserve"> </w:t>
      </w:r>
      <w:r>
        <w:t xml:space="preserve">and was not cited. Although other studies reporting similar results were cited, they were not contextualised adequately.</w:t>
      </w:r>
    </w:p>
    <w:bookmarkEnd w:id="81"/>
    <w:sectPr>
      <w:footnotePr>
        <w:numFmt w:val="decimal"/>
      </w:footnotePr>
      <w:type w:val="nextPage"/>
      <w:pgSz w:h="15840" w:w="12240"/>
      <w:pgMar w:bottom="1440" w:footer="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Times New Roman">
    <w:charset w:val="01"/>
    <w:family w:val="roman"/>
    <w:pitch w:val="variable"/>
  </w:font>
  <w:font w:name="Aptos Display">
    <w:charset w:val="01"/>
    <w:family w:val="roman"/>
    <w:pitch w:val="variable"/>
  </w:font>
  <w:font w:name="Consolas">
    <w:charset w:val="01"/>
    <w:family w:val="roman"/>
    <w:pitch w:val="variable"/>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autoHyphenation w:val="tru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
  <w:rsids>
  </w:rsids>
  <w:themeFontLang w:bidi="" w:eastAsia=""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asciiTheme="minorHAnsi" w:cs="" w:cstheme="minorBidi" w:eastAsia="Aptos" w:eastAsiaTheme="minorHAnsi" w:hAnsi="Aptos" w:hAnsiTheme="minorHAnsi"/>
        <w:sz w:val="24"/>
        <w:szCs w:val="24"/>
        <w:lang w:bidi="ar-SA" w:eastAsia="en-US" w:val="en-US"/>
      </w:rPr>
    </w:rPrDefault>
    <w:pPrDefault>
      <w:pPr>
        <w:suppressAutoHyphens w:val="true"/>
      </w:pPr>
    </w:pPrDefault>
  </w:docDefaults>
  <w:latentStyles w:count="276" w:defLockedState="0" w:defQFormat="0" w:defSemiHidden="0" w:defUIPriority="0" w:defUnhideWhenUsed="0"/>
  <w:style w:default="1" w:styleId="Normal" w:type="paragraph">
    <w:name w:val="Normal"/>
    <w:qFormat/>
    <w:pPr>
      <w:widowControl/>
      <w:suppressAutoHyphens w:val="true"/>
      <w:bidi w:val="0"/>
      <w:spacing w:after="200" w:before="0" w:line="480" w:lineRule="auto"/>
      <w:jc w:val="left"/>
    </w:pPr>
    <w:rPr>
      <w:rFonts w:ascii="Times New Roman" w:cs="" w:cstheme="minorBidi" w:eastAsia="Aptos" w:eastAsiaTheme="minorHAnsi" w:hAnsi="Times New Roman"/>
      <w:color w:val="auto"/>
      <w:kern w:val="0"/>
      <w:sz w:val="24"/>
      <w:szCs w:val="24"/>
      <w:lang w:bidi="ar-SA" w:eastAsia="en-US" w:val="en-US"/>
    </w:rPr>
  </w:style>
  <w:style w:styleId="Heading1" w:type="paragraph">
    <w:name w:val="Heading 1"/>
    <w:basedOn w:val="Normal"/>
    <w:next w:val="BodyText"/>
    <w:link w:val="Heading1Char"/>
    <w:uiPriority w:val="9"/>
    <w:qFormat/>
    <w:rsid w:val="00a10fd9"/>
    <w:pPr>
      <w:keepNext w:val="true"/>
      <w:keepLines/>
      <w:spacing w:after="80" w:before="360"/>
      <w:outlineLvl w:val="0"/>
    </w:pPr>
    <w:rPr>
      <w:rFonts w:ascii="Times New Roman" w:cs="" w:cstheme="majorBidi" w:eastAsia="" w:eastAsiaTheme="majorEastAsia" w:hAnsi="Times New Roman"/>
      <w:color w:val="auto"/>
      <w:sz w:val="40"/>
      <w:szCs w:val="40"/>
    </w:rPr>
  </w:style>
  <w:style w:styleId="Heading2" w:type="paragraph">
    <w:name w:val="Heading 2"/>
    <w:basedOn w:val="Normal"/>
    <w:next w:val="BodyText"/>
    <w:link w:val="Heading2Char"/>
    <w:uiPriority w:val="9"/>
    <w:semiHidden/>
    <w:unhideWhenUsed/>
    <w:qFormat/>
    <w:rsid w:val="00a10fd9"/>
    <w:pPr>
      <w:keepNext w:val="true"/>
      <w:keepLines/>
      <w:spacing w:after="80" w:before="160"/>
      <w:outlineLvl w:val="1"/>
    </w:pPr>
    <w:rPr>
      <w:rFonts w:ascii="Times New Roman" w:cs="" w:cstheme="majorBidi" w:eastAsia="" w:eastAsiaTheme="majorEastAsia" w:hAnsi="Times New Roman"/>
      <w:color w:val="auto"/>
      <w:sz w:val="32"/>
      <w:szCs w:val="32"/>
    </w:rPr>
  </w:style>
  <w:style w:styleId="Heading3" w:type="paragraph">
    <w:name w:val="Heading 3"/>
    <w:basedOn w:val="Normal"/>
    <w:next w:val="BodyText"/>
    <w:link w:val="Heading3Char"/>
    <w:uiPriority w:val="9"/>
    <w:semiHidden/>
    <w:unhideWhenUsed/>
    <w:qFormat/>
    <w:rsid w:val="00a10fd9"/>
    <w:pPr>
      <w:keepNext w:val="true"/>
      <w:keepLines/>
      <w:spacing w:after="80" w:before="160"/>
      <w:outlineLvl w:val="2"/>
    </w:pPr>
    <w:rPr>
      <w:rFonts w:cs="" w:cstheme="majorBidi" w:eastAsia="" w:eastAsiaTheme="majorEastAsia"/>
      <w:color w:val="auto"/>
      <w:sz w:val="28"/>
      <w:szCs w:val="28"/>
    </w:rPr>
  </w:style>
  <w:style w:styleId="Heading4" w:type="paragraph">
    <w:name w:val="Heading 4"/>
    <w:basedOn w:val="Normal"/>
    <w:next w:val="BodyText"/>
    <w:link w:val="Heading4Char"/>
    <w:uiPriority w:val="9"/>
    <w:semiHidden/>
    <w:unhideWhenUsed/>
    <w:qFormat/>
    <w:rsid w:val="00a10fd9"/>
    <w:pPr>
      <w:keepNext w:val="true"/>
      <w:keepLines/>
      <w:spacing w:after="40" w:before="80"/>
      <w:outlineLvl w:val="3"/>
    </w:pPr>
    <w:rPr>
      <w:rFonts w:cs="" w:cstheme="majorBidi" w:eastAsia="" w:eastAsiaTheme="majorEastAsia"/>
      <w:i/>
      <w:iCs/>
      <w:color w:val="auto"/>
    </w:rPr>
  </w:style>
  <w:style w:styleId="Heading5" w:type="paragraph">
    <w:name w:val="Heading 5"/>
    <w:basedOn w:val="Normal"/>
    <w:next w:val="BodyText"/>
    <w:link w:val="Heading5Char"/>
    <w:uiPriority w:val="9"/>
    <w:semiHidden/>
    <w:unhideWhenUsed/>
    <w:qFormat/>
    <w:rsid w:val="00a10fd9"/>
    <w:pPr>
      <w:keepNext w:val="true"/>
      <w:keepLines/>
      <w:spacing w:after="40" w:before="80"/>
      <w:outlineLvl w:val="4"/>
    </w:pPr>
    <w:rPr>
      <w:rFonts w:cs="" w:cstheme="majorBidi" w:eastAsia="" w:eastAsiaTheme="majorEastAsia"/>
      <w:color w:val="auto"/>
    </w:rPr>
  </w:style>
  <w:style w:styleId="Heading6" w:type="paragraph">
    <w:name w:val="Heading 6"/>
    <w:basedOn w:val="Normal"/>
    <w:next w:val="BodyText"/>
    <w:link w:val="Heading6Char"/>
    <w:uiPriority w:val="9"/>
    <w:semiHidden/>
    <w:unhideWhenUsed/>
    <w:qFormat/>
    <w:rsid w:val="00a10fd9"/>
    <w:pPr>
      <w:keepNext w:val="true"/>
      <w:keepLines/>
      <w:spacing w:after="0" w:before="40"/>
      <w:outlineLvl w:val="5"/>
    </w:pPr>
    <w:rPr>
      <w:rFonts w:cs="" w:cstheme="majorBidi" w:eastAsia=""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val="true"/>
      <w:keepLines/>
      <w:spacing w:after="0" w:before="40"/>
      <w:outlineLvl w:val="6"/>
    </w:pPr>
    <w:rPr>
      <w:rFonts w:cs="" w:cstheme="majorBidi" w:eastAsia=""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val="true"/>
      <w:keepLines/>
      <w:spacing w:after="0" w:before="0"/>
      <w:outlineLvl w:val="7"/>
    </w:pPr>
    <w:rPr>
      <w:rFonts w:cs="" w:cstheme="majorBidi" w:eastAsia=""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val="true"/>
      <w:keepLines/>
      <w:spacing w:after="0" w:before="0"/>
      <w:outlineLvl w:val="8"/>
    </w:pPr>
    <w:rPr>
      <w:rFonts w:cs="" w:cstheme="majorBidi" w:eastAsia="" w:eastAsiaTheme="majorEastAsia"/>
      <w:color w:themeColor="text1" w:themeTint="d8" w:val="272727"/>
    </w:rPr>
  </w:style>
  <w:style w:customStyle="1" w:styleId="TitleChar" w:type="character">
    <w:name w:val="Title Char"/>
    <w:basedOn w:val="DefaultParagraphFont"/>
    <w:link w:val="Title"/>
    <w:uiPriority w:val="10"/>
    <w:qFormat/>
    <w:rsid w:val="00a10fd9"/>
    <w:rPr>
      <w:rFonts w:ascii="Aptos Display" w:asciiTheme="majorHAnsi" w:cs="" w:cstheme="majorBidi" w:eastAsia="" w:eastAsiaTheme="majorEastAsia" w:hAnsi="Aptos Display" w:hAnsiTheme="majorHAnsi"/>
      <w:spacing w:val="-10"/>
      <w:kern w:val="2"/>
      <w:sz w:val="56"/>
      <w:szCs w:val="56"/>
    </w:rPr>
  </w:style>
  <w:style w:customStyle="1" w:styleId="SubtitleChar" w:type="character">
    <w:name w:val="Subtitle Char"/>
    <w:basedOn w:val="DefaultParagraphFont"/>
    <w:link w:val="Subtitle"/>
    <w:uiPriority w:val="11"/>
    <w:qFormat/>
    <w:rsid w:val="00a10fd9"/>
    <w:rPr>
      <w:rFonts w:cs="" w:cstheme="majorBidi" w:eastAsia="" w:eastAsiaTheme="majorEastAsia"/>
      <w:color w:themeColor="text1" w:themeTint="a6" w:val="595959"/>
      <w:spacing w:val="15"/>
      <w:sz w:val="28"/>
      <w:szCs w:val="28"/>
    </w:rPr>
  </w:style>
  <w:style w:customStyle="1" w:styleId="Heading1Char" w:type="character">
    <w:name w:val="Heading 1 Char"/>
    <w:basedOn w:val="DefaultParagraphFont"/>
    <w:link w:val="Heading1"/>
    <w:uiPriority w:val="9"/>
    <w:qFormat/>
    <w:rsid w:val="00a10fd9"/>
    <w:rPr>
      <w:rFonts w:ascii="Aptos Display" w:asciiTheme="majorHAnsi" w:cs="" w:cstheme="majorBidi" w:eastAsia="" w:eastAsiaTheme="majorEastAsia" w:hAnsi="Aptos Display" w:hAnsiTheme="majorHAnsi"/>
      <w:color w:themeColor="accent1" w:themeShade="bf" w:val="0F4761"/>
      <w:sz w:val="40"/>
      <w:szCs w:val="40"/>
    </w:rPr>
  </w:style>
  <w:style w:customStyle="1" w:styleId="Heading2Char" w:type="character">
    <w:name w:val="Heading 2 Char"/>
    <w:basedOn w:val="DefaultParagraphFont"/>
    <w:link w:val="Heading2"/>
    <w:uiPriority w:val="9"/>
    <w:semiHidden/>
    <w:qFormat/>
    <w:rsid w:val="00a10fd9"/>
    <w:rPr>
      <w:rFonts w:ascii="Aptos Display" w:asciiTheme="majorHAnsi" w:cs="" w:cstheme="majorBidi" w:eastAsia="" w:eastAsiaTheme="majorEastAsia" w:hAnsi="Aptos Display" w:hAnsiTheme="majorHAnsi"/>
      <w:color w:themeColor="accent1" w:themeShade="bf" w:val="0F4761"/>
      <w:sz w:val="32"/>
      <w:szCs w:val="32"/>
    </w:rPr>
  </w:style>
  <w:style w:customStyle="1" w:styleId="Heading3Char" w:type="character">
    <w:name w:val="Heading 3 Char"/>
    <w:basedOn w:val="DefaultParagraphFont"/>
    <w:link w:val="Heading3"/>
    <w:uiPriority w:val="9"/>
    <w:semiHidden/>
    <w:qFormat/>
    <w:rsid w:val="00a10fd9"/>
    <w:rPr>
      <w:rFonts w:cs="" w:cstheme="majorBidi" w:eastAsia=""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qFormat/>
    <w:rsid w:val="00a10fd9"/>
    <w:rPr>
      <w:rFonts w:cs="" w:cstheme="majorBidi" w:eastAsia="" w:eastAsiaTheme="majorEastAsia"/>
      <w:i/>
      <w:iCs/>
      <w:color w:themeColor="accent1" w:themeShade="bf" w:val="0F4761"/>
    </w:rPr>
  </w:style>
  <w:style w:customStyle="1" w:styleId="Heading5Char" w:type="character">
    <w:name w:val="Heading 5 Char"/>
    <w:basedOn w:val="DefaultParagraphFont"/>
    <w:link w:val="Heading5"/>
    <w:uiPriority w:val="9"/>
    <w:semiHidden/>
    <w:qFormat/>
    <w:rsid w:val="00a10fd9"/>
    <w:rPr>
      <w:rFonts w:cs="" w:cstheme="majorBidi" w:eastAsia="" w:eastAsiaTheme="majorEastAsia"/>
      <w:color w:themeColor="accent1" w:themeShade="bf" w:val="0F4761"/>
    </w:rPr>
  </w:style>
  <w:style w:customStyle="1" w:styleId="Heading6Char" w:type="character">
    <w:name w:val="Heading 6 Char"/>
    <w:basedOn w:val="DefaultParagraphFont"/>
    <w:link w:val="Heading6"/>
    <w:uiPriority w:val="9"/>
    <w:semiHidden/>
    <w:qFormat/>
    <w:rsid w:val="00a10fd9"/>
    <w:rPr>
      <w:rFonts w:cs="" w:cstheme="majorBidi" w:eastAsia="" w:eastAsiaTheme="majorEastAsia"/>
      <w:i/>
      <w:iCs/>
      <w:color w:themeColor="text1" w:themeTint="a6" w:val="595959"/>
    </w:rPr>
  </w:style>
  <w:style w:customStyle="1" w:styleId="Heading7Char" w:type="character">
    <w:name w:val="Heading 7 Char"/>
    <w:basedOn w:val="DefaultParagraphFont"/>
    <w:link w:val="Heading7"/>
    <w:uiPriority w:val="9"/>
    <w:semiHidden/>
    <w:qFormat/>
    <w:rsid w:val="00a10fd9"/>
    <w:rPr>
      <w:rFonts w:cs="" w:cstheme="majorBidi" w:eastAsia="" w:eastAsiaTheme="majorEastAsia"/>
      <w:color w:themeColor="text1" w:themeTint="a6" w:val="595959"/>
    </w:rPr>
  </w:style>
  <w:style w:customStyle="1" w:styleId="Heading8Char" w:type="character">
    <w:name w:val="Heading 8 Char"/>
    <w:basedOn w:val="DefaultParagraphFont"/>
    <w:link w:val="Heading8"/>
    <w:uiPriority w:val="9"/>
    <w:semiHidden/>
    <w:qFormat/>
    <w:rsid w:val="00a10fd9"/>
    <w:rPr>
      <w:rFonts w:cs="" w:cstheme="majorBidi" w:eastAsia="" w:eastAsiaTheme="majorEastAsia"/>
      <w:i/>
      <w:iCs/>
      <w:color w:themeColor="text1" w:themeTint="d8" w:val="272727"/>
    </w:rPr>
  </w:style>
  <w:style w:customStyle="1" w:styleId="Heading9Char" w:type="character">
    <w:name w:val="Heading 9 Char"/>
    <w:basedOn w:val="DefaultParagraphFont"/>
    <w:link w:val="Heading9"/>
    <w:uiPriority w:val="9"/>
    <w:semiHidden/>
    <w:qFormat/>
    <w:rsid w:val="00a10fd9"/>
    <w:rPr>
      <w:rFonts w:cs="" w:cstheme="majorBidi" w:eastAsia="" w:eastAsiaTheme="majorEastAsia"/>
      <w:color w:themeColor="text1" w:themeTint="d8" w:val="272727"/>
    </w:rPr>
  </w:style>
  <w:style w:default="1" w:styleId="DefaultParagraphFont" w:type="character">
    <w:name w:val="Default Paragraph Font"/>
    <w:semiHidden/>
    <w:unhideWhenUsed/>
    <w:qFormat/>
    <w:rPr/>
  </w:style>
  <w:style w:customStyle="1" w:styleId="BodyTextChar" w:type="character">
    <w:name w:val="Body Text Char"/>
    <w:basedOn w:val="DefaultParagraphFont"/>
    <w:qFormat/>
    <w:rPr/>
  </w:style>
  <w:style w:customStyle="1" w:styleId="VerbatimChar" w:type="character">
    <w:name w:val="Verbatim Char"/>
    <w:basedOn w:val="BodyTextChar"/>
    <w:qFormat/>
    <w:rPr>
      <w:rFonts w:ascii="Consolas" w:hAnsi="Consolas"/>
      <w:sz w:val="22"/>
    </w:rPr>
  </w:style>
  <w:style w:customStyle="1" w:styleId="SectionNumber" w:type="character">
    <w:name w:val="Section Number"/>
    <w:basedOn w:val="BodyTextChar"/>
    <w:qFormat/>
    <w:rPr/>
  </w:style>
  <w:style w:styleId="FootnoteCharacters" w:type="character">
    <w:name w:val="Footnote Characters"/>
    <w:qFormat/>
    <w:rPr>
      <w:vertAlign w:val="superscript"/>
    </w:rPr>
  </w:style>
  <w:style w:styleId="FootnoteReference" w:type="character">
    <w:name w:val="Footnote Reference"/>
    <w:rPr>
      <w:vertAlign w:val="superscript"/>
    </w:rPr>
  </w:style>
  <w:style w:styleId="Hyperlink" w:type="character">
    <w:name w:val="Hyperlink"/>
    <w:basedOn w:val="BodyTextChar"/>
    <w:rPr>
      <w:color w:themeColor="accent1" w:val="4F81BD"/>
    </w:rPr>
  </w:style>
  <w:style w:styleId="EndnoteCharacters" w:type="character">
    <w:name w:val="Endnote Characters"/>
    <w:qFormat/>
    <w:rPr>
      <w:vertAlign w:val="superscript"/>
    </w:rPr>
  </w:style>
  <w:style w:styleId="EndnoteReference" w:type="character">
    <w:name w:val="Endnote Reference"/>
    <w:rPr>
      <w:vertAlign w:val="superscript"/>
    </w:rPr>
  </w:style>
  <w:style w:styleId="Heading" w:type="paragraph">
    <w:name w:val="Heading"/>
    <w:basedOn w:val="Normal"/>
    <w:next w:val="BodyText"/>
    <w:qFormat/>
    <w:pPr>
      <w:keepNext w:val="true"/>
      <w:spacing w:after="120" w:before="240"/>
    </w:pPr>
    <w:rPr>
      <w:rFonts w:ascii="Times New Roman" w:cs="FreeSans" w:eastAsia="Noto Sans CJK SC" w:hAnsi="Times New Roman"/>
      <w:sz w:val="28"/>
      <w:szCs w:val="28"/>
    </w:rPr>
  </w:style>
  <w:style w:styleId="BodyText" w:type="paragraph">
    <w:name w:val="Body Text"/>
    <w:basedOn w:val="Normal"/>
    <w:link w:val="BodyTextChar"/>
    <w:qFormat/>
    <w:pPr>
      <w:spacing w:after="180" w:before="180"/>
    </w:pPr>
    <w:rPr/>
  </w:style>
  <w:style w:styleId="List" w:type="paragraph">
    <w:name w:val="List"/>
    <w:basedOn w:val="BodyText"/>
    <w:pPr/>
    <w:rPr>
      <w:rFonts w:cs="FreeSans"/>
    </w:rPr>
  </w:style>
  <w:style w:styleId="Caption" w:type="paragraph">
    <w:name w:val="Caption"/>
    <w:basedOn w:val="Normal"/>
    <w:link w:val="BodyTextChar"/>
    <w:qFormat/>
    <w:pPr>
      <w:spacing w:after="120" w:before="0"/>
    </w:pPr>
    <w:rPr>
      <w:i/>
    </w:rPr>
  </w:style>
  <w:style w:styleId="Index" w:type="paragraph">
    <w:name w:val="Index"/>
    <w:basedOn w:val="Normal"/>
    <w:qFormat/>
    <w:pPr>
      <w:suppressLineNumbers/>
    </w:pPr>
    <w:rPr>
      <w:rFonts w:cs="FreeSans"/>
    </w:rPr>
  </w:style>
  <w:style w:customStyle="1" w:styleId="FirstParagraph" w:type="paragraph">
    <w:name w:val="First Paragraph"/>
    <w:basedOn w:val="BodyText"/>
    <w:next w:val="BodyText"/>
    <w:qFormat/>
    <w:pPr/>
    <w:rPr/>
  </w:style>
  <w:style w:customStyle="1" w:styleId="Compact" w:type="paragraph">
    <w:name w:val="Compact"/>
    <w:basedOn w:val="BodyText"/>
    <w:qFormat/>
    <w:pPr>
      <w:spacing w:after="36" w:before="36"/>
    </w:pPr>
    <w:rPr/>
  </w:style>
  <w:style w:styleId="Title" w:type="paragraph">
    <w:name w:val="Title"/>
    <w:basedOn w:val="Normal"/>
    <w:next w:val="BodyText"/>
    <w:link w:val="TitleChar"/>
    <w:uiPriority w:val="10"/>
    <w:qFormat/>
    <w:rsid w:val="00a10fd9"/>
    <w:pPr>
      <w:spacing w:after="80" w:before="0" w:line="240" w:lineRule="auto"/>
      <w:contextualSpacing/>
      <w:jc w:val="center"/>
    </w:pPr>
    <w:rPr>
      <w:rFonts w:ascii="Times New Roman" w:cs="" w:cstheme="majorBidi" w:eastAsia="" w:eastAsiaTheme="majorEastAsia" w:hAnsi="Times New Roman"/>
      <w:spacing w:val="-10"/>
      <w:kern w:val="2"/>
      <w:sz w:val="56"/>
      <w:szCs w:val="56"/>
    </w:rPr>
  </w:style>
  <w:style w:styleId="Subtitle" w:type="paragraph">
    <w:name w:val="Subtitle"/>
    <w:basedOn w:val="Title"/>
    <w:next w:val="BodyText"/>
    <w:link w:val="SubtitleChar"/>
    <w:uiPriority w:val="11"/>
    <w:qFormat/>
    <w:rsid w:val="00a10fd9"/>
    <w:pPr/>
    <w:rPr>
      <w:rFonts w:cs="" w:cstheme="majorBidi" w:eastAsia="" w:eastAsiaTheme="majorEastAsia"/>
      <w:spacing w:val="15"/>
      <w:sz w:val="28"/>
      <w:szCs w:val="28"/>
    </w:rPr>
  </w:style>
  <w:style w:customStyle="1" w:styleId="Author" w:type="paragraph">
    <w:name w:val="Author"/>
    <w:next w:val="BodyText"/>
    <w:qFormat/>
    <w:pPr>
      <w:keepNext w:val="true"/>
      <w:keepLines/>
      <w:widowControl/>
      <w:suppressAutoHyphens w:val="true"/>
      <w:bidi w:val="0"/>
      <w:spacing w:after="200" w:before="0"/>
      <w:jc w:val="center"/>
    </w:pPr>
    <w:rPr>
      <w:rFonts w:ascii="Times New Roman" w:cs="" w:cstheme="minorBidi" w:eastAsia="Aptos" w:eastAsiaTheme="minorHAnsi" w:hAnsi="Times New Roman"/>
      <w:color w:val="auto"/>
      <w:kern w:val="0"/>
      <w:sz w:val="24"/>
      <w:szCs w:val="24"/>
      <w:lang w:bidi="ar-SA" w:eastAsia="en-US" w:val="en-US"/>
    </w:rPr>
  </w:style>
  <w:style w:styleId="Date" w:type="paragraph">
    <w:name w:val="Date"/>
    <w:next w:val="BodyText"/>
    <w:qFormat/>
    <w:pPr>
      <w:keepNext w:val="true"/>
      <w:keepLines/>
      <w:widowControl/>
      <w:suppressAutoHyphens w:val="true"/>
      <w:bidi w:val="0"/>
      <w:spacing w:after="200" w:before="0"/>
      <w:jc w:val="center"/>
    </w:pPr>
    <w:rPr>
      <w:rFonts w:ascii="Times New Roman" w:cs="" w:cstheme="minorBidi" w:eastAsia="Aptos" w:eastAsiaTheme="minorHAnsi" w:hAnsi="Times New Roman"/>
      <w:color w:val="auto"/>
      <w:kern w:val="0"/>
      <w:sz w:val="24"/>
      <w:szCs w:val="24"/>
      <w:lang w:bidi="ar-SA" w:eastAsia="en-US" w:val="en-US"/>
    </w:rPr>
  </w:style>
  <w:style w:customStyle="1" w:styleId="AbstractTitle" w:type="paragraph">
    <w:name w:val="Abstract Title"/>
    <w:basedOn w:val="Normal"/>
    <w:next w:val="Abstract"/>
    <w:qFormat/>
    <w:pPr>
      <w:keepNext w:val="true"/>
      <w:keepLines/>
      <w:spacing w:after="0" w:before="300"/>
      <w:jc w:val="center"/>
    </w:pPr>
    <w:rPr>
      <w:b/>
      <w:sz w:val="20"/>
      <w:szCs w:val="20"/>
    </w:rPr>
  </w:style>
  <w:style w:customStyle="1" w:styleId="Abstract" w:type="paragraph">
    <w:name w:val="Abstract"/>
    <w:basedOn w:val="Normal"/>
    <w:next w:val="BodyText"/>
    <w:qFormat/>
    <w:pPr>
      <w:keepNext w:val="true"/>
      <w:keepLines/>
      <w:spacing w:after="300" w:before="100"/>
    </w:pPr>
    <w:rPr>
      <w:sz w:val="20"/>
      <w:szCs w:val="20"/>
    </w:rPr>
  </w:style>
  <w:style w:styleId="Bibliography" w:type="paragraph">
    <w:name w:val="Bibliography"/>
    <w:basedOn w:val="Normal"/>
    <w:qFormat/>
    <w:pPr/>
    <w:rPr/>
  </w:style>
  <w:style w:styleId="BlockText" w:type="paragraph">
    <w:name w:val="Block Text"/>
    <w:basedOn w:val="BodyText"/>
    <w:next w:val="BodyText"/>
    <w:uiPriority w:val="9"/>
    <w:unhideWhenUsed/>
    <w:qFormat/>
    <w:pPr>
      <w:spacing w:after="100" w:before="100"/>
      <w:ind w:hanging="0" w:left="480" w:right="480"/>
    </w:pPr>
    <w:rPr/>
  </w:style>
  <w:style w:styleId="FootnoteText" w:type="paragraph">
    <w:name w:val="Footnote Text"/>
    <w:basedOn w:val="Normal"/>
    <w:uiPriority w:val="9"/>
    <w:unhideWhenUsed/>
    <w:qFormat/>
    <w:pPr/>
    <w:rPr/>
  </w:style>
  <w:style w:styleId="FootnoteBlockText" w:type="paragraph">
    <w:name w:val="Footnote Block Text"/>
    <w:basedOn w:val="FootnoteText"/>
    <w:next w:val="FootnoteText"/>
    <w:uiPriority w:val="9"/>
    <w:unhideWhenUsed/>
    <w:qFormat/>
    <w:pPr>
      <w:spacing w:after="100" w:before="100"/>
      <w:ind w:hanging="0" w:left="480" w:right="480"/>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customStyle="1" w:styleId="TableCaption" w:type="paragraph">
    <w:name w:val="Table Caption"/>
    <w:basedOn w:val="Caption"/>
    <w:qFormat/>
    <w:pPr>
      <w:keepNext w:val="true"/>
    </w:pPr>
    <w:rPr/>
  </w:style>
  <w:style w:customStyle="1" w:styleId="ImageCaption" w:type="paragraph">
    <w:name w:val="Image Caption"/>
    <w:basedOn w:val="Caption"/>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IndexHeading" w:type="paragraph">
    <w:name w:val="Index Heading"/>
    <w:basedOn w:val="Heading"/>
    <w:pPr/>
    <w:rPr/>
  </w:style>
  <w:style w:styleId="TOCHeading" w:type="paragraph">
    <w:name w:val="TOC Heading"/>
    <w:basedOn w:val="Heading1"/>
    <w:next w:val="BodyText"/>
    <w:uiPriority w:val="39"/>
    <w:unhideWhenUsed/>
    <w:qFormat/>
    <w:pPr>
      <w:spacing w:after="80" w:before="240" w:line="259" w:lineRule="auto"/>
      <w:outlineLvl w:val="9"/>
    </w:pPr>
    <w:rPr>
      <w:rFonts w:ascii="Aptos Display" w:asciiTheme="majorHAnsi" w:cs="" w:cstheme="majorBidi" w:eastAsia="" w:eastAsiaTheme="majorEastAsia" w:hAnsi="Aptos Display" w:hAnsiTheme="majorHAnsi"/>
      <w:b w:val="false"/>
      <w:bCs w:val="false"/>
      <w:color w:themeColor="accent1" w:themeShade="bf" w:val="365F91"/>
    </w:rPr>
  </w:style>
  <w:style w:default="1" w:styleId="Table" w:type="table">
    <w:name w:val="Table"/>
    <w:basedOn w:val="TableNormal"/>
    <w:semiHidden/>
    <w:unhideWhenUsed/>
    <w:qFormat/>
    <w:tblPr>
      <w:tblCellMar>
        <w:top w:type="dxa" w:w="0"/>
        <w:left w:type="dxa" w:w="108"/>
        <w:bottom w:type="dxa" w:w="0"/>
        <w:right w:type="dxa" w:w="108"/>
      </w:tblCellMar>
    </w:tblPr>
    <w:tblStylePr w:type="firstRow">
      <w:tblPr/>
      <w:tcPr>
        <w:tcBorders>
          <w:bottom w:val="single"/>
        </w:tcBorders>
        <w:vAlign w:val="bottom"/>
      </w:tcPr>
    </w:tblStyle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0" Target="https://cloud.r-project.org/web/packages/npreg/npreg.pdf" TargetMode="External" /><Relationship Type="http://schemas.openxmlformats.org/officeDocument/2006/relationships/hyperlink" Id="rId74" Target="https://doi.org/10.1002/9781118445112.stat06558" TargetMode="External" /><Relationship Type="http://schemas.openxmlformats.org/officeDocument/2006/relationships/hyperlink" Id="rId45" Target="https://doi.org/10.1002/ece3.8989" TargetMode="External" /><Relationship Type="http://schemas.openxmlformats.org/officeDocument/2006/relationships/hyperlink" Id="rId66" Target="https://doi.org/10.1016/j.biocon.2013.11.003" TargetMode="External" /><Relationship Type="http://schemas.openxmlformats.org/officeDocument/2006/relationships/hyperlink" Id="rId72" Target="https://doi.org/10.1016/j.biocon.2021.108953" TargetMode="External" /><Relationship Type="http://schemas.openxmlformats.org/officeDocument/2006/relationships/hyperlink" Id="rId41" Target="https://doi.org/10.1016/j.biocon.2021.108974" TargetMode="External" /><Relationship Type="http://schemas.openxmlformats.org/officeDocument/2006/relationships/hyperlink" Id="rId47" Target="https://doi.org/10.1016/j.biocon.2021.109017" TargetMode="External" /><Relationship Type="http://schemas.openxmlformats.org/officeDocument/2006/relationships/hyperlink" Id="rId68" Target="https://doi.org/10.1016/j.biocon.2021.109079" TargetMode="External" /><Relationship Type="http://schemas.openxmlformats.org/officeDocument/2006/relationships/hyperlink" Id="rId43" Target="https://doi.org/10.1016/j.biocon.2022.109470" TargetMode="External" /><Relationship Type="http://schemas.openxmlformats.org/officeDocument/2006/relationships/hyperlink" Id="rId30" Target="https://doi.org/10.1038/s41598-025-93275-z" TargetMode="External" /><Relationship Type="http://schemas.openxmlformats.org/officeDocument/2006/relationships/hyperlink" Id="rId54" Target="https://doi.org/10.1080/00031305.2016.1154108" TargetMode="External" /><Relationship Type="http://schemas.openxmlformats.org/officeDocument/2006/relationships/hyperlink" Id="rId64" Target="https://doi.org/10.1093/biosci/biz010" TargetMode="External" /><Relationship Type="http://schemas.openxmlformats.org/officeDocument/2006/relationships/hyperlink" Id="rId58" Target="https://doi.org/10.1093/ije/dyh299" TargetMode="External" /><Relationship Type="http://schemas.openxmlformats.org/officeDocument/2006/relationships/hyperlink" Id="rId49" Target="https://doi.org/10.1093/ornithapp/duae024" TargetMode="External" /><Relationship Type="http://schemas.openxmlformats.org/officeDocument/2006/relationships/hyperlink" Id="rId39" Target="https://doi.org/10.1101/2024.09.05.611348" TargetMode="External" /><Relationship Type="http://schemas.openxmlformats.org/officeDocument/2006/relationships/hyperlink" Id="rId37" Target="https://doi.org/10.1111/ddi.13271" TargetMode="External" /><Relationship Type="http://schemas.openxmlformats.org/officeDocument/2006/relationships/hyperlink" Id="rId56" Target="https://doi.org/10.1111/jvs.13117" TargetMode="External" /><Relationship Type="http://schemas.openxmlformats.org/officeDocument/2006/relationships/hyperlink" Id="rId70" Target="https://doi.org/10.3390/ijerph17197310" TargetMode="External" /><Relationship Type="http://schemas.openxmlformats.org/officeDocument/2006/relationships/hyperlink" Id="rId76" Target="https://doi.org/10.48550/arXiv.1106.5598" TargetMode="External" /><Relationship Type="http://schemas.openxmlformats.org/officeDocument/2006/relationships/hyperlink" Id="rId52" Target="https://scholar.archive.org/work/cqqdqmjqhrftbicg4f7b3fw3he/access/wayback/http://journals.sfu.ca:80/cfn/index.php/cfn/article/viewFile/1391/1387" TargetMode="External" /><Relationship Type="http://schemas.openxmlformats.org/officeDocument/2006/relationships/hyperlink" Id="rId21" Target="https://sroilo.shinyapps.io/Anthropause_app/" TargetMode="External" /><Relationship Type="http://schemas.openxmlformats.org/officeDocument/2006/relationships/hyperlink" Id="rId33" Target="https://www.bbc.com/news/world-asia-india-52024239" TargetMode="External" /><Relationship Type="http://schemas.openxmlformats.org/officeDocument/2006/relationships/hyperlink" Id="rId62" Target="https://www.gbif.org/what-is-gbif" TargetMode="External" /><Relationship Type="http://schemas.openxmlformats.org/officeDocument/2006/relationships/hyperlink" Id="rId35" Target="https://www.livemint.com/news/india/covid-19-lockdown-4-0-coronavirus-lockdown-extended-till-31-may-says-ndma-11589715203633.html" TargetMode="External" /></Relationships>
</file>

<file path=word/_rels/footnotes.xml.rels><?xml version="1.0" encoding="UTF-8"?><Relationships xmlns="http://schemas.openxmlformats.org/package/2006/relationships"><Relationship Type="http://schemas.openxmlformats.org/officeDocument/2006/relationships/hyperlink" Id="rId60" Target="https://cloud.r-project.org/web/packages/npreg/npreg.pdf" TargetMode="External" /><Relationship Type="http://schemas.openxmlformats.org/officeDocument/2006/relationships/hyperlink" Id="rId74" Target="https://doi.org/10.1002/9781118445112.stat06558" TargetMode="External" /><Relationship Type="http://schemas.openxmlformats.org/officeDocument/2006/relationships/hyperlink" Id="rId45" Target="https://doi.org/10.1002/ece3.8989" TargetMode="External" /><Relationship Type="http://schemas.openxmlformats.org/officeDocument/2006/relationships/hyperlink" Id="rId66" Target="https://doi.org/10.1016/j.biocon.2013.11.003" TargetMode="External" /><Relationship Type="http://schemas.openxmlformats.org/officeDocument/2006/relationships/hyperlink" Id="rId72" Target="https://doi.org/10.1016/j.biocon.2021.108953" TargetMode="External" /><Relationship Type="http://schemas.openxmlformats.org/officeDocument/2006/relationships/hyperlink" Id="rId41" Target="https://doi.org/10.1016/j.biocon.2021.108974" TargetMode="External" /><Relationship Type="http://schemas.openxmlformats.org/officeDocument/2006/relationships/hyperlink" Id="rId47" Target="https://doi.org/10.1016/j.biocon.2021.109017" TargetMode="External" /><Relationship Type="http://schemas.openxmlformats.org/officeDocument/2006/relationships/hyperlink" Id="rId68" Target="https://doi.org/10.1016/j.biocon.2021.109079" TargetMode="External" /><Relationship Type="http://schemas.openxmlformats.org/officeDocument/2006/relationships/hyperlink" Id="rId43" Target="https://doi.org/10.1016/j.biocon.2022.109470" TargetMode="External" /><Relationship Type="http://schemas.openxmlformats.org/officeDocument/2006/relationships/hyperlink" Id="rId30" Target="https://doi.org/10.1038/s41598-025-93275-z" TargetMode="External" /><Relationship Type="http://schemas.openxmlformats.org/officeDocument/2006/relationships/hyperlink" Id="rId54" Target="https://doi.org/10.1080/00031305.2016.1154108" TargetMode="External" /><Relationship Type="http://schemas.openxmlformats.org/officeDocument/2006/relationships/hyperlink" Id="rId64" Target="https://doi.org/10.1093/biosci/biz010" TargetMode="External" /><Relationship Type="http://schemas.openxmlformats.org/officeDocument/2006/relationships/hyperlink" Id="rId58" Target="https://doi.org/10.1093/ije/dyh299" TargetMode="External" /><Relationship Type="http://schemas.openxmlformats.org/officeDocument/2006/relationships/hyperlink" Id="rId49" Target="https://doi.org/10.1093/ornithapp/duae024" TargetMode="External" /><Relationship Type="http://schemas.openxmlformats.org/officeDocument/2006/relationships/hyperlink" Id="rId39" Target="https://doi.org/10.1101/2024.09.05.611348" TargetMode="External" /><Relationship Type="http://schemas.openxmlformats.org/officeDocument/2006/relationships/hyperlink" Id="rId37" Target="https://doi.org/10.1111/ddi.13271" TargetMode="External" /><Relationship Type="http://schemas.openxmlformats.org/officeDocument/2006/relationships/hyperlink" Id="rId56" Target="https://doi.org/10.1111/jvs.13117" TargetMode="External" /><Relationship Type="http://schemas.openxmlformats.org/officeDocument/2006/relationships/hyperlink" Id="rId70" Target="https://doi.org/10.3390/ijerph17197310" TargetMode="External" /><Relationship Type="http://schemas.openxmlformats.org/officeDocument/2006/relationships/hyperlink" Id="rId76" Target="https://doi.org/10.48550/arXiv.1106.5598" TargetMode="External" /><Relationship Type="http://schemas.openxmlformats.org/officeDocument/2006/relationships/hyperlink" Id="rId52" Target="https://scholar.archive.org/work/cqqdqmjqhrftbicg4f7b3fw3he/access/wayback/http://journals.sfu.ca:80/cfn/index.php/cfn/article/viewFile/1391/1387" TargetMode="External" /><Relationship Type="http://schemas.openxmlformats.org/officeDocument/2006/relationships/hyperlink" Id="rId21" Target="https://sroilo.shinyapps.io/Anthropause_app/" TargetMode="External" /><Relationship Type="http://schemas.openxmlformats.org/officeDocument/2006/relationships/hyperlink" Id="rId33" Target="https://www.bbc.com/news/world-asia-india-52024239" TargetMode="External" /><Relationship Type="http://schemas.openxmlformats.org/officeDocument/2006/relationships/hyperlink" Id="rId62" Target="https://www.gbif.org/what-is-gbif" TargetMode="External" /><Relationship Type="http://schemas.openxmlformats.org/officeDocument/2006/relationships/hyperlink" Id="rId35" Target="https://www.livemint.com/news/india/covid-19-lockdown-4-0-coronavirus-lockdown-extended-till-31-may-says-ndma-11589715203633.html"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TotalTime>
  <Application>LibreOffice/24.2.7.2$Linux_X86_64 LibreOffice_project/420$Build-2</Application>
  <AppVersion>15.0000</AppVersion>
  <Pages>2</Pages>
  <Words>53</Words>
  <Characters>281</Characters>
  <CharactersWithSpaces>370</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assessment of COVID-19 impact on biodiversity monitoring: Scale and statistical concerns</dc:title>
  <dc:creator>Karthik Thrikkadeeri; Ashwin Viswanathan; Vinay K L</dc:creator>
  <cp:keywords/>
  <dcterms:created xsi:type="dcterms:W3CDTF">2025-05-27T22:23:46Z</dcterms:created>
  <dcterms:modified xsi:type="dcterms:W3CDTF">2025-05-27T22:23:46Z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covid-ebirding.json</vt:lpwstr>
  </property>
  <property fmtid="{D5CDD505-2E9C-101B-9397-08002B2CF9AE}" pid="6" name="by-affiliation">
    <vt:lpwstr/>
  </property>
  <property fmtid="{D5CDD505-2E9C-101B-9397-08002B2CF9AE}" pid="7" name="by-author">
    <vt:lpwstr/>
  </property>
  <property fmtid="{D5CDD505-2E9C-101B-9397-08002B2CF9AE}" pid="8" name="csl">
    <vt:lpwstr>nature.csl</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