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595959"/>
          <w:sz w:val="22"/>
          <w:szCs w:val="22"/>
        </w:rPr>
        <w:t xml:space="preserve">10 CREATIVE SOLUTIONS SDN BHD (10CS)</w:t>
      </w:r>
    </w:p>
    <w:p>
      <w:pPr>
        <w:spacing w:after="40" w:before="60"/>
        <w:jc w:val="center"/>
      </w:pPr>
      <w:r>
        <w:rPr>
          <w:color w:val="595959"/>
          <w:sz w:val="20"/>
          <w:szCs w:val="20"/>
        </w:rPr>
        <w:t xml:space="preserve">Consultant, Solution &amp; Innovation (CSI) Department</w:t>
      </w:r>
    </w:p>
    <w:p>
      <w:pPr>
        <w:spacing w:after="500"/>
      </w:pPr>
    </w:p>
    <w:p>
      <w:pPr>
        <w:pBdr>
          <w:bottom w:val="single" w:color="A6192E" w:sz="6" w:space="8"/>
        </w:pBdr>
        <w:jc w:val="center"/>
      </w:pPr>
      <w:r>
        <w:rPr>
          <w:b/>
          <w:bCs/>
          <w:color w:val="A6192E"/>
          <w:sz w:val="48"/>
          <w:szCs w:val="48"/>
        </w:rPr>
        <w:t xml:space="preserve">CSI DIGITAL OPERATING PLATFORM</w:t>
      </w:r>
    </w:p>
    <w:p>
      <w:pPr>
        <w:spacing w:after="160"/>
      </w:pPr>
    </w:p>
    <w:p>
      <w:pPr>
        <w:spacing w:before="200"/>
        <w:jc w:val="center"/>
      </w:pPr>
      <w:r>
        <w:rPr>
          <w:b/>
          <w:bCs/>
          <w:color w:val="1A1A1A"/>
          <w:sz w:val="30"/>
          <w:szCs w:val="30"/>
        </w:rPr>
        <w:t xml:space="preserve">Business Requirement Specification (BRS)</w:t>
      </w:r>
    </w:p>
    <w:p>
      <w:pPr>
        <w:spacing w:after="80" w:before="100"/>
        <w:jc w:val="center"/>
      </w:pPr>
      <w:r>
        <w:rPr>
          <w:i/>
          <w:iCs/>
          <w:color w:val="595959"/>
          <w:sz w:val="20"/>
          <w:szCs w:val="20"/>
        </w:rPr>
        <w:t xml:space="preserve">Prepared in alignment with KRISA (Kerangka Rujukan Infrastruktur Seni Bina Sektor Awam) — Business Architecture Domain</w:t>
      </w:r>
    </w:p>
    <w:p>
      <w:pPr>
        <w:spacing w:after="700" w:before="0"/>
        <w:jc w:val="center"/>
      </w:pPr>
      <w:r>
        <w:rPr>
          <w:i/>
          <w:iCs/>
          <w:color w:val="595959"/>
          <w:sz w:val="19"/>
          <w:szCs w:val="19"/>
        </w:rPr>
        <w:t xml:space="preserve">Foundational document for the System Requirement Specification (SRS), PRD, and all subsequent technical design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Document Type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Business Requirement Specification (BRS)</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Standard Reference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KRISA — Business Architecture Domain</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Department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Consultant, Solution &amp; Innovation (CSI)</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Version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1.0</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Status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Draft — For Business Owner and Management Review and Approval</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Date Prepared</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19 June 2026</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Prepared By</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Farhan Nordin, Head of Department, CSI</w:t>
            </w:r>
          </w:p>
        </w:tc>
      </w:tr>
      <w:tr>
        <w:trPr>
          <w:cantSplit/>
        </w:trP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Classification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Internal — 10CS Confidential</w:t>
            </w:r>
          </w:p>
        </w:tc>
      </w:tr>
    </w:tbl>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cantSplit/>
          <w:tblHeader/>
        </w:trPr>
        <w:tc>
          <w:tcPr>
            <w:tcW w:type="dxa" w:w="1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Version</w:t>
            </w:r>
          </w:p>
        </w:tc>
        <w:tc>
          <w:tcPr>
            <w:tcW w:type="dxa" w:w="16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Author</w:t>
            </w:r>
          </w:p>
        </w:tc>
        <w:tc>
          <w:tcPr>
            <w:tcW w:type="dxa" w:w="4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Description</w:t>
            </w:r>
          </w:p>
        </w:tc>
      </w:tr>
      <w:tr>
        <w:trPr>
          <w:cantSplit/>
        </w:trPr>
        <w:tc>
          <w:tcPr>
            <w:tcW w:type="dxa" w:w="1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16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19 Jun 2026</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4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Initial Business Requirement Specification, establishing the business case, objectives and business-level requirements for the CSI Digital Operating Platform</w:t>
            </w:r>
          </w:p>
        </w:tc>
      </w:tr>
    </w:tbl>
    <w:p>
      <w:pPr>
        <w:spacing w:after="200"/>
      </w:pPr>
    </w:p>
    <w:p>
      <w:pPr>
        <w:pStyle w:val="Heading2"/>
      </w:pPr>
      <w:r>
        <w:t xml:space="preserve">Approval Sign-Off</w:t>
      </w:r>
    </w:p>
    <w:p>
      <w:pPr>
        <w:spacing w:after="160" w:before="60" w:line="276"/>
        <w:jc w:val="both"/>
      </w:pPr>
      <w:r>
        <w:t xml:space="preserve">This document is the business owner's statement of need. It is the source document from which the System Requirement Specification (SRS), Product Requirements Document (PRD) and all subsequent technical artefacts are derived. Approval here confirms the business case and business-level requirements are correctly understood before system-level design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Role</w:t>
            </w:r>
          </w:p>
        </w:tc>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Name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Signature</w:t>
            </w:r>
          </w:p>
        </w:tc>
        <w:tc>
          <w:tcPr>
            <w:tcW w:type="dxa" w:w="198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Date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Prepared by — Business Owner / HOD, CSI</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Farhan Nordin</w:t>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Reviewed by — Solution Architect</w:t>
            </w:r>
          </w:p>
        </w:tc>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Approved by — Management / Chairman's Office</w:t>
            </w:r>
          </w:p>
        </w:tc>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
            </w:r>
          </w:p>
        </w:tc>
      </w:tr>
    </w:tbl>
    <w:p>
      <w:pPr>
        <w:spacing w:after="200"/>
      </w:pPr>
    </w:p>
    <w:p>
      <w:pPr>
        <w:pStyle w:val="Heading2"/>
      </w:pPr>
      <w:r>
        <w:t xml:space="preserve">Distribution List</w:t>
      </w:r>
    </w:p>
    <w:p>
      <w:pPr>
        <w:pStyle w:val="ListParagraph"/>
        <w:numPr>
          <w:ilvl w:val="0"/>
          <w:numId w:val="2"/>
        </w:numPr>
        <w:spacing w:after="80"/>
      </w:pPr>
      <w:r>
        <w:t xml:space="preserve">Head of Department, CSI (Business Owner)</w:t>
      </w:r>
    </w:p>
    <w:p>
      <w:pPr>
        <w:pStyle w:val="ListParagraph"/>
        <w:numPr>
          <w:ilvl w:val="0"/>
          <w:numId w:val="2"/>
        </w:numPr>
        <w:spacing w:after="80"/>
      </w:pPr>
      <w:r>
        <w:t xml:space="preserve">Solution Architect / Enterprise Architecture function</w:t>
      </w:r>
    </w:p>
    <w:p>
      <w:pPr>
        <w:pStyle w:val="ListParagraph"/>
        <w:numPr>
          <w:ilvl w:val="0"/>
          <w:numId w:val="2"/>
        </w:numPr>
        <w:spacing w:after="80"/>
      </w:pPr>
      <w:r>
        <w:t xml:space="preserve">10CS Management and Chairman's Office</w:t>
      </w:r>
    </w:p>
    <w:p>
      <w:pPr>
        <w:pStyle w:val="ListParagraph"/>
        <w:numPr>
          <w:ilvl w:val="0"/>
          <w:numId w:val="2"/>
        </w:numPr>
        <w:spacing w:after="80"/>
      </w:pPr>
      <w:r>
        <w:t xml:space="preserve">Capacity Management Team (CMT) Lead, for interdependency awareness</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60" w:before="60" w:line="276"/>
        <w:jc w:val="both"/>
      </w:pPr>
      <w:r>
        <w:t xml:space="preserve">This Business Requirement Specification (BRS) defines the business case, business objectives and business-level requirements for the CSI Digital Operating Platform. It is prepared in alignment with KRISA (Kerangka Rujukan Infrastruktur Seni Bina Sektor Awam) — the Malaysian public-sector ICT architecture reference framework — specifically addressing the Business Architecture domain, which establishes the organisational context, business processes and business rules that the system's Application, Information, Technology and Security Architecture domains must subsequently satisfy.</w:t>
      </w:r>
    </w:p>
    <w:p>
      <w:pPr>
        <w:spacing w:after="160" w:before="60" w:line="276"/>
        <w:jc w:val="both"/>
      </w:pPr>
      <w:r>
        <w:t xml:space="preserve">This document is intentionally written from the business perspective, free of technical implementation detail. Where a business requirement has already been elaborated into a functional or technical requirement in a later document, this BRS references that document rather than repeating the technical detail, consistent with the layered documentation approach KRISA expects: Business Architecture requirements flow down into System Requirements, which in turn flow down into Solution Architecture and Technical Design.</w:t>
      </w:r>
    </w:p>
    <w:p>
      <w:pPr>
        <w:pStyle w:val="Heading2"/>
      </w:pPr>
      <w:r>
        <w:t xml:space="preserve">1.2 Scope</w:t>
      </w:r>
    </w:p>
    <w:p>
      <w:pPr>
        <w:spacing w:after="160" w:before="60" w:line="276"/>
        <w:jc w:val="both"/>
      </w:pPr>
      <w:r>
        <w:t xml:space="preserve">This BRS covers the business requirements for digitising CSI's internal work order management, resource capacity planning, tender pipeline tracking, KPI evidence, skills and certification management, and management reporting. It does not cover the corporate external Work Order/EWM system, HR/payroll systems, or financial invoicing systems, each of which remains a separate system of record that this platform integrates with rather than replaces.</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Term</w:t>
            </w:r>
          </w:p>
        </w:tc>
        <w:tc>
          <w:tcPr>
            <w:tcW w:type="dxa" w:w="7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Definition</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KRISA</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Kerangka Rujukan Infrastruktur Seni Bina Sektor Awam — the Malaysian public-sector ICT architecture reference framework, comprising five architecture domains: Business, Information, Application, Technology and Security</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BRS</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Business Requirement Specification — this document</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Requirement Specification — the companion document defining system-level requirements derived from this BRS</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CSI</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Consultant, Solution &amp; Innovation — the 10CS department that is both the business owner and primary user of this system</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CMT</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Capacity Management Team — the 10CS department whose commercial and costing workflows interact with CSI's work orders</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Work Order — the unit of work tracked by the platform, both at the external (corporate system) and internal (CSI) level</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KPI</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Key Performance Indicator</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OI</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Opportunity of Interest — a tracked sales/tender opportunity counted toward role-specific annual targets</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HOD</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Head of Department</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SLA</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Service Level Agreement</w:t>
            </w:r>
          </w:p>
        </w:tc>
      </w:tr>
      <w:tr>
        <w:trPr>
          <w:cantSplit/>
        </w:trPr>
        <w:tc>
          <w:tcPr>
            <w:tcW w:type="dxa" w:w="20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MAMPU</w:t>
            </w:r>
          </w:p>
        </w:tc>
        <w:tc>
          <w:tcPr>
            <w:tcW w:type="dxa" w:w="7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Malaysian Administrative Modernisation and Management Planning Unit — the agency responsible for KRISA and public-sector ICT governance</w:t>
            </w:r>
          </w:p>
        </w:tc>
      </w:tr>
      <w:tr>
        <w:trPr>
          <w:cantSplit/>
        </w:trPr>
        <w:tc>
          <w:tcPr>
            <w:tcW w:type="dxa" w:w="20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PDPA</w:t>
            </w:r>
          </w:p>
        </w:tc>
        <w:tc>
          <w:tcPr>
            <w:tcW w:type="dxa" w:w="7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Personal Data Protection Act (Malaysia)</w:t>
            </w:r>
          </w:p>
        </w:tc>
      </w:tr>
    </w:tbl>
    <w:p>
      <w:pPr>
        <w:pStyle w:val="Heading2"/>
      </w:pPr>
      <w: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Reference Document</w:t>
            </w:r>
          </w:p>
        </w:tc>
        <w:tc>
          <w:tcPr>
            <w:tcW w:type="dxa" w:w="1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Version</w:t>
            </w:r>
          </w:p>
        </w:tc>
        <w:tc>
          <w:tcPr>
            <w:tcW w:type="dxa" w:w="49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Relationship to this BRS</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Requirement Specification (SRS)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Derives system-level requirements from the business requirements in this document</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Product Requirements Document (PRD)</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1.1</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Elaborates business requirements into detailed product scope, functional requirements and roadmap</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UI/UX Wireframe Specification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Translates functional requirements into screen-level design</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Database Design Specification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Defines the physical data model supporting the business requirements</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System Architecture Design (SAD)</w:t>
            </w:r>
          </w:p>
        </w:tc>
        <w:tc>
          <w:tcPr>
            <w:tcW w:type="dxa" w:w="1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Defines the technical architecture satisfying the business and system requirements</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API Specification</w:t>
            </w:r>
          </w:p>
        </w:tc>
        <w:tc>
          <w:tcPr>
            <w:tcW w:type="dxa" w:w="1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w:t>
            </w:r>
          </w:p>
        </w:tc>
        <w:tc>
          <w:tcPr>
            <w:tcW w:type="dxa" w:w="49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Defines the technical contract supporting the functional requirements</w:t>
            </w:r>
          </w:p>
        </w:tc>
      </w:tr>
    </w:tbl>
    <w:p>
      <w:pPr>
        <w:pStyle w:val="Heading1"/>
        <w:pageBreakBefore/>
      </w:pPr>
      <w:r>
        <w:t xml:space="preserve">2. Business Background</w:t>
      </w:r>
    </w:p>
    <w:p>
      <w:pPr>
        <w:pStyle w:val="Heading2"/>
      </w:pPr>
      <w:r>
        <w:t xml:space="preserve">2.1 Organisation Overview</w:t>
      </w:r>
    </w:p>
    <w:p>
      <w:pPr>
        <w:spacing w:after="160" w:before="60" w:line="276"/>
        <w:jc w:val="both"/>
      </w:pPr>
      <w:r>
        <w:t xml:space="preserve">10 Creative Solutions Sdn Bhd (10CS) is a Malaysian ICT solutions and consultancy provider serving government and enterprise clients. The Consultant, Solution &amp; Innovation (CSI) department leads presales solution architecture, ICT consultancy, tender strategy and BIM services; the Capacity Management Team (CMT) handles commercial costing and post-sales coordination. CSI currently operates with 26 staff across both departments, organised under a Head of Department, a Solution Manager, Team Leads and BIM Team Lead, and their respective Team Members and BIM Modelers.</w:t>
      </w:r>
    </w:p>
    <w:p>
      <w:pPr>
        <w:pStyle w:val="Heading2"/>
      </w:pPr>
      <w:r>
        <w:t xml:space="preserve">2.2 Business Problem Statement</w:t>
      </w:r>
    </w:p>
    <w:p>
      <w:pPr>
        <w:spacing w:after="160" w:before="60" w:line="276"/>
        <w:jc w:val="both"/>
      </w:pPr>
      <w:r>
        <w:t xml:space="preserve">CSI's internal operations are currently supported by four disconnected artefacts: a SharePoint work order list, a standalone Excel resource capacity model, a Word-based KPI cascade document, and a BPM/SOW spreadsheet defining process but never operated against in real time. None of these systems share data, and reconciling them for any management decision or report is a manual, slow and error-prone exercise.</w:t>
      </w:r>
    </w:p>
    <w:p>
      <w:pPr>
        <w:spacing w:after="160" w:before="60" w:line="276"/>
        <w:jc w:val="both"/>
      </w:pPr>
      <w:r>
        <w:t xml:space="preserve">This fragmentation creates three material business risks. First, capacity blind spots: tender or work-order commitments are made before capacity is recalculated, the exact pattern behind CSI's own historical tender disqualification due to capacity exhaustion discovered only after commitment. Second, governance and audit exposure: evidence required for ISO 9001, PDPA and MAMPU/KRISA review is scattered across four formats with no single audit trail of who assigned, approved or closed any given work order. Third, reporting overhead: producing a Chairman or Management-level briefing currently requires a manual, multi-day rebuild effort each cycle rather than an export from a live system.</w:t>
      </w:r>
    </w:p>
    <w:p>
      <w:pPr>
        <w:spacing w:after="160" w:before="60" w:line="276"/>
        <w:jc w:val="both"/>
      </w:pPr>
      <w:r>
        <w:t xml:space="preserve">The scale of what is currently tracked by hand is material: CSI's live tracker spans 383 internal work order records and 7,421 logged effort hours with an 86.9% closure rate. Cross-department evidence shows 195 CMT opportunity records linked to CSI work orders, representing RM1.788 billion in submitted value influenced by CSI workload.</w:t>
      </w:r>
    </w:p>
    <w:p>
      <w:pPr>
        <w:pStyle w:val="Heading2"/>
      </w:pPr>
      <w:r>
        <w:t xml:space="preserve">2.3 Business Drivers</w:t>
      </w:r>
    </w:p>
    <w:p>
      <w:pPr>
        <w:pStyle w:val="ListParagraph"/>
        <w:numPr>
          <w:ilvl w:val="0"/>
          <w:numId w:val="2"/>
        </w:numPr>
        <w:spacing w:after="80"/>
      </w:pPr>
      <w:r>
        <w:t xml:space="preserve">Governance compliance pressure — ISO 9001, PDPA and MAMPU/KRISA audit requirements demand a single, defensible system of record rather than four disconnected artefacts</w:t>
      </w:r>
    </w:p>
    <w:p>
      <w:pPr>
        <w:pStyle w:val="ListParagraph"/>
        <w:numPr>
          <w:ilvl w:val="0"/>
          <w:numId w:val="2"/>
        </w:numPr>
        <w:spacing w:after="80"/>
      </w:pPr>
      <w:r>
        <w:t xml:space="preserve">Competitive tender positioning — capacity-aware commitment decisions are now a precondition for avoiding repeat disqualification losses on high-value government tenders</w:t>
      </w:r>
    </w:p>
    <w:p>
      <w:pPr>
        <w:pStyle w:val="ListParagraph"/>
        <w:numPr>
          <w:ilvl w:val="0"/>
          <w:numId w:val="2"/>
        </w:numPr>
        <w:spacing w:after="80"/>
      </w:pPr>
      <w:r>
        <w:t xml:space="preserve">Management visibility expectations — the Chairman's Office expects real-time department performance visibility, not periodic manually-assembled briefings</w:t>
      </w:r>
    </w:p>
    <w:p>
      <w:pPr>
        <w:pStyle w:val="ListParagraph"/>
        <w:numPr>
          <w:ilvl w:val="0"/>
          <w:numId w:val="2"/>
        </w:numPr>
        <w:spacing w:after="80"/>
      </w:pPr>
      <w:r>
        <w:t xml:space="preserve">Departmental scale — at 26 staff and growing, manual coordination methods that worked at a smaller scale no longer hold</w:t>
      </w:r>
    </w:p>
    <w:p>
      <w:pPr>
        <w:pStyle w:val="Heading1"/>
        <w:pageBreakBefore/>
      </w:pPr>
      <w:r>
        <w:t xml:space="preserve">3. Business Objectives</w:t>
      </w:r>
    </w:p>
    <w:p>
      <w:pPr>
        <w:spacing w:after="160" w:before="60" w:line="276"/>
        <w:jc w:val="both"/>
      </w:pPr>
      <w:r>
        <w:t xml:space="preserve">The following business objectives define what success looks like for this initiative, independent of any specific technical solution. Each is measurable and each maps to one or more business requirements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260"/>
        <w:gridCol w:w="2300"/>
      </w:tblGrid>
      <w:tr>
        <w:trPr>
          <w:cantSplit/>
          <w:tblHeader/>
        </w:trPr>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w:t>
            </w:r>
          </w:p>
        </w:tc>
        <w:tc>
          <w:tcPr>
            <w:tcW w:type="dxa" w:w="3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Objective</w:t>
            </w:r>
          </w:p>
        </w:tc>
        <w:tc>
          <w:tcPr>
            <w:tcW w:type="dxa" w:w="32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Success Measure</w:t>
            </w:r>
          </w:p>
        </w:tc>
        <w:tc>
          <w:tcPr>
            <w:tcW w:type="dxa" w:w="23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Requirement Reference</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BO-1</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Establish a single, trusted system of record for all CSI internal work</w:t>
            </w:r>
          </w:p>
        </w:tc>
        <w:tc>
          <w:tcPr>
            <w:tcW w:type="dxa" w:w="3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Zero shadow-tracked work orders outside the system within 90 days of go-live</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BR-01, BR-02</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BO-2</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Make capacity-aware commitment decisions before accepting new work</w:t>
            </w:r>
          </w:p>
        </w:tc>
        <w:tc>
          <w:tcPr>
            <w:tcW w:type="dxa" w:w="3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100% of new tender commitments pass through a capacity evaluation before acceptance</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BR-05, BR-06</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BO-3</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Replace manual KPI reporting with live, role-cascaded visibility</w:t>
            </w:r>
          </w:p>
        </w:tc>
        <w:tc>
          <w:tcPr>
            <w:tcW w:type="dxa" w:w="3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Zero manual KPI reconstruction effort per review cycle</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BR-08</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BO-4</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Maintain governance-grade audit evidence for every work order decision</w:t>
            </w:r>
          </w:p>
        </w:tc>
        <w:tc>
          <w:tcPr>
            <w:tcW w:type="dxa" w:w="3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100% of WO assignment, approval and closure actions captured in an immutable audit trail</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BR-09</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BO-5</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Reduce management reporting effort from multi-day manual rebuild to same-day export</w:t>
            </w:r>
          </w:p>
        </w:tc>
        <w:tc>
          <w:tcPr>
            <w:tcW w:type="dxa" w:w="3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Standard Chairman/Management reports generated within one business day, editorial review only</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BR-10</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BO-6</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Build organisational capability visibility to support succession planning</w:t>
            </w:r>
          </w:p>
        </w:tc>
        <w:tc>
          <w:tcPr>
            <w:tcW w:type="dxa" w:w="3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Single-point-dependency risks identified and visible to Management within the system</w:t>
            </w:r>
          </w:p>
        </w:tc>
        <w:tc>
          <w:tcPr>
            <w:tcW w:type="dxa" w:w="23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BR-11, BR-12</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BO-7</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Preserve and formalise CSI's existing operating model rather than imposing an unfamiliar one</w:t>
            </w:r>
          </w:p>
        </w:tc>
        <w:tc>
          <w:tcPr>
            <w:tcW w:type="dxa" w:w="3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Existing 12-type taxonomy, complexity tiers, role hierarchy and capacity formula carried into the system unchanged</w:t>
            </w:r>
          </w:p>
        </w:tc>
        <w:tc>
          <w:tcPr>
            <w:tcW w:type="dxa" w:w="23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BR-03, BR-04</w:t>
            </w:r>
          </w:p>
        </w:tc>
      </w:tr>
    </w:tbl>
    <w:p>
      <w:pPr>
        <w:pStyle w:val="Heading1"/>
        <w:pageBreakBefore/>
      </w:pPr>
      <w:r>
        <w:t xml:space="preserve">4. Stakeholders</w:t>
      </w:r>
    </w:p>
    <w:p>
      <w:pPr>
        <w:spacing w:after="160" w:before="60" w:line="276"/>
        <w:jc w:val="both"/>
      </w:pPr>
      <w:r>
        <w:t xml:space="preserve">KRISA's Business Architecture domain requires explicit identification of every business actor whose process the system will support or affect. The table below identifies each stakeholder group, their business role, and their primary interest in this initiative.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cantSplit/>
          <w:tblHeader/>
        </w:trPr>
        <w:tc>
          <w:tcPr>
            <w:tcW w:type="dxa" w:w="2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Stakeholder Group</w:t>
            </w:r>
          </w:p>
        </w:tc>
        <w:tc>
          <w:tcPr>
            <w:tcW w:type="dxa" w:w="28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Role</w:t>
            </w:r>
          </w:p>
        </w:tc>
        <w:tc>
          <w:tcPr>
            <w:tcW w:type="dxa" w:w="31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Primary Interest</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Head of Department (HOD), CSI</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Business Owner; final accountability for departmental performance, capacity and governance</w:t>
            </w:r>
          </w:p>
        </w:tc>
        <w:tc>
          <w:tcPr>
            <w:tcW w:type="dxa" w:w="3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Department-wide visibility; capacity protection; governance evidence; Management reporting</w:t>
            </w:r>
          </w:p>
        </w:tc>
      </w:tr>
      <w:tr>
        <w:trPr>
          <w:cantSplit/>
        </w:trPr>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Solution Manager</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Stream-level operational owner across Solution Design, Consultancy and BIM</w:t>
            </w:r>
          </w:p>
        </w:tc>
        <w:tc>
          <w:tcPr>
            <w:tcW w:type="dxa" w:w="31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Stream workload visibility; team performance; tender scoring decisions</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Team Lead / BIM Team Lead</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Pod-level execution owner</w:t>
            </w:r>
          </w:p>
        </w:tc>
        <w:tc>
          <w:tcPr>
            <w:tcW w:type="dxa" w:w="3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Team workload management; Tier-1 approval authority; team capability tracking</w:t>
            </w:r>
          </w:p>
        </w:tc>
      </w:tr>
      <w:tr>
        <w:trPr>
          <w:cantSplit/>
        </w:trPr>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Team Member / BIM Modeler</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Individual contributor executing assigned work</w:t>
            </w:r>
          </w:p>
        </w:tc>
        <w:tc>
          <w:tcPr>
            <w:tcW w:type="dxa" w:w="31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Clear task visibility; simple effort logging; recognition via KPI tracking</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10CS Management / Chairman's Office</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Executive sponsor and ultimate decision authority</w:t>
            </w:r>
          </w:p>
        </w:tc>
        <w:tc>
          <w:tcPr>
            <w:tcW w:type="dxa" w:w="3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Real-time department performance, capacity risk and business pipeline visibility</w:t>
            </w:r>
          </w:p>
        </w:tc>
      </w:tr>
      <w:tr>
        <w:trPr>
          <w:cantSplit/>
        </w:trPr>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Capacity Management Team (CMT)</w:t>
            </w:r>
          </w:p>
        </w:tc>
        <w:tc>
          <w:tcPr>
            <w:tcW w:type="dxa" w:w="28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Adjacent department whose commercial workflows depend on CSI capacity and work order data</w:t>
            </w:r>
          </w:p>
        </w:tc>
        <w:tc>
          <w:tcPr>
            <w:tcW w:type="dxa" w:w="31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Accurate, timely visibility of CSI work order status feeding CMT's own commercial process</w:t>
            </w:r>
          </w:p>
        </w:tc>
      </w:tr>
      <w:tr>
        <w:trPr>
          <w:cantSplit/>
        </w:trPr>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Compliance / Audit Function</w:t>
            </w:r>
          </w:p>
        </w:tc>
        <w:tc>
          <w:tcPr>
            <w:tcW w:type="dxa" w:w="28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Internal and external auditors verifying ISO 9001, PDPA and MAMPU/KRISA compliance</w:t>
            </w:r>
          </w:p>
        </w:tc>
        <w:tc>
          <w:tcPr>
            <w:tcW w:type="dxa" w:w="31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Defensible, immutable audit evidence on demand</w:t>
            </w:r>
          </w:p>
        </w:tc>
      </w:tr>
    </w:tbl>
    <w:p>
      <w:pPr>
        <w:pStyle w:val="Heading1"/>
        <w:pageBreakBefore/>
      </w:pPr>
      <w:r>
        <w:t xml:space="preserve">5. Current Business Process (As-Is)</w:t>
      </w:r>
    </w:p>
    <w:p>
      <w:pPr>
        <w:spacing w:after="160" w:before="60" w:line="276"/>
        <w:jc w:val="both"/>
      </w:pPr>
      <w:r>
        <w:t xml:space="preserve">The current-state process is described here at the business level; the corresponding target-state process is described in Section 6. This as-is description establishes the baseline against which the business requirements in Section 7 are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Process Step</w:t>
            </w:r>
          </w:p>
        </w:tc>
        <w:tc>
          <w:tcPr>
            <w:tcW w:type="dxa" w:w="3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Current Method</w:t>
            </w:r>
          </w:p>
        </w:tc>
        <w:tc>
          <w:tcPr>
            <w:tcW w:type="dxa" w:w="3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Limitation</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 Work intake &amp; classification</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HOD manually creates a shadow entry in a SharePoint list against the external WO reference</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No enforced linkage to the external reference; manual numbering; no SLA clock</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2. Assignment</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Verbal or email-based assignment to Team Leads and Team Members</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 formal record of assignment history; reassignment reasons not captured</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3. Effort tracking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 record hours in a shared Excel Daily_Log sheet</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Single point of failure; not visible to Team Leads or Management in real time; reconciliation effort is high</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 Capacity planning</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HOD manually recalculates department utilization in a standalone Excel model before accepting new commitments</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Only as current as the last manual update; not visible to other roles; commitment decisions can outpace the recalculation</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5. KPI tracking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Achievement against the Word-based KPI cascade document is reconstructed by hand before each review</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Multi-day reconstruction effort; no running visibility between review cycles</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6. Governance evidence</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Approval and closure records exist only within email threads and the SharePoint list comments</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No single audit trail; evidence assembly for compliance review is manual and incomplete</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7. Management reporting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HOD and team manually rebuild a Chairman briefing deck each cycle, drawing data from all four disconnected sources</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Multi-day effort per cycle; high risk of inconsistency between the four source artefacts</w:t>
            </w:r>
          </w:p>
        </w:tc>
      </w:tr>
    </w:tbl>
    <w:p>
      <w:pPr>
        <w:pStyle w:val="Heading1"/>
        <w:pageBreakBefore/>
      </w:pPr>
      <w:r>
        <w:t xml:space="preserve">6. Proposed Business Process (To-Be)</w:t>
      </w:r>
    </w:p>
    <w:p>
      <w:pPr>
        <w:spacing w:after="160" w:before="60" w:line="276"/>
        <w:jc w:val="both"/>
      </w:pPr>
      <w:r>
        <w:t xml:space="preserve">The target-state process replaces the four disconnected artefacts with a single platform, while deliberately preserving the operating model staff already know — the 12-type taxonomy, complexity tiers, role hierarchy and capacity formula are carried forward as configured data, not redesigned. Full functional and technical detail is provided in the PRD and subsequent technical documents; this section describes the business-level process flow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Process Step</w:t>
            </w:r>
          </w:p>
        </w:tc>
        <w:tc>
          <w:tcPr>
            <w:tcW w:type="dxa" w:w="3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Target Method</w:t>
            </w:r>
          </w:p>
        </w:tc>
        <w:tc>
          <w:tcPr>
            <w:tcW w:type="dxa" w:w="34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Benefit</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 Work intake &amp; classification</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Internal WO created in the platform, permanently linked to the external WO reference, with an auto-generated internal number and an SLA acknowledgement clock</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Enforced traceability; zero shadow numbering; SLA visibility from the first day</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2. Assignment</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Assignment recorded in the platform with full history, including a mandatory reason for any reassignment</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Complete, queryable assignment history; reassignment accountability</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3. Effort tracking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 log daily effort directly against their assigned work order in the platform</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Real-time utilization visibility; no single point of failure; minimal reconciliation effort</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4. Capacity planning</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Utilization recalculates live from logged effort; a Go/No-Go evaluator projects the capacity impact of any new commitment before it is accepted</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Capacity-aware commitment decisions; protects against repeat tender disqualification losses</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5. KPI tracking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KPI achievement-to-date is computed live from operational data and available on demand to every role</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Zero manual reconstruction; continuous visibility between review cycles</w:t>
            </w:r>
          </w:p>
        </w:tc>
      </w:tr>
      <w:tr>
        <w:trPr>
          <w:cantSplit/>
        </w:trPr>
        <w:tc>
          <w:tcPr>
            <w:tcW w:type="dxa" w:w="2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6. Governance evidence</w:t>
            </w:r>
          </w:p>
        </w:tc>
        <w:tc>
          <w:tcPr>
            <w:tcW w:type="dxa" w:w="3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Every assignment, approval, override and closure action is captured in an immutable, tamper-evident audit log</w:t>
            </w:r>
          </w:p>
        </w:tc>
        <w:tc>
          <w:tcPr>
            <w:tcW w:type="dxa" w:w="34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Defensible compliance evidence available on demand for ISO 9001, PDPA and MAMPU/KRISA review</w:t>
            </w:r>
          </w:p>
        </w:tc>
      </w:tr>
      <w:tr>
        <w:trPr>
          <w:cantSplit/>
        </w:trPr>
        <w:tc>
          <w:tcPr>
            <w:tcW w:type="dxa" w:w="2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7. Management reporting</w:t>
            </w:r>
          </w:p>
        </w:tc>
        <w:tc>
          <w:tcPr>
            <w:tcW w:type="dxa" w:w="3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Standard reports, including the Chairman Executive Summary, are generated directly from live system data using the existing 10CS corporate template</w:t>
            </w:r>
          </w:p>
        </w:tc>
        <w:tc>
          <w:tcPr>
            <w:tcW w:type="dxa" w:w="34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Same-day report turnaround; consistency guaranteed by a single data source</w:t>
            </w:r>
          </w:p>
        </w:tc>
      </w:tr>
    </w:tbl>
    <w:p>
      <w:pPr>
        <w:pStyle w:val="Heading1"/>
        <w:pageBreakBefore/>
      </w:pPr>
      <w:r>
        <w:t xml:space="preserve">7. Business Requirements</w:t>
      </w:r>
    </w:p>
    <w:p>
      <w:pPr>
        <w:spacing w:after="160" w:before="60" w:line="276"/>
        <w:jc w:val="both"/>
      </w:pPr>
      <w:r>
        <w:t xml:space="preserve">The following business requirements (BR) are stated at the business level, independent of system design. Each is later elaborated into one or more system/functional requirements (FR) in the SRS and PRD; the cross-reference is provided in Appendix A. Priority follows MoSCoW: Must (required for business viability), Should (expected), Could (desirable, may be phased).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900"/>
        <w:gridCol w:w="1360"/>
      </w:tblGrid>
      <w:tr>
        <w:trPr>
          <w:cantSplit/>
          <w:tblHeader/>
        </w:trPr>
        <w:tc>
          <w:tcPr>
            <w:tcW w:type="dxa" w:w="7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ID</w:t>
            </w:r>
          </w:p>
        </w:tc>
        <w:tc>
          <w:tcPr>
            <w:tcW w:type="dxa" w:w="5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Requirement</w:t>
            </w:r>
          </w:p>
        </w:tc>
        <w:tc>
          <w:tcPr>
            <w:tcW w:type="dxa" w:w="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Priority</w:t>
            </w:r>
          </w:p>
        </w:tc>
        <w:tc>
          <w:tcPr>
            <w:tcW w:type="dxa" w:w="1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Linked Objective</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BR-01</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a single system of record for every internal work order, permanently traceable to its external corporate work order reference</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BO-1</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BR-02</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that no internal work order can exist without a verified link to a corporate-system external work order</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BO-1</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BR-03</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the system to preserve the existing 12-type request taxonomy, three-tier complexity model and six-role hierarchy without redesign</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BO-7</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BR-04</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the existing capacity formula (daily usable hours, productivity factor, utilization thresholds) to be carried forward as configurable values, not hard-coded logic</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BO-7</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BR-05</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that no new tender or major commitment can be accepted without a documented capacity evaluation</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BO-2</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BR-06</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that any override of a capacity 'No-Go' recommendation be made only by the Head of Department, with a recorded justification</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BO-2</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BR-07</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real-time visibility of individual and department-level resource utilization to the Head of Department and Solution Manager</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BO-2</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BR-08</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that KPI achievement-to-date be available on demand to every role, cascaded by role-specific targets, without manual reconstruction</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BO-3</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BR-09</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an immutable, tamper-evident record of every assignment, approval, override and closure decision, retained for a configurable compliance period</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BO-4</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BR-10</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that standard management and Chairman-level reports be producible from live system data within one business day, using the existing 10CS corporate visual template</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BO-5</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BR-11</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visibility of staff competency levels across defined technology domains, to identify capability gaps and succession risk</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BO-6</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BR-12</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tracking of staff certifications, including proactive alerting ahead of expiry, to support both individual development and client certification-compliance requirements</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Should</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BO-6</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BR-13</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that the Tender become a first-class business object, so that work orders, effort and value can be traced back to the originating tender opportunity</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Should</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BO-1</w:t>
            </w:r>
          </w:p>
        </w:tc>
      </w:tr>
      <w:tr>
        <w:trPr>
          <w:cantSplit/>
        </w:trPr>
        <w:tc>
          <w:tcPr>
            <w:tcW w:type="dxa" w:w="7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BR-14</w:t>
            </w:r>
          </w:p>
        </w:tc>
        <w:tc>
          <w:tcPr>
            <w:tcW w:type="dxa" w:w="5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The business requires that access to staff personal performance and utilization data be restricted according to organisational reporting lines, consistent with PDPA</w:t>
            </w:r>
          </w:p>
        </w:tc>
        <w:tc>
          <w:tcPr>
            <w:tcW w:type="dxa" w:w="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Must</w:t>
            </w:r>
          </w:p>
        </w:tc>
        <w:tc>
          <w:tcPr>
            <w:tcW w:type="dxa" w:w="1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BO-4</w:t>
            </w:r>
          </w:p>
        </w:tc>
      </w:tr>
      <w:tr>
        <w:trPr>
          <w:cantSplit/>
        </w:trPr>
        <w:tc>
          <w:tcPr>
            <w:tcW w:type="dxa" w:w="7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BR-15</w:t>
            </w:r>
          </w:p>
        </w:tc>
        <w:tc>
          <w:tcPr>
            <w:tcW w:type="dxa" w:w="5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business requires that the system be extensible to departments beyond CSI and CMT without a fundamental redesign</w:t>
            </w:r>
          </w:p>
        </w:tc>
        <w:tc>
          <w:tcPr>
            <w:tcW w:type="dxa" w:w="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Could</w:t>
            </w:r>
          </w:p>
        </w:tc>
        <w:tc>
          <w:tcPr>
            <w:tcW w:type="dxa" w:w="1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BO-1</w:t>
            </w:r>
          </w:p>
        </w:tc>
      </w:tr>
    </w:tbl>
    <w:p>
      <w:pPr>
        <w:pStyle w:val="Heading1"/>
        <w:pageBreakBefore/>
      </w:pPr>
      <w:r>
        <w:t xml:space="preserve">8. Business Rules</w:t>
      </w:r>
    </w:p>
    <w:p>
      <w:pPr>
        <w:spacing w:after="160" w:before="60" w:line="276"/>
        <w:jc w:val="both"/>
      </w:pPr>
      <w:r>
        <w:t xml:space="preserve">These are the operating rules the business already follows today and requires the system to enforce, distinct from the discretionary business requirements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Rule ID</w:t>
            </w:r>
          </w:p>
        </w:tc>
        <w:tc>
          <w:tcPr>
            <w:tcW w:type="dxa" w:w="82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Rule</w:t>
            </w:r>
          </w:p>
        </w:tc>
      </w:tr>
      <w:tr>
        <w:trPr>
          <w:cantSplit/>
        </w:trPr>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BRL-01</w:t>
            </w:r>
          </w:p>
        </w:tc>
        <w:tc>
          <w:tcPr>
            <w:tcW w:type="dxa" w:w="8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An internal work order may be linked to at most one external work order reference, and that reference must already exist in the corporate system</w:t>
            </w:r>
          </w:p>
        </w:tc>
      </w:tr>
      <w:tr>
        <w:trPr>
          <w:cantSplit/>
        </w:trPr>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BRL-02</w:t>
            </w:r>
          </w:p>
        </w:tc>
        <w:tc>
          <w:tcPr>
            <w:tcW w:type="dxa" w:w="8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 work order's approval routing is determined strictly by its assigned complexity tier: Tier 1 routes to the Team Lead, Tier 2 to the Solution Manager, Tier 3 to the Head of Department</w:t>
            </w:r>
          </w:p>
        </w:tc>
      </w:tr>
      <w:tr>
        <w:trPr>
          <w:cantSplit/>
        </w:trPr>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BRL-03</w:t>
            </w:r>
          </w:p>
        </w:tc>
        <w:tc>
          <w:tcPr>
            <w:tcW w:type="dxa" w:w="8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work order cannot move to closure without at least one attached evidence item</w:t>
            </w:r>
          </w:p>
        </w:tc>
      </w:tr>
      <w:tr>
        <w:trPr>
          <w:cantSplit/>
        </w:trPr>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BRL-04</w:t>
            </w:r>
          </w:p>
        </w:tc>
        <w:tc>
          <w:tcPr>
            <w:tcW w:type="dxa" w:w="8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Department-level role-split percentages (the proportion of adjusted hours allocated per role) must sum to exactly 100% per department</w:t>
            </w:r>
          </w:p>
        </w:tc>
      </w:tr>
      <w:tr>
        <w:trPr>
          <w:cantSplit/>
        </w:trPr>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BRL-05</w:t>
            </w:r>
          </w:p>
        </w:tc>
        <w:tc>
          <w:tcPr>
            <w:tcW w:type="dxa" w:w="8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 capacity 'No-Go' recommendation may only be overridden by the Head of Department, and only with a documented justification</w:t>
            </w:r>
          </w:p>
        </w:tc>
      </w:tr>
      <w:tr>
        <w:trPr>
          <w:cantSplit/>
        </w:trPr>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BRL-06</w:t>
            </w:r>
          </w:p>
        </w:tc>
        <w:tc>
          <w:tcPr>
            <w:tcW w:type="dxa" w:w="8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 records are never permanently deleted from the system, even on departure; departure is recorded as a status change to preserve historical effort, approval and audit data</w:t>
            </w:r>
          </w:p>
        </w:tc>
      </w:tr>
      <w:tr>
        <w:trPr>
          <w:cantSplit/>
        </w:trPr>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BRL-07</w:t>
            </w:r>
          </w:p>
        </w:tc>
        <w:tc>
          <w:tcPr>
            <w:tcW w:type="dxa" w:w="82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Annual Opportunity of Interest (OI) targets are role-specific: 8 registered / 3 won for the Head of Department; 3 registered / 1 won for each Team Lead; BIM Team Lead and BIM Modeler roles are scored on BIM lifecycle milestone adherence instead of OI targets</w:t>
            </w:r>
          </w:p>
        </w:tc>
      </w:tr>
      <w:tr>
        <w:trPr>
          <w:cantSplit/>
        </w:trPr>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BRL-08</w:t>
            </w:r>
          </w:p>
        </w:tc>
        <w:tc>
          <w:tcPr>
            <w:tcW w:type="dxa" w:w="82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A single daily effort entry against one work order may not exceed 8 hours</w:t>
            </w:r>
          </w:p>
        </w:tc>
      </w:tr>
    </w:tbl>
    <w:p>
      <w:pPr>
        <w:pStyle w:val="Heading1"/>
        <w:pageBreakBefore/>
      </w:pPr>
      <w:r>
        <w:t xml:space="preserve">9. Assumptions, Constraints and Dependencies</w:t>
      </w:r>
    </w:p>
    <w:p>
      <w:pPr>
        <w:pStyle w:val="Heading2"/>
      </w:pPr>
      <w:r>
        <w:t xml:space="preserve">9.1 Assumptions</w:t>
      </w:r>
    </w:p>
    <w:p>
      <w:pPr>
        <w:pStyle w:val="ListParagraph"/>
        <w:numPr>
          <w:ilvl w:val="0"/>
          <w:numId w:val="2"/>
        </w:numPr>
        <w:spacing w:after="80"/>
      </w:pPr>
      <w:r>
        <w:t xml:space="preserve">The corporate external Work Order/EWM system remains in operation as the upstream source of external work order references; this initiative does not replace it</w:t>
      </w:r>
    </w:p>
    <w:p>
      <w:pPr>
        <w:pStyle w:val="ListParagraph"/>
        <w:numPr>
          <w:ilvl w:val="0"/>
          <w:numId w:val="2"/>
        </w:numPr>
        <w:spacing w:after="80"/>
      </w:pPr>
      <w:r>
        <w:t xml:space="preserve">Staff have access to a 10CS-issued Microsoft 365 or Google Workspace identity for single sign-on authentication</w:t>
      </w:r>
    </w:p>
    <w:p>
      <w:pPr>
        <w:pStyle w:val="ListParagraph"/>
        <w:numPr>
          <w:ilvl w:val="0"/>
          <w:numId w:val="2"/>
        </w:numPr>
        <w:spacing w:after="80"/>
      </w:pPr>
      <w:r>
        <w:t xml:space="preserve">The existing 10CS corporate visual template (red, white and dark colour scheme with batik motifs) remains the approved standard for Chairman and Management-facing report output</w:t>
      </w:r>
    </w:p>
    <w:p>
      <w:pPr>
        <w:pStyle w:val="ListParagraph"/>
        <w:numPr>
          <w:ilvl w:val="0"/>
          <w:numId w:val="2"/>
        </w:numPr>
        <w:spacing w:after="80"/>
      </w:pPr>
      <w:r>
        <w:t xml:space="preserve">CSI and CMT headcount and organisational structure remain materially stable during the initial delivery phases</w:t>
      </w:r>
    </w:p>
    <w:p>
      <w:pPr>
        <w:pStyle w:val="Heading2"/>
      </w:pPr>
      <w:r>
        <w:t xml:space="preserve">9.2 Constraints</w:t>
      </w:r>
    </w:p>
    <w:p>
      <w:pPr>
        <w:pStyle w:val="ListParagraph"/>
        <w:numPr>
          <w:ilvl w:val="0"/>
          <w:numId w:val="2"/>
        </w:numPr>
        <w:spacing w:after="80"/>
      </w:pPr>
      <w:r>
        <w:t xml:space="preserve">The solution must operate within 10CS's existing identity provider (Microsoft Entra ID or Google Workspace); no new identity system will be introduced</w:t>
      </w:r>
    </w:p>
    <w:p>
      <w:pPr>
        <w:pStyle w:val="ListParagraph"/>
        <w:numPr>
          <w:ilvl w:val="0"/>
          <w:numId w:val="2"/>
        </w:numPr>
        <w:spacing w:after="80"/>
      </w:pPr>
      <w:r>
        <w:t xml:space="preserve">The solution must comply with PDPA in its handling of staff personal and performance data</w:t>
      </w:r>
    </w:p>
    <w:p>
      <w:pPr>
        <w:pStyle w:val="ListParagraph"/>
        <w:numPr>
          <w:ilvl w:val="0"/>
          <w:numId w:val="2"/>
        </w:numPr>
        <w:spacing w:after="80"/>
      </w:pPr>
      <w:r>
        <w:t xml:space="preserve">Budget and delivery are phased per the roadmap in the PRD; full Phase 4 AI-assisted capability is not a precondition for initial go-live</w:t>
      </w:r>
    </w:p>
    <w:p>
      <w:pPr>
        <w:pStyle w:val="ListParagraph"/>
        <w:numPr>
          <w:ilvl w:val="0"/>
          <w:numId w:val="2"/>
        </w:numPr>
        <w:spacing w:after="80"/>
      </w:pPr>
      <w:r>
        <w:t xml:space="preserve">The solution must integrate with, not replace, CMT's existing commercial and costing systems</w:t>
      </w:r>
    </w:p>
    <w:p>
      <w:pPr>
        <w:pStyle w:val="Heading2"/>
      </w:pPr>
      <w:r>
        <w:t xml:space="preserve">9.3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blHeader/>
        </w:trPr>
        <w:tc>
          <w:tcPr>
            <w:tcW w:type="dxa" w:w="32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Dependency</w:t>
            </w:r>
          </w:p>
        </w:tc>
        <w:tc>
          <w:tcPr>
            <w:tcW w:type="dxa" w:w="24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Owning Party</w:t>
            </w:r>
          </w:p>
        </w:tc>
        <w:tc>
          <w:tcPr>
            <w:tcW w:type="dxa" w:w="37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Impact if Unavailable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Corporate external Work Order/EWM system reference data</w:t>
            </w:r>
          </w:p>
        </w:tc>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10CS Corporate IT</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Internal work orders cannot be created without a valid external reference (BRL-01)</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10CS identity provider (Entra ID / Google Workspace)</w:t>
            </w:r>
          </w:p>
        </w:tc>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10CS Corporate IT</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Staff cannot authenticate; the platform is inaccessible</w:t>
            </w:r>
          </w:p>
        </w:tc>
      </w:tr>
      <w:tr>
        <w:trPr>
          <w:cantSplit/>
        </w:trPr>
        <w:tc>
          <w:tcPr>
            <w:tcW w:type="dxa" w:w="32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10CS corporate PPTX/PDF visual template assets</w:t>
            </w:r>
          </w:p>
        </w:tc>
        <w:tc>
          <w:tcPr>
            <w:tcW w:type="dxa" w:w="24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10CS Corporate Communications</w:t>
            </w:r>
          </w:p>
        </w:tc>
        <w:tc>
          <w:tcPr>
            <w:tcW w:type="dxa" w:w="37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Chairman/Management report exports cannot follow the approved visual standard</w:t>
            </w:r>
          </w:p>
        </w:tc>
      </w:tr>
      <w:tr>
        <w:trPr>
          <w:cantSplit/>
        </w:trPr>
        <w:tc>
          <w:tcPr>
            <w:tcW w:type="dxa" w:w="32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CMT cooperation on shared capacity and work order data</w:t>
            </w:r>
          </w:p>
        </w:tc>
        <w:tc>
          <w:tcPr>
            <w:tcW w:type="dxa" w:w="24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Capacity Management Team</w:t>
            </w:r>
          </w:p>
        </w:tc>
        <w:tc>
          <w:tcPr>
            <w:tcW w:type="dxa" w:w="37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Cross-department utilization figures and tender value linkage cannot be fully populated</w:t>
            </w:r>
          </w:p>
        </w:tc>
      </w:tr>
    </w:tbl>
    <w:p>
      <w:pPr>
        <w:pStyle w:val="Heading1"/>
        <w:pageBreakBefore/>
      </w:pPr>
      <w:r>
        <w:t xml:space="preserve">10. Business Risk Assessment</w:t>
      </w:r>
    </w:p>
    <w:p>
      <w:pPr>
        <w:spacing w:after="160" w:before="60" w:line="276"/>
        <w:jc w:val="both"/>
      </w:pPr>
      <w:r>
        <w:t xml:space="preserve">This section identifies business-level risks to the success of this initiative, distinct from the technical risks addressed in the System Architecture Design. Risk ratings are qualitative (Low / Medium / High), reflecting likelihood and business impact combined.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100"/>
        <w:gridCol w:w="3140"/>
      </w:tblGrid>
      <w:tr>
        <w:trPr>
          <w:cantSplit/>
          <w:tblHeader/>
        </w:trPr>
        <w:tc>
          <w:tcPr>
            <w:tcW w:type="dxa" w:w="30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Risk</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Likelihood</w:t>
            </w:r>
          </w:p>
        </w:tc>
        <w:tc>
          <w:tcPr>
            <w:tcW w:type="dxa" w:w="1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Impact</w:t>
            </w:r>
          </w:p>
        </w:tc>
        <w:tc>
          <w:tcPr>
            <w:tcW w:type="dxa" w:w="314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Mitigation</w:t>
            </w:r>
          </w:p>
        </w:tc>
      </w:tr>
      <w:tr>
        <w:trPr>
          <w:cantSplit/>
        </w:trPr>
        <w:tc>
          <w:tcPr>
            <w:tcW w:type="dxa" w:w="3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Staff resistance to changing from familiar manual tools (Excel, SharePoint, Word)</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Medium</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Medium</w:t>
            </w:r>
          </w:p>
        </w:tc>
        <w:tc>
          <w:tcPr>
            <w:tcW w:type="dxa" w:w="314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The platform deliberately preserves the existing operating model and terminology rather than introducing a new one; phased rollout with the HOD as the visible sponsor</w:t>
            </w:r>
          </w:p>
        </w:tc>
      </w:tr>
      <w:tr>
        <w:trPr>
          <w:cantSplit/>
        </w:trPr>
        <w:tc>
          <w:tcPr>
            <w:tcW w:type="dxa" w:w="30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Incomplete or inconsistent corporate external WO reference data</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Medium</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High</w:t>
            </w:r>
          </w:p>
        </w:tc>
        <w:tc>
          <w:tcPr>
            <w:tcW w:type="dxa" w:w="314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Duplicate-detection and override workflow (BRL-01) with a logged reason, rather than a hard block, allows the business to proceed while flagging data quality issues for correction</w:t>
            </w:r>
          </w:p>
        </w:tc>
      </w:tr>
      <w:tr>
        <w:trPr>
          <w:cantSplit/>
        </w:trPr>
        <w:tc>
          <w:tcPr>
            <w:tcW w:type="dxa" w:w="3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Capacity evaluation process bypassed under commercial pressure to accept a high-value tender</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Low</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High</w:t>
            </w:r>
          </w:p>
        </w:tc>
        <w:tc>
          <w:tcPr>
            <w:tcW w:type="dxa" w:w="314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Override is technically possible only by the HOD and is permanently logged with justification (BRL-05), creating accountability without an absolute block on business judgement</w:t>
            </w:r>
          </w:p>
        </w:tc>
      </w:tr>
      <w:tr>
        <w:trPr>
          <w:cantSplit/>
        </w:trPr>
        <w:tc>
          <w:tcPr>
            <w:tcW w:type="dxa" w:w="30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Delay in CMT's cooperation on shared data integration</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Medium</w:t>
            </w:r>
          </w:p>
        </w:tc>
        <w:tc>
          <w:tcPr>
            <w:tcW w:type="dxa" w:w="1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Medium</w:t>
            </w:r>
          </w:p>
        </w:tc>
        <w:tc>
          <w:tcPr>
            <w:tcW w:type="dxa" w:w="314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Phased delivery allows CSI-only capability to deliver value in Phase 1–3 independent of CMT integration timing</w:t>
            </w:r>
          </w:p>
        </w:tc>
      </w:tr>
      <w:tr>
        <w:trPr>
          <w:cantSplit/>
        </w:trPr>
        <w:tc>
          <w:tcPr>
            <w:tcW w:type="dxa" w:w="30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PDPA non-compliance in staff performance data handling</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Low</w:t>
            </w:r>
          </w:p>
        </w:tc>
        <w:tc>
          <w:tcPr>
            <w:tcW w:type="dxa" w:w="1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High</w:t>
            </w:r>
          </w:p>
        </w:tc>
        <w:tc>
          <w:tcPr>
            <w:tcW w:type="dxa" w:w="314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Role-scoped access control (BR-14) is a Must-priority requirement validated before go-live, not a post-launch enhancement</w:t>
            </w:r>
          </w:p>
        </w:tc>
      </w:tr>
    </w:tbl>
    <w:p>
      <w:pPr>
        <w:pStyle w:val="Heading1"/>
        <w:pageBreakBefore/>
      </w:pPr>
      <w:r>
        <w:t xml:space="preserve">Appendix A: Business-to-System Requirement Traceability</w:t>
      </w:r>
    </w:p>
    <w:p>
      <w:pPr>
        <w:spacing w:after="160" w:before="60" w:line="276"/>
        <w:jc w:val="both"/>
      </w:pPr>
      <w:r>
        <w:t xml:space="preserve">This matrix shows where each business requirement in Section 7 is elaborated into system-level and functional requirements in the companion System Requirement Specification (SRS) and Product Requirements Document (PRD). It allows the Business Owner to confirm that no business requirement has been dropped or altered as it flows down through the documentation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cantSplit/>
          <w:tblHeader/>
        </w:trPr>
        <w:tc>
          <w:tcPr>
            <w:tcW w:type="dxa" w:w="29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Business Requirement</w:t>
            </w:r>
          </w:p>
        </w:tc>
        <w:tc>
          <w:tcPr>
            <w:tcW w:type="dxa" w:w="310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Elaborated In (SRS Section)</w:t>
            </w:r>
          </w:p>
        </w:tc>
        <w:tc>
          <w:tcPr>
            <w:tcW w:type="dxa" w:w="3360"/>
            <w:tcBorders>
              <w:top w:val="single" w:color="C9C9C9" w:sz="1"/>
              <w:left w:val="single" w:color="C9C9C9" w:sz="1"/>
              <w:bottom w:val="single" w:color="C9C9C9" w:sz="1"/>
              <w:right w:val="single" w:color="C9C9C9" w:sz="1"/>
            </w:tcBorders>
            <w:shd w:fill="A6192E" w:val="clear"/>
            <w:tcMar>
              <w:top w:type="dxa" w:w="60"/>
              <w:left w:type="dxa" w:w="100"/>
              <w:bottom w:type="dxa" w:w="60"/>
              <w:right w:type="dxa" w:w="100"/>
            </w:tcMar>
          </w:tcPr>
          <w:p>
            <w:r>
              <w:rPr>
                <w:b/>
                <w:bCs/>
                <w:color w:val="FFFFFF"/>
                <w:sz w:val="17"/>
                <w:szCs w:val="17"/>
              </w:rPr>
              <w:t xml:space="preserve">Elaborated In (PRD Reference)</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BR-01 — Single system of record</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§7.1–7.2 (FR-01–09)</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BR-02 — Verified external WO linkage</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 (FR-01, FR-05)</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BR-03 — Preserve existing taxonomy/tiers/roles</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§5 Information Architecture,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§6, §7.1</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BR-04 — Capacity formula as configuration</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§5 Information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§13.1, §7.11 (FR-35)</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BR-05 — Mandatory capacity evaluation before commitment</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§13.3–13.4 (FR-37–39)</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BR-06 — HOD-only override with justification</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§6 Application Architecture, §8 Security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§7.11 (FR-40)</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BR-07 — Real-time utilization visibility</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§12, §13.2 (FR-36)</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BR-08 — Live KPI visibility</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§7.12, §14 (FR-41–44)</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BR-09 — Immutable audit trail</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§8 Security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§8, DB Spec §6</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BR-10 — Same-day management reporting</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§15 (Reporting Requirements)</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BR-11 — Staff competency visibility</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§7.15 (FR-50–56)</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BR-12 — Certification tracking with expiry alerts</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§6 Application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§7.15 (FR-52–53)</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BR-13 — Tender as first-class business object</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§5 Information Architecture, §6 Application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§4.3, §7.16 (FR-57–61)</w:t>
            </w:r>
          </w:p>
        </w:tc>
      </w:tr>
      <w:tr>
        <w:trPr>
          <w:cantSplit/>
        </w:trPr>
        <w:tc>
          <w:tcPr>
            <w:tcW w:type="dxa" w:w="29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BR-14 — PDPA-aligned access control</w:t>
            </w:r>
          </w:p>
        </w:tc>
        <w:tc>
          <w:tcPr>
            <w:tcW w:type="dxa" w:w="310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SRS §8 Security Architecture</w:t>
            </w:r>
          </w:p>
        </w:tc>
        <w:tc>
          <w:tcPr>
            <w:tcW w:type="dxa" w:w="3360"/>
            <w:tcBorders>
              <w:top w:val="single" w:color="C9C9C9" w:sz="1"/>
              <w:left w:val="single" w:color="C9C9C9" w:sz="1"/>
              <w:bottom w:val="single" w:color="C9C9C9" w:sz="1"/>
              <w:right w:val="single" w:color="C9C9C9" w:sz="1"/>
            </w:tcBorders>
            <w:shd w:fill="F2F2F2" w:val="clear"/>
            <w:tcMar>
              <w:top w:type="dxa" w:w="60"/>
              <w:left w:type="dxa" w:w="100"/>
              <w:bottom w:type="dxa" w:w="60"/>
              <w:right w:type="dxa" w:w="100"/>
            </w:tcMar>
          </w:tcPr>
          <w:p>
            <w:r>
              <w:rPr>
                <w:b w:val="false"/>
                <w:bCs w:val="false"/>
                <w:color w:val="1A1A1A"/>
                <w:sz w:val="17"/>
                <w:szCs w:val="17"/>
              </w:rPr>
              <w:t xml:space="preserve">PRD §8 (Security NFR)</w:t>
            </w:r>
          </w:p>
        </w:tc>
      </w:tr>
      <w:tr>
        <w:trPr>
          <w:cantSplit/>
        </w:trPr>
        <w:tc>
          <w:tcPr>
            <w:tcW w:type="dxa" w:w="29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BR-15 — Extensibility beyond CSI/CMT</w:t>
            </w:r>
          </w:p>
        </w:tc>
        <w:tc>
          <w:tcPr>
            <w:tcW w:type="dxa" w:w="310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SRS §7 Technology Architecture</w:t>
            </w:r>
          </w:p>
        </w:tc>
        <w:tc>
          <w:tcPr>
            <w:tcW w:type="dxa" w:w="3360"/>
            <w:tcBorders>
              <w:top w:val="single" w:color="C9C9C9" w:sz="1"/>
              <w:left w:val="single" w:color="C9C9C9" w:sz="1"/>
              <w:bottom w:val="single" w:color="C9C9C9" w:sz="1"/>
              <w:right w:val="single" w:color="C9C9C9" w:sz="1"/>
            </w:tcBorders>
            <w:shd w:fill="FFFFFF" w:val="clear"/>
            <w:tcMar>
              <w:top w:type="dxa" w:w="60"/>
              <w:left w:type="dxa" w:w="100"/>
              <w:bottom w:type="dxa" w:w="60"/>
              <w:right w:type="dxa" w:w="100"/>
            </w:tcMar>
          </w:tcPr>
          <w:p>
            <w:r>
              <w:rPr>
                <w:b w:val="false"/>
                <w:bCs w:val="false"/>
                <w:color w:val="1A1A1A"/>
                <w:sz w:val="17"/>
                <w:szCs w:val="17"/>
              </w:rPr>
              <w:t xml:space="preserve">PRD §16 (Future Roadmap)</w:t>
            </w:r>
          </w:p>
        </w:tc>
      </w:tr>
    </w:tbl>
    <w:p>
      <w:pPr>
        <w:spacing w:after="200"/>
      </w:pPr>
    </w:p>
    <w:p>
      <w:pPr>
        <w:spacing w:after="160" w:before="60" w:line="276"/>
        <w:jc w:val="both"/>
      </w:pPr>
      <w:r>
        <w:rPr>
          <w:b/>
          <w:bCs/>
        </w:rPr>
        <w:t xml:space="preserve">This Business Requirement Specification is submitted for review and sign-off by the Business Owner, Solution Architect and Management. Approval authorises elaboration of these requirements into the System Requirement Specification and subsequent technical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CSI Digital Operating Platform — Business Requirement Specification (BRS)</w:t>
    </w:r>
    <w:r>
      <w:rPr>
        <w:color w:val="595959"/>
        <w:sz w:val="16"/>
        <w:szCs w:val="16"/>
      </w:rPr>
      <w:t xml:space="preserve">	10CS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6" w:space="4"/>
      </w:pBdr>
      <w:spacing w:after="220" w:before="0"/>
      <w:outlineLvl w:val="0"/>
    </w:pPr>
    <w:rPr>
      <w:rFonts w:ascii="Arial" w:cs="Arial" w:eastAsia="Arial" w:hAnsi="Arial"/>
      <w:b/>
      <w:bCs/>
      <w:color w:val="A619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3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2026-06-19T05:22:16.860Z</dcterms:created>
  <dcterms:modified xsi:type="dcterms:W3CDTF">2026-06-19T05:22:16.873Z</dcterms:modified>
</cp:coreProperties>
</file>

<file path=docProps/custom.xml><?xml version="1.0" encoding="utf-8"?>
<Properties xmlns="http://schemas.openxmlformats.org/officeDocument/2006/custom-properties" xmlns:vt="http://schemas.openxmlformats.org/officeDocument/2006/docPropsVTypes"/>
</file>