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jc w:val="center"/>
      </w:pPr>
      <w:r>
        <w:rPr>
          <w:b/>
          <w:bCs/>
          <w:color w:val="595959"/>
          <w:sz w:val="22"/>
          <w:szCs w:val="22"/>
        </w:rPr>
        <w:t xml:space="preserve">10 CREATIVE SOLUTIONS SDN BHD (10CS)</w:t>
      </w:r>
    </w:p>
    <w:p>
      <w:pPr>
        <w:spacing w:after="40" w:before="60"/>
        <w:jc w:val="center"/>
      </w:pPr>
      <w:r>
        <w:rPr>
          <w:color w:val="595959"/>
          <w:sz w:val="20"/>
          <w:szCs w:val="20"/>
        </w:rPr>
        <w:t xml:space="preserve">Consultant, Solution &amp; Innovation (CSI) Department</w:t>
      </w:r>
    </w:p>
    <w:p>
      <w:pPr>
        <w:spacing w:after="600"/>
      </w:pPr>
    </w:p>
    <w:p>
      <w:pPr>
        <w:pBdr>
          <w:bottom w:val="single" w:color="A6192E" w:sz="6" w:space="8"/>
        </w:pBdr>
        <w:jc w:val="center"/>
      </w:pPr>
      <w:r>
        <w:rPr>
          <w:b/>
          <w:bCs/>
          <w:color w:val="A6192E"/>
          <w:sz w:val="50"/>
          <w:szCs w:val="50"/>
        </w:rPr>
        <w:t xml:space="preserve">CSI DIGITAL OPERATING PLATFORM</w:t>
      </w:r>
    </w:p>
    <w:p>
      <w:pPr>
        <w:spacing w:after="160"/>
      </w:pPr>
    </w:p>
    <w:p>
      <w:pPr>
        <w:spacing w:before="200"/>
        <w:jc w:val="center"/>
      </w:pPr>
      <w:r>
        <w:rPr>
          <w:b/>
          <w:bCs/>
          <w:color w:val="1A1A1A"/>
          <w:sz w:val="30"/>
          <w:szCs w:val="30"/>
        </w:rPr>
        <w:t xml:space="preserve">Database Design Specification</w:t>
      </w:r>
    </w:p>
    <w:p>
      <w:pPr>
        <w:spacing w:after="80" w:before="100"/>
        <w:jc w:val="center"/>
      </w:pPr>
      <w:r>
        <w:rPr>
          <w:i/>
          <w:iCs/>
          <w:color w:val="595959"/>
          <w:sz w:val="22"/>
          <w:szCs w:val="22"/>
        </w:rPr>
        <w:t xml:space="preserve">ERD, Entity Data Dictionary, Relationships, Indexes and Audit Log Design</w:t>
      </w:r>
    </w:p>
    <w:p>
      <w:pPr>
        <w:spacing w:after="800" w:before="0"/>
        <w:jc w:val="center"/>
      </w:pPr>
      <w:r>
        <w:rPr>
          <w:i/>
          <w:iCs/>
          <w:color w:val="595959"/>
          <w:sz w:val="20"/>
          <w:szCs w:val="20"/>
        </w:rPr>
        <w:t xml:space="preserve">Companion to the PRD v1.1 (Approved) and the UI/UX Wireframe Specification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Document Type</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Database Design Specification</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Reference Documents</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CSI Digital Operating Platform PRD v1.1 (Approved); UI/UX Wireframe Specification v1.0</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Target Platform</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PostgreSQL (per PRD §16.1 platform direction)</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Department</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Consultant, Solution &amp; Innovation (CSI)</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Version</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1.0</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Status</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Draft — For Solution Architect, Developer and Management Review and Approval</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Date Prepared</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19 June 2026</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Prepared By</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Farhan Nordin, Head of Department, CSI</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Classification</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Internal — 10CS Confidential</w:t>
            </w:r>
          </w:p>
        </w:tc>
      </w:tr>
    </w:tbl>
    <w:p>
      <w:pPr>
        <w:pStyle w:val="Heading1"/>
        <w:pageBreakBefore/>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cantSplit/>
          <w:tblHeader/>
        </w:trPr>
        <w:tc>
          <w:tcPr>
            <w:tcW w:type="dxa" w:w="14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Version</w:t>
            </w:r>
          </w:p>
        </w:tc>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Date</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Author</w:t>
            </w:r>
          </w:p>
        </w:tc>
        <w:tc>
          <w:tcPr>
            <w:tcW w:type="dxa" w:w="41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1.0</w:t>
            </w:r>
          </w:p>
        </w:tc>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19 Jun 2026</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Farhan Nordin</w:t>
            </w:r>
          </w:p>
        </w:tc>
        <w:tc>
          <w:tcPr>
            <w:tcW w:type="dxa" w:w="41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Initial Database Design Specification, derived from the approved PRD v1.1 logical data model (§11) and the UI/UX Wireframe Specification's screen-level data and filter requirements</w:t>
            </w:r>
          </w:p>
        </w:tc>
      </w:tr>
    </w:tbl>
    <w:p>
      <w:pPr>
        <w:spacing w:after="200"/>
      </w:pPr>
    </w:p>
    <w:p>
      <w:pPr>
        <w:pStyle w:val="Heading2"/>
      </w:pPr>
      <w:r>
        <w:t xml:space="preserve">Approval Sign-Off</w:t>
      </w:r>
    </w:p>
    <w:p>
      <w:pPr>
        <w:spacing w:after="160" w:before="60" w:line="276"/>
        <w:jc w:val="both"/>
      </w:pPr>
      <w:r>
        <w:t xml:space="preserve">This specification turns the PRD's logical data model into a physical schema ready for build: surrogate keys, data types, constraints, indexes and the audit mechanism. Approval here authorises schema creation and migration scripting to proceed; it does not reopen scope already approved in the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80"/>
        <w:gridCol w:w="1980"/>
      </w:tblGrid>
      <w:tr>
        <w:trPr>
          <w:cantSplit/>
          <w:tblHeader/>
        </w:trPr>
        <w:tc>
          <w:tcPr>
            <w:tcW w:type="dxa" w:w="3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Role</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Name</w:t>
            </w:r>
          </w:p>
        </w:tc>
        <w:tc>
          <w:tcPr>
            <w:tcW w:type="dxa" w:w="198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Signature</w:t>
            </w:r>
          </w:p>
        </w:tc>
        <w:tc>
          <w:tcPr>
            <w:tcW w:type="dxa" w:w="198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Date</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Prepared by — Solution Architect / HOD, CSI</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Farhan Nordin</w:t>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Reviewed by — Developer / Database Engineer</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c>
          <w:tcPr>
            <w:tcW w:type="dxa" w:w="198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c>
          <w:tcPr>
            <w:tcW w:type="dxa" w:w="198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Approved by — Management / Chairman's Office</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bl>
    <w:p>
      <w:pPr>
        <w:spacing w:after="200"/>
      </w:pPr>
    </w:p>
    <w:p>
      <w:pPr>
        <w:pStyle w:val="Heading2"/>
      </w:pPr>
      <w:r>
        <w:t xml:space="preserve">Distribution List</w:t>
      </w:r>
    </w:p>
    <w:p>
      <w:pPr>
        <w:pStyle w:val="ListParagraph"/>
        <w:numPr>
          <w:ilvl w:val="0"/>
          <w:numId w:val="2"/>
        </w:numPr>
        <w:spacing w:after="80"/>
      </w:pPr>
      <w:r>
        <w:t xml:space="preserve">Head of Department, CSI (Document Owner)</w:t>
      </w:r>
    </w:p>
    <w:p>
      <w:pPr>
        <w:pStyle w:val="ListParagraph"/>
        <w:numPr>
          <w:ilvl w:val="0"/>
          <w:numId w:val="2"/>
        </w:numPr>
        <w:spacing w:after="80"/>
      </w:pPr>
      <w:r>
        <w:t xml:space="preserve">Solution Architect / Enterprise Architecture function</w:t>
      </w:r>
    </w:p>
    <w:p>
      <w:pPr>
        <w:pStyle w:val="ListParagraph"/>
        <w:numPr>
          <w:ilvl w:val="0"/>
          <w:numId w:val="2"/>
        </w:numPr>
        <w:spacing w:after="80"/>
      </w:pPr>
      <w:r>
        <w:t xml:space="preserve">Assigned Developer(s) / Database Engineer</w:t>
      </w:r>
    </w:p>
    <w:p>
      <w:pPr>
        <w:pStyle w:val="ListParagraph"/>
        <w:numPr>
          <w:ilvl w:val="0"/>
          <w:numId w:val="2"/>
        </w:numPr>
        <w:spacing w:after="80"/>
      </w:pPr>
      <w:r>
        <w:t xml:space="preserve">10CS Management and Chairman's Office</w:t>
      </w:r>
    </w:p>
    <w:p>
      <w:pPr>
        <w:pStyle w:val="Heading1"/>
        <w:pageBreakBefore/>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1. Introduction &amp; Design Conventions</w:t>
      </w:r>
    </w:p>
    <w:p>
      <w:pPr>
        <w:spacing w:after="160" w:before="60" w:line="276"/>
        <w:jc w:val="both"/>
      </w:pPr>
      <w:r>
        <w:t xml:space="preserve">This specification translates the logical data model approved in PRD v1.1 §11 into a physical PostgreSQL schema: every table, column, data type, key, index and the audit mechanism needed before the Developer begins migration scripting. It assumes the platform direction confirmed in PRD §16.1 (PostgreSQL database, Next.js/FastAPI application layer) and the screen-level data and filter requirements set out in the UI/UX Wireframe Specification v1.0.</w:t>
      </w:r>
    </w:p>
    <w:p>
      <w:pPr>
        <w:pStyle w:val="Heading2"/>
      </w:pPr>
      <w:r>
        <w:t xml:space="preserve">1.1 Purpose &amp; Scope</w:t>
      </w:r>
    </w:p>
    <w:p>
      <w:pPr>
        <w:spacing w:after="160" w:before="60" w:line="276"/>
        <w:jc w:val="both"/>
      </w:pPr>
      <w:r>
        <w:t xml:space="preserve">In scope: the complete physical schema for all 25 tables required to support the 19 screens specified in the Wireframe Specification and the functional requirements approved in PRD §7, expressed as an Entity Relationship Diagram, a full entity data dictionary, a relationship/cardinality matrix, an index plan, and the design of the platform-wide AUDIT_LOG. Out of scope: actual DDL scripts, migration tooling, and physical storage/partitioning implementation detail beyond the recommendations in Section 7 — these are Developer-stage artefacts that follow from, rather than belong in, this specification.</w:t>
      </w:r>
    </w:p>
    <w:p>
      <w:pPr>
        <w:pStyle w:val="Heading2"/>
      </w:pPr>
      <w:r>
        <w:t xml:space="preserve">1.2 Naming Conventions</w:t>
      </w:r>
    </w:p>
    <w:p>
      <w:pPr>
        <w:pStyle w:val="ListParagraph"/>
        <w:numPr>
          <w:ilvl w:val="0"/>
          <w:numId w:val="2"/>
        </w:numPr>
        <w:spacing w:after="80"/>
      </w:pPr>
      <w:r>
        <w:t xml:space="preserve">Table names are UPPER_SNAKE_CASE and match the entity names already used in PRD §11, so every table in this document is traceable to the PRD without translation</w:t>
      </w:r>
    </w:p>
    <w:p>
      <w:pPr>
        <w:pStyle w:val="ListParagraph"/>
        <w:numPr>
          <w:ilvl w:val="0"/>
          <w:numId w:val="2"/>
        </w:numPr>
        <w:spacing w:after="80"/>
      </w:pPr>
      <w:r>
        <w:t xml:space="preserve">Column names are PascalCase, also carried forward from the PRD's field names where the PRD already named a field (e.g. CSI_WO_No, ExtWO_Id, TenderOwnerId)</w:t>
      </w:r>
    </w:p>
    <w:p>
      <w:pPr>
        <w:pStyle w:val="ListParagraph"/>
        <w:numPr>
          <w:ilvl w:val="0"/>
          <w:numId w:val="2"/>
        </w:numPr>
        <w:spacing w:after="80"/>
      </w:pPr>
      <w:r>
        <w:t xml:space="preserve">Foreign key columns are named &lt;ReferencedConcept&gt;Id (e.g. RoleId, DeptId, AssignedTo) rather than always repeating the referenced table name, matching how the PRD already referred to these fields</w:t>
      </w:r>
    </w:p>
    <w:p>
      <w:pPr>
        <w:pStyle w:val="ListParagraph"/>
        <w:numPr>
          <w:ilvl w:val="0"/>
          <w:numId w:val="2"/>
        </w:numPr>
        <w:spacing w:after="80"/>
      </w:pPr>
      <w:r>
        <w:t xml:space="preserve">Index names follow IDX_&lt;TABLE&gt;_&lt;COLUMN(S)&gt; for non-unique indexes and UQ_&lt;TABLE&gt;_&lt;COLUMN(S)&gt; for unique constraints/indexes</w:t>
      </w:r>
    </w:p>
    <w:p>
      <w:pPr>
        <w:pStyle w:val="Heading2"/>
      </w:pPr>
      <w:r>
        <w:t xml:space="preserve">1.3 Data Type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cantSplit/>
          <w:tblHeader/>
        </w:trPr>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Logical Type</w:t>
            </w:r>
          </w:p>
        </w:tc>
        <w:tc>
          <w:tcPr>
            <w:tcW w:type="dxa" w:w="2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PostgreSQL Type</w:t>
            </w:r>
          </w:p>
        </w:tc>
        <w:tc>
          <w:tcPr>
            <w:tcW w:type="dxa" w:w="4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Usage</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Key</w:t>
            </w:r>
          </w:p>
        </w:tc>
        <w:tc>
          <w:tcPr>
            <w:tcW w:type="dxa" w:w="2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 default gen_random_uuid()</w:t>
            </w:r>
          </w:p>
        </w:tc>
        <w:tc>
          <w:tcPr>
            <w:tcW w:type="dxa" w:w="4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Primary key on every table except AUDIT_LOG</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Sequential Key</w:t>
            </w:r>
          </w:p>
        </w:tc>
        <w:tc>
          <w:tcPr>
            <w:tcW w:type="dxa" w:w="2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BIGSERIAL</w:t>
            </w:r>
          </w:p>
        </w:tc>
        <w:tc>
          <w:tcPr>
            <w:tcW w:type="dxa" w:w="4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AUDIT_LOG only — append-only, high write volume, sequential read patterns favour a serial key over UUID</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Short Code</w:t>
            </w:r>
          </w:p>
        </w:tc>
        <w:tc>
          <w:tcPr>
            <w:tcW w:type="dxa" w:w="2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VARCHAR(10–40)</w:t>
            </w:r>
          </w:p>
        </w:tc>
        <w:tc>
          <w:tcPr>
            <w:tcW w:type="dxa" w:w="4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Business/natural keys such as DeptCode, CSI_WO_No, TenderNo</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Name / Title</w:t>
            </w:r>
          </w:p>
        </w:tc>
        <w:tc>
          <w:tcPr>
            <w:tcW w:type="dxa" w:w="2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VARCHAR(100–200)</w:t>
            </w:r>
          </w:p>
        </w:tc>
        <w:tc>
          <w:tcPr>
            <w:tcW w:type="dxa" w:w="4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Display names, titles</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Long Text</w:t>
            </w:r>
          </w:p>
        </w:tc>
        <w:tc>
          <w:tcPr>
            <w:tcW w:type="dxa" w:w="2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TEXT</w:t>
            </w:r>
          </w:p>
        </w:tc>
        <w:tc>
          <w:tcPr>
            <w:tcW w:type="dxa" w:w="4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Notes, reasons, justifications — unbounded length</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Whole Number</w:t>
            </w:r>
          </w:p>
        </w:tc>
        <w:tc>
          <w:tcPr>
            <w:tcW w:type="dxa" w:w="2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SMALLINT / INTEGER</w:t>
            </w:r>
          </w:p>
        </w:tc>
        <w:tc>
          <w:tcPr>
            <w:tcW w:type="dxa" w:w="4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Counts, scores on a 0–5 scale, type codes</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Money / Value</w:t>
            </w:r>
          </w:p>
        </w:tc>
        <w:tc>
          <w:tcPr>
            <w:tcW w:type="dxa" w:w="2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NUMERIC(15,2)</w:t>
            </w:r>
          </w:p>
        </w:tc>
        <w:tc>
          <w:tcPr>
            <w:tcW w:type="dxa" w:w="4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All monetary fields — never FLOAT/DOUBLE, to avoid rounding drift on tender and commission values</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Hours / Factor</w:t>
            </w:r>
          </w:p>
        </w:tc>
        <w:tc>
          <w:tcPr>
            <w:tcW w:type="dxa" w:w="2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NUMERIC(4,2) – NUMERIC(8,2)</w:t>
            </w:r>
          </w:p>
        </w:tc>
        <w:tc>
          <w:tcPr>
            <w:tcW w:type="dxa" w:w="4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Effort hours, productivity factor, baseline hours</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Date</w:t>
            </w:r>
          </w:p>
        </w:tc>
        <w:tc>
          <w:tcPr>
            <w:tcW w:type="dxa" w:w="2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DATE</w:t>
            </w:r>
          </w:p>
        </w:tc>
        <w:tc>
          <w:tcPr>
            <w:tcW w:type="dxa" w:w="4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Calendar dates with no time component (ClosingDate, DueDate, IssueDate)</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Timestamp</w:t>
            </w:r>
          </w:p>
        </w:tc>
        <w:tc>
          <w:tcPr>
            <w:tcW w:type="dxa" w:w="2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TIMESTAMP (with time zone)</w:t>
            </w:r>
          </w:p>
        </w:tc>
        <w:tc>
          <w:tcPr>
            <w:tcW w:type="dxa" w:w="4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Event-time fields (PerformedAt, UploadedDate, ScoredAt)</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Flag</w:t>
            </w:r>
          </w:p>
        </w:tc>
        <w:tc>
          <w:tcPr>
            <w:tcW w:type="dxa" w:w="2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BOOLEAN</w:t>
            </w:r>
          </w:p>
        </w:tc>
        <w:tc>
          <w:tcPr>
            <w:tcW w:type="dxa" w:w="4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Two-state flags (IsCurrent, SystemConfigFlag, the six complexity-multiplier flags)</w:t>
            </w:r>
          </w:p>
        </w:tc>
      </w:tr>
    </w:tbl>
    <w:p>
      <w:pPr>
        <w:pStyle w:val="Heading2"/>
      </w:pPr>
      <w:r>
        <w:t xml:space="preserve">1.4 Key Design Decisions</w:t>
      </w:r>
    </w:p>
    <w:p>
      <w:pPr>
        <w:spacing w:after="160" w:before="60" w:line="276"/>
        <w:jc w:val="both"/>
      </w:pPr>
      <w:r>
        <w:t xml:space="preserve">Four decisions in this physical design go beyond what PRD §11 specified at the logical level. Each is called out here so the Solution Architect can confirm them explicitly rather than discover them inside the data dictionary.</w:t>
      </w:r>
    </w:p>
    <w:p>
      <w:pPr>
        <w:pStyle w:val="ListParagraph"/>
        <w:numPr>
          <w:ilvl w:val="0"/>
          <w:numId w:val="2"/>
        </w:numPr>
        <w:spacing w:after="80"/>
      </w:pPr>
      <w:r>
        <w:t xml:space="preserve">Surrogate primary keys. Every table carries a UUID Id as its true primary key, even where the PRD marked a business field as "(PK)" — for example CSI_WO_No. Those business fields are retained as NOT NULL UNIQUE columns (natural/alternate keys) rather than primary keys, so that joins and foreign keys are stable UUIDs while the human-facing reference numbers staff already use (CSI_WO_No, TenderNo, ExtWO_No) remain exactly as defined in the PRD.</w:t>
      </w:r>
    </w:p>
    <w:p>
      <w:pPr>
        <w:pStyle w:val="ListParagraph"/>
        <w:numPr>
          <w:ilvl w:val="0"/>
          <w:numId w:val="2"/>
        </w:numPr>
        <w:spacing w:after="80"/>
      </w:pPr>
      <w:r>
        <w:t xml:space="preserve">Standard audit columns, omitted from the dictionary for brevity. Every table includes CreatedAt (TIMESTAMP, default now(), not null) and UpdatedAt (TIMESTAMP, nullable, set by application or trigger on update). These two columns show only the last touch on a row; full row-level history is the job of AUDIT_LOG (Section 6), so CreatedAt/UpdatedAt are not repeated in every table's field list below.</w:t>
      </w:r>
    </w:p>
    <w:p>
      <w:pPr>
        <w:pStyle w:val="ListParagraph"/>
        <w:numPr>
          <w:ilvl w:val="0"/>
          <w:numId w:val="2"/>
        </w:numPr>
        <w:spacing w:after="80"/>
      </w:pPr>
      <w:r>
        <w:t xml:space="preserve">MASTER_DATA normalised into six lookup tables. PRD §11 described a single "MASTER_DATA (Config)" entity covering request types, complexity tiers, multiplier factors, SLA targets and role-split percentages. Because these have materially different shapes, they are normalised here into REQUEST_TYPE, COMPLEXITY_TIER, BASELINE_TIER, MULTIPLIER_FACTOR, ROLE_SPLIT and a generic SYSTEM_SETTING table for everything else configurable (utilization thresholds, the certification expiry window, the Go/No-Go planning horizon default) — still all reachable from the single Admin &amp; Master Data screen (Wireframe Spec, Screen 19), just properly shaped underneath it.</w:t>
      </w:r>
    </w:p>
    <w:p>
      <w:pPr>
        <w:pStyle w:val="ListParagraph"/>
        <w:numPr>
          <w:ilvl w:val="0"/>
          <w:numId w:val="2"/>
        </w:numPr>
        <w:spacing w:after="80"/>
      </w:pPr>
      <w:r>
        <w:t xml:space="preserve">STAFF rows are never hard-deleted. Because STAFF is referenced by foreign key from nineteen of the other twenty-four tables, deactivation is handled entirely through the Status column (Active/Inactive/OnLeave). This avoids cascading deletes ever reaching effort logs, KPI records or audit history tied to a former staff member.</w:t>
      </w:r>
    </w:p>
    <w:p>
      <w:pPr>
        <w:pStyle w:val="Heading1"/>
        <w:pageBreakBefore/>
      </w:pPr>
      <w:r>
        <w:t xml:space="preserve">2. Entity Relationship Diagrams</w:t>
      </w:r>
    </w:p>
    <w:p>
      <w:pPr>
        <w:spacing w:after="160" w:before="60" w:line="276"/>
        <w:jc w:val="both"/>
      </w:pPr>
      <w:r>
        <w:t xml:space="preserve">The model is presented as two diagrams rather than one, purely for legibility — twenty-five tables in a single diagram stops being readable on a printed page. Each diagram shows only primary keys, foreign keys and natural/unique keys; the full attribute list for every table is in Section 3. Relationship lines carry PRD-style cardinality labels (1 / *) rather than crow's-foot notation, to keep the diagrams readable at the resolution a Word document allows.</w:t>
      </w:r>
    </w:p>
    <w:p>
      <w:pPr>
        <w:pStyle w:val="Heading2"/>
      </w:pPr>
      <w:r>
        <w:t xml:space="preserve">2.1 ERD 1 — Core Operational Model</w:t>
      </w:r>
    </w:p>
    <w:p>
      <w:pPr>
        <w:spacing w:after="160" w:before="60" w:line="276"/>
        <w:jc w:val="both"/>
      </w:pPr>
      <w:r>
        <w:t xml:space="preserve">Covers identity and organisation (DEPARTMENT, ROLE, STAFF), the Tender → WO → Task → Effort hierarchy (TENDER, EXTERNAL_WO, CSI_WO, ASSIGNMENT, EFFORT_LOG, EVIDENCE_DELIVERABLE, APPROVAL_RECORD), the two lookup tables CSI_WO depends on directly (REQUEST_TYPE, COMPLEXITY_TIER), the Go/No-Go evaluation chain (TENDER_SCORING, GONOGO_EVALUATION), KPI/OI tracking, and AUDIT_LOG.</w:t>
      </w:r>
    </w:p>
    <w:p>
      <w:pPr>
        <w:jc w:val="center"/>
      </w:pPr>
      <w:r>
        <w:drawing>
          <wp:inline distT="0" distB="0" distL="0" distR="0">
            <wp:extent cx="5905500" cy="5276850"/>
            <wp:effectExtent t="0" r="0" b="0" l="0"/>
            <wp:docPr id="1" name="ERD 1 - Core Operational Model" descr="ERD 1 - Core Operational Model" title="ERD 1 - Core Operatio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276850"/>
                    </a:xfrm>
                    <a:prstGeom prst="rect">
                      <a:avLst/>
                    </a:prstGeom>
                  </pic:spPr>
                </pic:pic>
              </a:graphicData>
            </a:graphic>
          </wp:inline>
        </w:drawing>
      </w:r>
    </w:p>
    <w:p>
      <w:pPr>
        <w:spacing w:after="200" w:before="80"/>
        <w:jc w:val="center"/>
      </w:pPr>
      <w:r>
        <w:rPr>
          <w:i/>
          <w:iCs/>
          <w:color w:val="595959"/>
          <w:sz w:val="18"/>
          <w:szCs w:val="18"/>
        </w:rPr>
        <w:t xml:space="preserve">Figure 1 — ERD 1: Core Operational Model. Dashed edges denote a nullable foreign key (v1.1 additions). AUDIT_LOG's EntityName/EntityId pair is shown without an arrowhead because it is intentionally not FK-enforced (Section 6).</w:t>
      </w:r>
    </w:p>
    <w:p>
      <w:pPr>
        <w:pStyle w:val="Heading2"/>
      </w:pPr>
      <w:r>
        <w:t xml:space="preserve">2.2 ERD 2 — Capability &amp; Configuration Model</w:t>
      </w:r>
    </w:p>
    <w:p>
      <w:pPr>
        <w:spacing w:after="160" w:before="60" w:line="276"/>
        <w:jc w:val="both"/>
      </w:pPr>
      <w:r>
        <w:t xml:space="preserve">Covers the v1.1 Skills, Competency &amp; Certification module (SKILL, STAFF_SKILL, CERTIFICATION, TRAINING_PLAN) and the remaining master-data lookup tables (REQUEST_TYPE is shown in ERD 1 since CSI_WO depends on it directly; MULTIPLIER_FACTOR, BASELINE_TIER, ROLE_SPLIT and SYSTEM_SETTING appear here). STAFF, ROLE and DEPARTMENT are repeated as anchor nodes, shown at reduced detail with a pointer back to ERD 1 for their full attribute list.</w:t>
      </w:r>
    </w:p>
    <w:p>
      <w:pPr>
        <w:jc w:val="center"/>
      </w:pPr>
      <w:r>
        <w:drawing>
          <wp:inline distT="0" distB="0" distL="0" distR="0">
            <wp:extent cx="4572000" cy="5610225"/>
            <wp:effectExtent t="0" r="0" b="0" l="0"/>
            <wp:docPr id="1" name="ERD 2 - Capability and Configuration Model" descr="ERD 2 - Capability and Configuration Model" title="ERD 2 - Capability and Configura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610225"/>
                    </a:xfrm>
                    <a:prstGeom prst="rect">
                      <a:avLst/>
                    </a:prstGeom>
                  </pic:spPr>
                </pic:pic>
              </a:graphicData>
            </a:graphic>
          </wp:inline>
        </w:drawing>
      </w:r>
    </w:p>
    <w:p>
      <w:pPr>
        <w:spacing w:after="200" w:before="80"/>
        <w:jc w:val="center"/>
      </w:pPr>
      <w:r>
        <w:rPr>
          <w:i/>
          <w:iCs/>
          <w:color w:val="595959"/>
          <w:sz w:val="18"/>
          <w:szCs w:val="18"/>
        </w:rPr>
        <w:t xml:space="preserve">Figure 2 — ERD 2: Capability &amp; Configuration Model. Dashed edges from TRAINING_PLAN denote the nullable either/or relationship to SKILL or CERTIFICATION (Section 3.22).</w:t>
      </w:r>
    </w:p>
    <w:p>
      <w:pPr>
        <w:pStyle w:val="Heading1"/>
        <w:pageBreakBefore/>
      </w:pPr>
      <w:r>
        <w:t xml:space="preserve">3. Entity Data Dictionary</w:t>
      </w:r>
    </w:p>
    <w:p>
      <w:pPr>
        <w:spacing w:after="160" w:before="60" w:line="276"/>
        <w:jc w:val="both"/>
      </w:pPr>
      <w:r>
        <w:t xml:space="preserve">Twenty-five tables, presented in the same logical order as the ERDs: identity and organisation; external WO and Tender; the work order core; Go/No-Go scoring; KPI and OI tracking; Skills, Competency and Certification; master-data lookups; and finally AUDIT_LOG. Per §1.4, every table additionally carries CreatedAt and UpdatedAt columns not repeated below.</w:t>
      </w:r>
    </w:p>
    <w:p>
      <w:pPr>
        <w:pStyle w:val="Heading2"/>
      </w:pPr>
      <w:r>
        <w:t xml:space="preserve">DEPARTMENT</w:t>
      </w:r>
    </w:p>
    <w:p>
      <w:pPr>
        <w:spacing w:after="160" w:before="60" w:line="276"/>
        <w:jc w:val="both"/>
      </w:pPr>
      <w:r>
        <w:t xml:space="preserve">Reference table for the six departments the platform is aware of today (PRD §11). Source of DeptCode values shown throughout the platform's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DeptCode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VARCHAR(10)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 CMT, CPO, CGI, CSA or CBA</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DeptName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VARCHAR(100)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Full department name</w:t>
            </w:r>
          </w:p>
        </w:tc>
      </w:tr>
    </w:tbl>
    <w:p>
      <w:pPr>
        <w:spacing w:after="100"/>
      </w:pPr>
    </w:p>
    <w:p>
      <w:pPr>
        <w:pStyle w:val="Heading2"/>
      </w:pPr>
      <w:r>
        <w:t xml:space="preserve">ROLE</w:t>
      </w:r>
    </w:p>
    <w:p>
      <w:pPr>
        <w:spacing w:after="160" w:before="60" w:line="276"/>
        <w:jc w:val="both"/>
      </w:pPr>
      <w:r>
        <w:t xml:space="preserve">The six system roles defined in PRD §6, plus capacity scope used to drive row-level visibility throughout the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RoleCode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HOD, SM, TL, TM, BIM_TL, BIM_MOD</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RoleName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VARCHAR(50)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Display name shown in the UI</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CapacityScope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'Self'</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Department / Stream / Pod / Self (PRD §6)</w:t>
            </w:r>
          </w:p>
        </w:tc>
      </w:tr>
    </w:tbl>
    <w:p>
      <w:pPr>
        <w:spacing w:after="100"/>
      </w:pPr>
    </w:p>
    <w:p>
      <w:pPr>
        <w:pStyle w:val="Heading2"/>
      </w:pPr>
      <w:r>
        <w:t xml:space="preserve">STAFF</w:t>
      </w:r>
    </w:p>
    <w:p>
      <w:pPr>
        <w:spacing w:after="160" w:before="60" w:line="276"/>
        <w:jc w:val="both"/>
      </w:pPr>
      <w:r>
        <w:t xml:space="preserve">Every CSI and CMT staff member known to the platform. Referenced by foreign key from the majority of other tables — see §1.4 on why rows here are never hard-deleted.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StaffCode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Human-readable employee code</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Name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VARCHAR(150)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Full name</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Email</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VARCHAR(150)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Maps to the Entra ID / Google Workspace identity used at sign-in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RoleId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ROLE.Id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Current system role</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DeptId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DEPARTMENT.Id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 or CMT today</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SubTeam</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Pod grouping (A/B/C/D)</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ProductivityFactor</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NUMERIC(3,2)</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0.80</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Used in DailyUsableHours (§13.1 of the PRD)</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DailyUsableHours</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NUMERIC(4,2)</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computed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WorkingHoursPerDay × ProductivityFactor</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Status</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'Active'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Active / Inactive / OnLeave — never hard-deleted</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SystemConfigFlag</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BOOLEAN</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false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Grants Admin &amp; Master Data access (FR-48)</w:t>
            </w:r>
          </w:p>
        </w:tc>
      </w:tr>
    </w:tbl>
    <w:p>
      <w:pPr>
        <w:spacing w:after="100"/>
      </w:pPr>
    </w:p>
    <w:p>
      <w:pPr>
        <w:pStyle w:val="Heading2"/>
      </w:pPr>
      <w:r>
        <w:t xml:space="preserve">EXTERNAL_WO</w:t>
      </w:r>
    </w:p>
    <w:p>
      <w:pPr>
        <w:spacing w:after="160" w:before="60" w:line="276"/>
        <w:jc w:val="both"/>
      </w:pPr>
      <w:r>
        <w:t xml:space="preserve">The corporate system's reference record for external intake. System of record for everything upstream of CSI's own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ExtWO_No</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VARCHAR(30)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Corporate reference, e.g. 200-DDMMYYYY-NNN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ProjectCode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VARCHAR(30)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Corporate project code, where issued</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SourceDeptId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DEPARTMENT.Id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Originating department</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EndUser</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VARCHAR(150)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Named end client/user, where applicable</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ReceivedDate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DATE</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Date the external WO was received</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Status</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'Open'</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Mirror of the external system's status</w:t>
            </w:r>
          </w:p>
        </w:tc>
      </w:tr>
    </w:tbl>
    <w:p>
      <w:pPr>
        <w:spacing w:after="100"/>
      </w:pPr>
    </w:p>
    <w:p>
      <w:pPr>
        <w:pStyle w:val="Heading2"/>
      </w:pPr>
      <w:r>
        <w:t xml:space="preserve">TENDER</w:t>
      </w:r>
    </w:p>
    <w:p>
      <w:pPr>
        <w:spacing w:after="160" w:before="60" w:line="276"/>
        <w:jc w:val="both"/>
      </w:pPr>
      <w:r>
        <w:t xml:space="preserve">The v1.1 top-level business object (PRD §4.3). Sits above CSI_WO in the Tender → WO → Task → Effort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TenderNo</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VARCHAR(30)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system-generated</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Auto-generated, never entered manually (FR-57)</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TenderName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VARCHAR(200)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Client</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VARCHAR(150)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TenderCategory</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VARCHAR(50)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ClosingDate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DATE</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Must be a future date at creation (app rule)</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EstimatedValue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NUMERIC(15,2)</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Must be greater than zero</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SubmittedValue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NUMERIC(15,2)</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WinValue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NUMERIC(15,2)</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Editable only once Status = Won</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Status</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'Prospect'</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Prospect/Qualified/InProgress/Submitted/Clarification/Won/Lost/Cancelled (FR-58)</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TenderOwnerId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bl>
    <w:p>
      <w:pPr>
        <w:spacing w:after="100"/>
      </w:pPr>
    </w:p>
    <w:p>
      <w:pPr>
        <w:pStyle w:val="Heading2"/>
      </w:pPr>
      <w:r>
        <w:t xml:space="preserve">REQUEST_TYPE</w:t>
      </w:r>
    </w:p>
    <w:p>
      <w:pPr>
        <w:spacing w:after="160" w:before="60" w:line="276"/>
        <w:jc w:val="both"/>
      </w:pPr>
      <w:r>
        <w:t xml:space="preserve">The 12-type request taxonomy from PRD §4.1, with the SLA targets each type carries.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TypeCode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1 through 12</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TypeName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VARCHAR(80)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e.g. Leads/Opportunity, Tender/RFP, Documentation</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Domain</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VARCHAR(50)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Solution Design / Consultancy / BIM / Project Monitoring</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SlaAckDays</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1</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Acknowledgement SLA (FR-32)</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SlaClassifyDays</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2</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Classification SLA</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SlaRouteDays</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3</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Routing/assignment SLA</w:t>
            </w:r>
          </w:p>
        </w:tc>
      </w:tr>
    </w:tbl>
    <w:p>
      <w:pPr>
        <w:spacing w:after="100"/>
      </w:pPr>
    </w:p>
    <w:p>
      <w:pPr>
        <w:pStyle w:val="Heading2"/>
      </w:pPr>
      <w:r>
        <w:t xml:space="preserve">COMPLEXITY_TIER</w:t>
      </w:r>
    </w:p>
    <w:p>
      <w:pPr>
        <w:spacing w:after="160" w:before="60" w:line="276"/>
        <w:jc w:val="both"/>
      </w:pPr>
      <w:r>
        <w:t xml:space="preserve">The three complexity tiers and the approver role each routes to (FR-33).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TierCode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1, 2 or 3</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TierName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VARCHAR(30)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ApproverRoleId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ROLE.Id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Team Lead (1) / Solution Manager (2) / HOD (3)</w:t>
            </w:r>
          </w:p>
        </w:tc>
      </w:tr>
    </w:tbl>
    <w:p>
      <w:pPr>
        <w:spacing w:after="100"/>
      </w:pPr>
    </w:p>
    <w:p>
      <w:pPr>
        <w:pStyle w:val="Heading2"/>
      </w:pPr>
      <w:r>
        <w:t xml:space="preserve">CSI_WO</w:t>
      </w:r>
    </w:p>
    <w:p>
      <w:pPr>
        <w:spacing w:after="160" w:before="60" w:line="276"/>
        <w:jc w:val="both"/>
      </w:pPr>
      <w:r>
        <w:t xml:space="preserve">The internal work order — the platform's central operational record (PRD §7.2). The busiest table in the schema by both read and write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CSI_WO_No</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VARCHAR(40)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system-generated</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300-DDMMYYYY-NNN (CSI) format</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ExtWO_Id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EXTERNAL_WO.Id, UQ</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Unique to enforce the 1:1 relationship (FR-05)</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TenderId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TENDER.Id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v1.1 addition — see PRD §4.3</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RequestTypeId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REQUEST_TYPE.Id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Title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VARCHAR(200)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Priority</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VARCHAR(10)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'Normal'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Low/Normal/High/Urgent</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IndicativeValue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NUMERIC(15,2)</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ComplexityValue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NUMERIC(10,2)</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TaskScore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NUMERIC(6,2)</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computed</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System-derived, not directly editable (FR-04)</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TierId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COMPLEXITY_TIER.Id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CreatedBy</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AssignedTo</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Denormalised current assignee; full history in ASSIGNMENT</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DueDate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DATE</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Status</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'Open'</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Open/InProgress/PendingApproval/Closed/OnHold</w:t>
            </w:r>
          </w:p>
        </w:tc>
      </w:tr>
    </w:tbl>
    <w:p>
      <w:pPr>
        <w:spacing w:after="100"/>
      </w:pPr>
    </w:p>
    <w:p>
      <w:pPr>
        <w:pStyle w:val="Heading2"/>
      </w:pPr>
      <w:r>
        <w:t xml:space="preserve">ASSIGNMENT</w:t>
      </w:r>
    </w:p>
    <w:p>
      <w:pPr>
        <w:spacing w:after="160" w:before="60" w:line="276"/>
        <w:jc w:val="both"/>
      </w:pPr>
      <w:r>
        <w:t xml:space="preserve">Full assignment chain per WO, including Team Lead to Team Member cascades (FR-10–12).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CSI_WO_Id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CSI_WO.Id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The assignee</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AssignedHours</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NUMERIC(6,2)</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Must be greater than zero</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AssignedDate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DATE</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AssignedBy</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IsCurrent</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BOOLEAN</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true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Distinguishes the active row from historical reassignment rows</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ReassignReason</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TEXT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Mandatory at the application layer when reassigning an existing WO</w:t>
            </w:r>
          </w:p>
        </w:tc>
      </w:tr>
    </w:tbl>
    <w:p>
      <w:pPr>
        <w:spacing w:after="100"/>
      </w:pPr>
    </w:p>
    <w:p>
      <w:pPr>
        <w:pStyle w:val="Heading2"/>
      </w:pPr>
      <w:r>
        <w:t xml:space="preserve">EFFORT_LOG</w:t>
      </w:r>
    </w:p>
    <w:p>
      <w:pPr>
        <w:spacing w:after="160" w:before="60" w:line="276"/>
        <w:jc w:val="both"/>
      </w:pPr>
      <w:r>
        <w:t xml:space="preserve">Daily effort entries, replacing the manual Daily_Log spreadsheet (FR-29).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CSI_WO_Id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CSI_WO.Id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LogDate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DATE</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Hours</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NUMERIC(4,2)</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Greater than zero, at most 8 per single entry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Notes</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TEXT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bl>
    <w:p>
      <w:pPr>
        <w:spacing w:after="100"/>
      </w:pPr>
    </w:p>
    <w:p>
      <w:pPr>
        <w:pStyle w:val="Heading2"/>
      </w:pPr>
      <w:r>
        <w:t xml:space="preserve">EVIDENCE_DELIVERABLE</w:t>
      </w:r>
    </w:p>
    <w:p>
      <w:pPr>
        <w:spacing w:after="160" w:before="60" w:line="276"/>
        <w:jc w:val="both"/>
      </w:pPr>
      <w:r>
        <w:t xml:space="preserve">Evidence and deliverable repository tied to the WO closure checklist (FR-30).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CSI_WO_Id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CSI_WO.Id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FileRef</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VARCHAR(500)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Storage path or URL</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EvidenceType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VARCHAR(50)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Mandatory tag — untagged files are rejected</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UploadedBy</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UploadedDate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TIMESTAMP</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RemovedAt</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TIMESTAMP</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Soft delete only — rows are never hard-deleted</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RemovedBy</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bl>
    <w:p>
      <w:pPr>
        <w:spacing w:after="100"/>
      </w:pPr>
    </w:p>
    <w:p>
      <w:pPr>
        <w:pStyle w:val="Heading2"/>
      </w:pPr>
      <w:r>
        <w:t xml:space="preserve">APPROVAL_RECORD</w:t>
      </w:r>
    </w:p>
    <w:p>
      <w:pPr>
        <w:spacing w:after="160" w:before="60" w:line="276"/>
        <w:jc w:val="both"/>
      </w:pPr>
      <w:r>
        <w:t xml:space="preserve">Approval trail by complexity tier, including rework returns (FR-33).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CSI_WO_Id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CSI_WO.Id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TierId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COMPLEXITY_TIER.Id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Tier this decision was routed under</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ApprovedBy</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Decision</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Approved / Returned</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Reason</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TEXT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Mandatory at the application layer when Decision = Returned</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DecisionDate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TIMESTAMP</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bl>
    <w:p>
      <w:pPr>
        <w:spacing w:after="100"/>
      </w:pPr>
    </w:p>
    <w:p>
      <w:pPr>
        <w:pStyle w:val="Heading2"/>
      </w:pPr>
      <w:r>
        <w:t xml:space="preserve">BASELINE_TIER</w:t>
      </w:r>
    </w:p>
    <w:p>
      <w:pPr>
        <w:spacing w:after="160" w:before="60" w:line="276"/>
        <w:jc w:val="both"/>
      </w:pPr>
      <w:r>
        <w:t xml:space="preserve">Baseline hour allocation per tender size tier (PRD §13.3).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TierSize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VARCHAR(10)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Small / Medium / Large / Mega</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BaselineCSIHours</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NUMERIC(8,2)</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65 / 100 / 200 / 320 by default</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BaselineCMTHours</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NUMERIC(8,2)</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bl>
    <w:p>
      <w:pPr>
        <w:spacing w:after="100"/>
      </w:pPr>
    </w:p>
    <w:p>
      <w:pPr>
        <w:pStyle w:val="Heading2"/>
      </w:pPr>
      <w:r>
        <w:t xml:space="preserve">MULTIPLIER_FACTOR</w:t>
      </w:r>
    </w:p>
    <w:p>
      <w:pPr>
        <w:spacing w:after="160" w:before="60" w:line="276"/>
        <w:jc w:val="both"/>
      </w:pPr>
      <w:r>
        <w:t xml:space="preserve">Configurable multiplier values for the six complexity flags (FR-38). Joined to TENDER_SCORING by FactorCode at calculation time, not by foreign key, since several flags can apply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FactorCode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VARCHAR(30)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Rush / Consortium / SecurityHeavy / CustomDev / ManyQA / Onsite</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MultiplierValue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NUMERIC(4,2)</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e.g. 1.15 for a 15% uplift</w:t>
            </w:r>
          </w:p>
        </w:tc>
      </w:tr>
    </w:tbl>
    <w:p>
      <w:pPr>
        <w:spacing w:after="100"/>
      </w:pPr>
    </w:p>
    <w:p>
      <w:pPr>
        <w:pStyle w:val="Heading2"/>
      </w:pPr>
      <w:r>
        <w:t xml:space="preserve">TENDER_SCORING</w:t>
      </w:r>
    </w:p>
    <w:p>
      <w:pPr>
        <w:spacing w:after="160" w:before="60" w:line="276"/>
        <w:jc w:val="both"/>
      </w:pPr>
      <w:r>
        <w:t xml:space="preserve">New-commitment scoring inputs and resulting size tier (PRD §13.3, FR-37).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ReferenceNo</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VARCHAR(30)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system-generated</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TENDER.Id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Populated once the evaluation is linked to a Tender</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FunctionalBreadth</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0–5</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IntegrationCount</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0–5</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ComplianceDepth</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0–5</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SolutionNovelty</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0–5</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CommercialComplexity</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0–5</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StakeholderIntensity</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0–5</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IsRush / IsConsortium / IsSecurityHeavy / IsCustomDev / IsManyQA / IsOnsite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BOOLEAN (×6)</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false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The six complexity-multiplier flags (FR-38)</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WeightedScore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NUMERIC(5,2)</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computed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BaselineTierId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BASELINE_TIER.Id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Derived from WeightedScore</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ScoredBy</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ScoredAt</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TIMESTAMP</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bl>
    <w:p>
      <w:pPr>
        <w:spacing w:after="100"/>
      </w:pPr>
    </w:p>
    <w:p>
      <w:pPr>
        <w:pStyle w:val="Heading2"/>
      </w:pPr>
      <w:r>
        <w:t xml:space="preserve">GONOGO_EVALUATION</w:t>
      </w:r>
    </w:p>
    <w:p>
      <w:pPr>
        <w:spacing w:after="160" w:before="60" w:line="276"/>
        <w:jc w:val="both"/>
      </w:pPr>
      <w:r>
        <w:t xml:space="preserve">Capacity projection and decision log for new commitments (PRD §13.4, FR-39–40).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ScoringId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TENDER_SCORING.Id, 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1:1 with TENDER_SCORING</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PlanningHorizonDays</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SMALLINT</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10</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ProjectedCSIUtilization</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NUMERIC(5,2)</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ProjectedCMTUtilization</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NUMERIC(5,2)</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Recommendation</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VARCHAR(10)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Go / NoGo</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OverrideBy</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HOD only (FR-40)</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OverrideReason</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TEXT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Mandatory if OverrideBy is set</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EvaluatedAt</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TIMESTAMP</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bl>
    <w:p>
      <w:pPr>
        <w:spacing w:after="100"/>
      </w:pPr>
    </w:p>
    <w:p>
      <w:pPr>
        <w:pStyle w:val="Heading2"/>
      </w:pPr>
      <w:r>
        <w:t xml:space="preserve">KPI_RECORD</w:t>
      </w:r>
    </w:p>
    <w:p>
      <w:pPr>
        <w:spacing w:after="160" w:before="60" w:line="276"/>
        <w:jc w:val="both"/>
      </w:pPr>
      <w:r>
        <w:t xml:space="preserve">Live KPI scorecard data, replacing the static KPI cascade document (PRD §14). UNIQUE(StaffId, Period, MetricName).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RoleId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ROLE.Id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Role the metric is scored against</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Period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VARCHAR(10)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e.g. 2026-Q2</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MetricName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VARCHAR(100)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TargetValue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NUMERIC(10,2)</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AchievedValue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NUMERIC(10,2)</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CalculatedAt</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TIMESTAMP</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bl>
    <w:p>
      <w:pPr>
        <w:spacing w:after="100"/>
      </w:pPr>
    </w:p>
    <w:p>
      <w:pPr>
        <w:pStyle w:val="Heading2"/>
      </w:pPr>
      <w:r>
        <w:t xml:space="preserve">OI_TRACKER</w:t>
      </w:r>
    </w:p>
    <w:p>
      <w:pPr>
        <w:spacing w:after="160" w:before="60" w:line="276"/>
        <w:jc w:val="both"/>
      </w:pPr>
      <w:r>
        <w:t xml:space="preserve">Opportunity of Interest counts against role-specific annual targets (PRD §14). UNIQUE(StaffId,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Period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VARCHAR(10)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e.g. 2026</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Registered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INTEGER</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0</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Won</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INTEGER</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0</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bl>
    <w:p>
      <w:pPr>
        <w:spacing w:after="100"/>
      </w:pPr>
    </w:p>
    <w:p>
      <w:pPr>
        <w:pStyle w:val="Heading2"/>
      </w:pPr>
      <w:r>
        <w:t xml:space="preserve">SKILL</w:t>
      </w:r>
    </w:p>
    <w:p>
      <w:pPr>
        <w:spacing w:after="160" w:before="60" w:line="276"/>
        <w:jc w:val="both"/>
      </w:pPr>
      <w:r>
        <w:t xml:space="preserve">Skills inventory tagged to one of the eight configured technology domains (PRD §7.15, FR-50). UNIQUE(SkillName, TechnologyDomain).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SkillName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VARCHAR(100)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TechnologyDomain</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VARCHAR(50)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Cloud / Cyber Security / Data Centre / Network / Enterprise Architecture / AI-HPC / BIM / Consultancy</w:t>
            </w:r>
          </w:p>
        </w:tc>
      </w:tr>
    </w:tbl>
    <w:p>
      <w:pPr>
        <w:spacing w:after="100"/>
      </w:pPr>
    </w:p>
    <w:p>
      <w:pPr>
        <w:pStyle w:val="Heading2"/>
      </w:pPr>
      <w:r>
        <w:t xml:space="preserve">STAFF_SKILL</w:t>
      </w:r>
    </w:p>
    <w:p>
      <w:pPr>
        <w:spacing w:after="160" w:before="60" w:line="276"/>
        <w:jc w:val="both"/>
      </w:pPr>
      <w:r>
        <w:t xml:space="preserve">Many-to-many link recording each staff member's assessed competency level per skill (FR-51). Composite primary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PK1, FK → 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SkillId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PK2, FK → SKILL.Id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CompetencyLevel</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Beginner / Intermediate / Advanced / Expert — no free text permitted</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LastAssessmentDate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DATE</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AssessedBy</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Auto-populated with the logged-in assessor</w:t>
            </w:r>
          </w:p>
        </w:tc>
      </w:tr>
    </w:tbl>
    <w:p>
      <w:pPr>
        <w:spacing w:after="100"/>
      </w:pPr>
    </w:p>
    <w:p>
      <w:pPr>
        <w:pStyle w:val="Heading2"/>
      </w:pPr>
      <w:r>
        <w:t xml:space="preserve">CERTIFICATION</w:t>
      </w:r>
    </w:p>
    <w:p>
      <w:pPr>
        <w:spacing w:after="160" w:before="60" w:line="276"/>
        <w:jc w:val="both"/>
      </w:pPr>
      <w:r>
        <w:t xml:space="preserve">Per-staff certification register (PRD §7.15, FR-52–53).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CertificationName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VARCHAR(150)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Vendor</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VARCHAR(100)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CertificationLevel</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VARCHAR(50)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IssueDate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DATE</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ExpiryDate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DATE</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Must be after IssueDate</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Status</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'Unverified'</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Unverified / Verified / Expired</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EvidenceFile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VARCHAR(500)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Required before Status can become Verified</w:t>
            </w:r>
          </w:p>
        </w:tc>
      </w:tr>
    </w:tbl>
    <w:p>
      <w:pPr>
        <w:spacing w:after="100"/>
      </w:pPr>
    </w:p>
    <w:p>
      <w:pPr>
        <w:pStyle w:val="Heading2"/>
      </w:pPr>
      <w:r>
        <w:t xml:space="preserve">TRAINING_PLAN</w:t>
      </w:r>
    </w:p>
    <w:p>
      <w:pPr>
        <w:spacing w:after="160" w:before="60" w:line="276"/>
        <w:jc w:val="both"/>
      </w:pPr>
      <w:r>
        <w:t xml:space="preserve">Training roadmap linking a planned activity to an identified skill or certification gap (FR-54).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SkillId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SKILL.Id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Exactly one of SkillId / CertificationId is set</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CertificationId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CERTIFICATION.Id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PlannedActivity</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VARCHAR(200)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TargetDate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DATE</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Status</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'Planned'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Planned / InProgress / Completed / Cancelled</w:t>
            </w:r>
          </w:p>
        </w:tc>
      </w:tr>
    </w:tbl>
    <w:p>
      <w:pPr>
        <w:spacing w:after="100"/>
      </w:pPr>
    </w:p>
    <w:p>
      <w:pPr>
        <w:pStyle w:val="Heading2"/>
      </w:pPr>
      <w:r>
        <w:t xml:space="preserve">ROLE_SPLIT</w:t>
      </w:r>
    </w:p>
    <w:p>
      <w:pPr>
        <w:spacing w:after="160" w:before="60" w:line="276"/>
        <w:jc w:val="both"/>
      </w:pPr>
      <w:r>
        <w:t xml:space="preserve">Percentage of adjusted department hours allocated per role (PRD §13.3, FR-49). UNIQUE(DeptId, RoleId); percentages must sum to 100% per DeptId, validated at the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DeptId</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FK → DEPARTMENT.Id, 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RoleId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ROLE.Id, UQ*</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Percentage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NUMERIC(5,2)</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bl>
    <w:p>
      <w:pPr>
        <w:spacing w:after="100"/>
      </w:pPr>
    </w:p>
    <w:p>
      <w:pPr>
        <w:pStyle w:val="Heading2"/>
      </w:pPr>
      <w:r>
        <w:t xml:space="preserve">SYSTEM_SETTING</w:t>
      </w:r>
    </w:p>
    <w:p>
      <w:pPr>
        <w:spacing w:after="160" w:before="60" w:line="276"/>
        <w:jc w:val="both"/>
      </w:pPr>
      <w:r>
        <w:t xml:space="preserve">Generic key-value configuration for everything else the HOD can tune without a code change — utilization thresholds, the certification expiry window, the Go/No-Go default planning horizon, and similar.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gen_random_uuid()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Surrogate primary key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SettingKey</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VARCHAR(60)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e.g. CSI_UTILIZATION_THRESHOLD, CERT_EXPIRY_WINDOW_DAYS</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SettingValue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VARCHAR(200)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Description</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VARCHAR(300)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bl>
    <w:p>
      <w:pPr>
        <w:spacing w:after="100"/>
      </w:pPr>
    </w:p>
    <w:p>
      <w:pPr>
        <w:pStyle w:val="Heading2"/>
      </w:pPr>
      <w:r>
        <w:t xml:space="preserve">AUDIT_LOG</w:t>
      </w:r>
    </w:p>
    <w:p>
      <w:pPr>
        <w:spacing w:after="160" w:before="60" w:line="276"/>
        <w:jc w:val="both"/>
      </w:pPr>
      <w:r>
        <w:t xml:space="preserve">The platform-wide, immutable compliance ledger. Full design rationale, trigger events, retention and access control are covered in Section 6 — this entry lists only the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BIGINT</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auto-increment (BIGSERIAL)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Sequential, append-only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EntityName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VARCHAR(50)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Affected table, e.g. CSI_WO, TENDER</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EntityId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 of the affected row — intentionally not FK-enforced (polymorphic across 24 tables)</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Action</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Insert / Update / StatusChange / Approve / Return / Override / Export / Delete</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FieldName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VARCHAR(100)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Populated for field-level change entries</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OldValue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TEXT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NewValue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TEXT</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Reason</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TEXT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Captures mandatory reasons — override justification, return reason, reassignment reason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PerformedBy</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PerformedAt</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TIMESTAMP</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ChecksumHash</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VARCHAR(64)</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computed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SHA-256 of PreviousHash + row content — see §6.3</w:t>
            </w:r>
          </w:p>
        </w:tc>
      </w:tr>
    </w:tbl>
    <w:p>
      <w:pPr>
        <w:spacing w:after="100"/>
      </w:pPr>
    </w:p>
    <w:p>
      <w:pPr>
        <w:pStyle w:val="Heading1"/>
        <w:pageBreakBefore/>
      </w:pPr>
      <w:r>
        <w:t xml:space="preserve">4. Relationships</w:t>
      </w:r>
    </w:p>
    <w:p>
      <w:pPr>
        <w:spacing w:after="160" w:before="60" w:line="276"/>
        <w:jc w:val="both"/>
      </w:pPr>
      <w:r>
        <w:t xml:space="preserve">Every foreign-key relationship in the schema, with its cardinality and ON DELETE behaviour. CASCADE is used only for child records that are meaningless without their parent (effort logs, evidence, approvals on a WO; KPI/OI/skills/certifications on a staff member); RESTRICT protects reference data and any record that should force an explicit unlink before deletion; SET NULL is used for the two genuinely optional v1.1 links (Tender on a WO, the staff-assignee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500"/>
        <w:gridCol w:w="1700"/>
        <w:gridCol w:w="1100"/>
        <w:gridCol w:w="1860"/>
      </w:tblGrid>
      <w:tr>
        <w:trPr>
          <w:cantSplit/>
          <w:tblHeader/>
        </w:trPr>
        <w:tc>
          <w:tcPr>
            <w:tcW w:type="dxa" w:w="5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w:t>
            </w:r>
          </w:p>
        </w:tc>
        <w:tc>
          <w:tcPr>
            <w:tcW w:type="dxa" w:w="2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From → To</w:t>
            </w:r>
          </w:p>
        </w:tc>
        <w:tc>
          <w:tcPr>
            <w:tcW w:type="dxa" w:w="15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Cardinality</w:t>
            </w:r>
          </w:p>
        </w:tc>
        <w:tc>
          <w:tcPr>
            <w:tcW w:type="dxa" w:w="1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FK Column</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On Delete</w:t>
            </w:r>
          </w:p>
        </w:tc>
        <w:tc>
          <w:tcPr>
            <w:tcW w:type="dxa" w:w="18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Notes</w:t>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1</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 → ROLE</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RoleId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2</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 → DEPARTMENT</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DeptId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3</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EXTERNAL_WO → DEPARTMENT</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SourceDeptId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4</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TENDER → STAFF</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TenderOwnerId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5</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CSI_WO → EXTERNAL_WO</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1:1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ExtWO_Id (UQ)</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Enforced by the UNIQUE constraint (FR-05)</w:t>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6</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 → TENDER</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 nullable</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TenderId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SET NULL</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v1.1 addition, PRD §4.3</w:t>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7</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CSI_WO → REQUEST_TYPE</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RequestTypeId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8</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 → COMPLEXITY_TIER</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TierId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9</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CSI_WO → STAFF (creator)</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CreatedBy</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10</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 → STAFF (assignee)</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 nullable</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AssignedTo</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SET NULL</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Denormalised pointer; ASSIGNMENT holds full history</w:t>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11</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ASSIGNMENT → CSI_WO</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CSI_WO_Id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CASCADE</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12</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ASSIGNMENT → STAFF</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13</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EFFORT_LOG → CSI_WO</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CSI_WO_Id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CASCADE</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14</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EFFORT_LOG → STAFF</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15</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EVIDENCE_DELIVERABLE → CSI_WO</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CSI_WO_Id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CASCADE</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16</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APPROVAL_RECORD → CSI_WO</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CSI_WO_Id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CASCADE</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17</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APPROVAL_RECORD → COMPLEXITY_TIER</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TierId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18</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TENDER_SCORING → TENDER</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 nullable</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TenderId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SET NULL</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Populated once linked</w:t>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19</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TENDER_SCORING → BASELINE_TIER</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 nullable</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BaselineTierId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20</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GONOGO_EVALUATION → TENDER_SCORING</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1:1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ScoringId (UQ)</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CASCADE</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21</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KPI_RECORD → STAFF</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CASCADE</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22</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KPI_RECORD → ROLE</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RoleId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23</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OI_TRACKER → STAFF</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CASCADE</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24</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STAFF_SKILL → STAFF</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CASCADE</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25</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STAFF_SKILL → SKILL</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SkillId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CASCADE</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26</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CERTIFICATION → STAFF</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CASCADE</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27</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TRAINING_PLAN → STAFF</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CASCADE</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28</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TRAINING_PLAN → SKILL</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 nullable</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SkillId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SET NULL</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29</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TRAINING_PLAN → CERTIFICATION</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 nullable</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CertificationId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SET NULL</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30</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ROLE_SPLIT → DEPARTMENT</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DeptId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31</w:t>
            </w:r>
          </w:p>
        </w:tc>
        <w:tc>
          <w:tcPr>
            <w:tcW w:type="dxa" w:w="2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ROLE_SPLIT → ROLE</w:t>
            </w:r>
          </w:p>
        </w:tc>
        <w:tc>
          <w:tcPr>
            <w:tcW w:type="dxa" w:w="15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RoleId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32</w:t>
            </w:r>
          </w:p>
        </w:tc>
        <w:tc>
          <w:tcPr>
            <w:tcW w:type="dxa" w:w="2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AUDIT_LOG → STAFF</w:t>
            </w:r>
          </w:p>
        </w:tc>
        <w:tc>
          <w:tcPr>
            <w:tcW w:type="dxa" w:w="15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M:1</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PerformedBy</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RESTRICT</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The only true FK on AUDIT_LOG — see Section 6</w:t>
            </w:r>
          </w:p>
        </w:tc>
      </w:tr>
    </w:tbl>
    <w:p>
      <w:pPr>
        <w:pStyle w:val="Heading1"/>
        <w:pageBreakBefore/>
      </w:pPr>
      <w:r>
        <w:t xml:space="preserve">5. Indexes</w:t>
      </w:r>
    </w:p>
    <w:p>
      <w:pPr>
        <w:spacing w:after="160" w:before="60" w:line="276"/>
        <w:jc w:val="both"/>
      </w:pPr>
      <w:r>
        <w:t xml:space="preserve">Every index beyond the automatic primary-key index, each justified by a specific query pattern from the approved Wireframe Specification's filters, sorts and dashboards — so the Developer can see why each index exists rather than treating the list as boilerplate.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300"/>
        <w:gridCol w:w="1100"/>
        <w:gridCol w:w="1960"/>
      </w:tblGrid>
      <w:tr>
        <w:trPr>
          <w:cantSplit/>
          <w:tblHeader/>
        </w:trPr>
        <w:tc>
          <w:tcPr>
            <w:tcW w:type="dxa" w:w="2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Index</w:t>
            </w:r>
          </w:p>
        </w:tc>
        <w:tc>
          <w:tcPr>
            <w:tcW w:type="dxa" w:w="1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Table</w:t>
            </w:r>
          </w:p>
        </w:tc>
        <w:tc>
          <w:tcPr>
            <w:tcW w:type="dxa" w:w="2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Column(s)</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Type</w:t>
            </w:r>
          </w:p>
        </w:tc>
        <w:tc>
          <w:tcPr>
            <w:tcW w:type="dxa" w:w="19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Supports</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UQ_DEPARTMENT_DEPTCODE</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DEPARTMENT</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DeptCode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Lookup by code</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UQ_ROLE_ROLECODE</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ROLE</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RoleCode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Lookup by code</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UQ_STAFF_STAFFCODE</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StaffCode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Lookup by code</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UQ_STAFF_EMAIL</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Email</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SSO identity match at sign-in (Screen 1)</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IDX_STAFF_ROLE_DEPT</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RoleId, DeptId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Composite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Department Dashboard role/department filters</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UQ_EXTERNALWO_NO</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EXTERNAL_WO</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ExtWO_No</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Create Internal WO lookup (FR-01)</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UQ_TENDER_NO</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TenderNo</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 Registry lookup</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IDX_TENDER_STATUS_CLOSING</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TENDER</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Status, ClosingDate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Composite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Tender Registry filter bar; Executive Dashboard upcoming closings</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IDX_TENDER_OWNER</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TenderOwnerId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KPI Dashboard OI drill-down</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UQ_CSIWO_NO</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CSI_WO_No</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WO Detail lookup</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UQ_CSIWO_EXTWOID</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CSI_WO</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ExtWO_Id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Enforces the 1:1 relationship with EXTERNAL_WO</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IDX_CSIWO_STATUS</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Status</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Internal WO List status filter; Department Dashboard board</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IDX_CSIWO_ASSIGNEDTO</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CSI_WO</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AssignedTo</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My Tasks</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IDX_CSIWO_DUEDATE</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DueDate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SLA countdown sort across multiple screens</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IDX_CSIWO_TENDERID</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CSI_WO</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 Detail's linked-WO rollup (FR-60)</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IDX_CSIWO_REQTYPE</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RequestTypeId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Scope-domain filters (Internal WO List)</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IDX_ASSIGNMENT_STAFF_CURRENT</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ASSIGNMENT</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StaffId, IsCurrent</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Composite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Capacity Dashboard utilization calculation</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IDX_ASSIGNMENT_WO</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ASSIGNMENT</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CSI_WO_Id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WO Detail assignment history tab</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IDX_EFFORTLOG_STAFF_DATE</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EFFORT_LOG</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StaffId, LogDate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Composite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Daily Effort Log "today's entries" and running total</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IDX_EFFORTLOG_WO</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EFFORT_LOG</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CSI_WO_Id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WO Detail effort log tab</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IDX_EVIDENCE_WO</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EVIDENCE_DELIVERABLE</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CSI_WO_Id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WO Detail evidence tab; closure-eligibility check</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IDX_APPROVAL_WO</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APPROVAL_RECORD</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CSI_WO_Id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WO Detail approval trail tab</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IDX_SCORING_TENDER</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TENDER_SCORING</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Tender Detail Go/No-Go history</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UQ_GONOGO_SCORINGID</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GONOGO_EVALUATION</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ScoringId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Enforces the 1:1 with TENDER_SCORING</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IDX_KPI_STAFF_PERIOD</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KPI_RECORD</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StaffId, Period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Composite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KPI Dashboard personal scorecard and period selector</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UQ_OITRACKER_STAFF_PERIOD</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OI_TRACKER</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StaffId, Period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OI &amp; Commission Tracker</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UQ_SKILL_NAME_DOMAIN</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SKILL</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SkillName, TechnologyDomain</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Prevents duplicate skill entries</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IDX_STAFFSKILL_SKILL</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STAFF_SKILL</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SkillId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Skills &amp; Competency "By Domain" heatmap</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IDX_CERTIFICATION_EXPIRY</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CERTIFICATION</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ExpiryDate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Expiry alert job (FR-53); Certification Tracker KPI strip</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IDX_CERTIFICATION_STAFF</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CERTIFICATION</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StaffId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Certification Tracker staff filter</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UQ_ROLESPLIT_DEPT_ROLE</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ROLE_SPLIT</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DeptId, RoleId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Admin &amp; Master Data 100%-sum validation (FR-49)</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UQ_SYSSETTING_KEY</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SYSTEM_SETTING</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SettingKey</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Admin &amp; Master Data configuration lookup</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IDX_AUDITLOG_ENTITY</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AUDIT_LOG</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EntityName, EntityId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Composite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Pulling the full history for one record (e.g. a WO's complete trail)</w:t>
            </w:r>
          </w:p>
        </w:tc>
      </w:tr>
      <w:tr>
        <w:trPr>
          <w:cantSplit/>
        </w:trPr>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IDX_AUDITLOG_PERFORMEDAT</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AUDIT_LOG</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PerformedAt</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Date-range compliance export; monthly partition key (§7)</w:t>
            </w:r>
          </w:p>
        </w:tc>
      </w:tr>
      <w:tr>
        <w:trPr>
          <w:cantSplit/>
        </w:trPr>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IDX_AUDITLOG_PERFORMEDBY</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AUDIT_LOG</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PerformedBy</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Non-unique</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"Who changed this" queries</w:t>
            </w:r>
          </w:p>
        </w:tc>
      </w:tr>
    </w:tbl>
    <w:p>
      <w:pPr>
        <w:pStyle w:val="Heading1"/>
        <w:pageBreakBefore/>
      </w:pPr>
      <w:r>
        <w:t xml:space="preserve">6. Audit Log Design</w:t>
      </w:r>
    </w:p>
    <w:p>
      <w:pPr>
        <w:spacing w:after="160" w:before="60" w:line="276"/>
        <w:jc w:val="both"/>
      </w:pPr>
      <w:r>
        <w:t xml:space="preserve">ASSIGNMENT, APPROVAL_RECORD and the Effort/Evidence tables already give fast, domain-specific history for in-app display — an HOD opening WO Detail does not need to query AUDIT_LOG to see who approved a WO. AUDIT_LOG exists underneath all of that as the single, immutable, compliance-grade ledger: it duplicates what those domain tables capture for completeness, and additionally captures the things that have no dedicated history table at all — Admin &amp; Master Data changes, evidence removals, report exports, and Go/No-Go overrides. This is the platform's answer to the Auditability non-functional requirement (PRD §8) and the ISO 9001/PDPA/MAMPU-KRISA evidence trail referenced throughout the PRD.</w:t>
      </w:r>
    </w:p>
    <w:p>
      <w:pPr>
        <w:pStyle w:val="Heading2"/>
      </w:pPr>
      <w:r>
        <w:t xml:space="preserve">6.1 What Writes an Audit Entry</w:t>
      </w:r>
    </w:p>
    <w:p>
      <w:pPr>
        <w:pStyle w:val="ListParagraph"/>
        <w:numPr>
          <w:ilvl w:val="0"/>
          <w:numId w:val="2"/>
        </w:numPr>
        <w:spacing w:after="80"/>
      </w:pPr>
      <w:r>
        <w:t xml:space="preserve">Every INSERT, UPDATE and status change on CSI_WO, TENDER, ASSIGNMENT, APPROVAL_RECORD and GONOGO_EVALUATION</w:t>
      </w:r>
    </w:p>
    <w:p>
      <w:pPr>
        <w:pStyle w:val="ListParagraph"/>
        <w:numPr>
          <w:ilvl w:val="0"/>
          <w:numId w:val="2"/>
        </w:numPr>
        <w:spacing w:after="80"/>
      </w:pPr>
      <w:r>
        <w:t xml:space="preserve">Every evidence removal on EVIDENCE_DELIVERABLE (the soft-delete itself, via RemovedAt/RemovedBy, plus the corresponding AUDIT_LOG entry)</w:t>
      </w:r>
    </w:p>
    <w:p>
      <w:pPr>
        <w:pStyle w:val="ListParagraph"/>
        <w:numPr>
          <w:ilvl w:val="0"/>
          <w:numId w:val="2"/>
        </w:numPr>
        <w:spacing w:after="80"/>
      </w:pPr>
      <w:r>
        <w:t xml:space="preserve">Every Go/No-Go override (FR-40) — written with Action = 'Override' and the mandatory OverrideReason copied into the Reason column</w:t>
      </w:r>
    </w:p>
    <w:p>
      <w:pPr>
        <w:pStyle w:val="ListParagraph"/>
        <w:numPr>
          <w:ilvl w:val="0"/>
          <w:numId w:val="2"/>
        </w:numPr>
        <w:spacing w:after="80"/>
      </w:pPr>
      <w:r>
        <w:t xml:space="preserve">Every Admin &amp; Master Data change across the six configuration tables (FR-47–49) — including who attempted a Save that failed the 100%-sum validation, for governance completeness</w:t>
      </w:r>
    </w:p>
    <w:p>
      <w:pPr>
        <w:pStyle w:val="ListParagraph"/>
        <w:numPr>
          <w:ilvl w:val="0"/>
          <w:numId w:val="2"/>
        </w:numPr>
        <w:spacing w:after="80"/>
      </w:pPr>
      <w:r>
        <w:t xml:space="preserve">Every report export from the Reports screen (Action = 'Export'), recording who exported what report, with which parameters, and when</w:t>
      </w:r>
    </w:p>
    <w:p>
      <w:pPr>
        <w:pStyle w:val="ListParagraph"/>
        <w:numPr>
          <w:ilvl w:val="0"/>
          <w:numId w:val="2"/>
        </w:numPr>
        <w:spacing w:after="80"/>
      </w:pPr>
      <w:r>
        <w:t xml:space="preserve">Every certification verification status change and competency assessment recorded in Skills &amp; Competency or Certification Tracker</w:t>
      </w:r>
    </w:p>
    <w:p>
      <w:pPr>
        <w:pStyle w:val="Heading2"/>
      </w:pPr>
      <w:r>
        <w:t xml:space="preserve">6.2 Table Schema</w:t>
      </w:r>
    </w:p>
    <w:p>
      <w:pPr>
        <w:spacing w:after="160" w:before="60" w:line="276"/>
        <w:jc w:val="both"/>
      </w:pPr>
      <w:r>
        <w:t xml:space="preserve">Repeated here from Section 3.25 for convenient reference alongside the design rationale in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0"/>
        <w:gridCol w:w="1550"/>
        <w:gridCol w:w="1100"/>
        <w:gridCol w:w="3560"/>
      </w:tblGrid>
      <w:tr>
        <w:trPr>
          <w:cantSplit/>
          <w:tblHeader/>
        </w:trPr>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Column</w:t>
            </w:r>
          </w:p>
        </w:tc>
        <w:tc>
          <w:tcPr>
            <w:tcW w:type="dxa" w:w="1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Data Type</w:t>
            </w:r>
          </w:p>
        </w:tc>
        <w:tc>
          <w:tcPr>
            <w:tcW w:type="dxa" w:w="6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Null</w:t>
            </w:r>
          </w:p>
        </w:tc>
        <w:tc>
          <w:tcPr>
            <w:tcW w:type="dxa" w:w="155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Key</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Default</w:t>
            </w:r>
          </w:p>
        </w:tc>
        <w:tc>
          <w:tcPr>
            <w:tcW w:type="dxa" w:w="3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6"/>
                <w:szCs w:val="16"/>
              </w:rPr>
              <w:t xml:space="preserve">Description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BIGINT</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auto-increment (BIGSERIAL)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Sequential, append-only</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EntityName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VARCHAR(50)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Affected table, e.g. CSI_WO, TENDER</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EntityId</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PK of the affected row — intentionally not FK-enforced (polymorphic across 24 tables)</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Action</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VARCHAR(20)</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Insert / Update / StatusChange / Approve / Return / Override / Export / Delete</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FieldName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VARCHAR(100)</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Populated for field-level change entries</w:t>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OldValue</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TEXT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NewValue</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TEXT</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Reason</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TEXT</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Yes</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NULL</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Captures mandatory reasons — override justification, return reason, reassignment reason</w:t>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PerformedBy</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UUID</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FK → STAFF.Id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PerformedAt</w:t>
            </w:r>
          </w:p>
        </w:tc>
        <w:tc>
          <w:tcPr>
            <w:tcW w:type="dxa" w:w="1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TIMESTAMP</w:t>
            </w:r>
          </w:p>
        </w:tc>
        <w:tc>
          <w:tcPr>
            <w:tcW w:type="dxa" w:w="6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now()</w:t>
            </w:r>
          </w:p>
        </w:tc>
        <w:tc>
          <w:tcPr>
            <w:tcW w:type="dxa" w:w="3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6"/>
                <w:szCs w:val="16"/>
              </w:rPr>
              <w:t xml:space="preserve"/>
            </w:r>
          </w:p>
        </w:tc>
      </w:tr>
      <w:tr>
        <w:trPr>
          <w:cantSplit/>
        </w:trPr>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ChecksumHash</w:t>
            </w:r>
          </w:p>
        </w:tc>
        <w:tc>
          <w:tcPr>
            <w:tcW w:type="dxa" w:w="1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VARCHAR(64)</w:t>
            </w:r>
          </w:p>
        </w:tc>
        <w:tc>
          <w:tcPr>
            <w:tcW w:type="dxa" w:w="6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No</w:t>
            </w:r>
          </w:p>
        </w:tc>
        <w:tc>
          <w:tcPr>
            <w:tcW w:type="dxa" w:w="155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computed</w:t>
            </w:r>
          </w:p>
        </w:tc>
        <w:tc>
          <w:tcPr>
            <w:tcW w:type="dxa" w:w="3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6"/>
                <w:szCs w:val="16"/>
              </w:rPr>
              <w:t xml:space="preserve">SHA-256 of PreviousHash + row content — see §6.3</w:t>
            </w:r>
          </w:p>
        </w:tc>
      </w:tr>
    </w:tbl>
    <w:p>
      <w:pPr>
        <w:pStyle w:val="Heading2"/>
      </w:pPr>
      <w:r>
        <w:t xml:space="preserve">6.3 Immutability &amp; Tamper-Evidence</w:t>
      </w:r>
    </w:p>
    <w:p>
      <w:pPr>
        <w:spacing w:after="160" w:before="60" w:line="276"/>
        <w:jc w:val="both"/>
      </w:pPr>
      <w:r>
        <w:t xml:space="preserve">AUDIT_LOG permits INSERT only — the application's database role has no UPDATE or DELETE grant on this table, enforced at the database level, not merely by application convention. Each row's ChecksumHash is a SHA-256 hash computed over the previous row's hash concatenated with the current row's content, forming a hash chain identical in principle to the technique used in tamper-evident ledgers: altering any historical row, or deleting one, breaks the chain for every row written after it, and a periodic integrity check can detect this without needing to trust the database administrator's good faith. The first row in the chain uses a fixed seed value in place of a "previous hash".</w:t>
      </w:r>
    </w:p>
    <w:p>
      <w:pPr>
        <w:pStyle w:val="Heading2"/>
      </w:pPr>
      <w:r>
        <w:t xml:space="preserve">6.4 Retention &amp; Partitioning</w:t>
      </w:r>
    </w:p>
    <w:p>
      <w:pPr>
        <w:spacing w:after="160" w:before="60" w:line="276"/>
        <w:jc w:val="both"/>
      </w:pPr>
      <w:r>
        <w:t xml:space="preserve">AUDIT_LOG is range-partitioned by PerformedAt at the calendar-month boundary. This keeps each partition's index small for fast recent-history queries (the common case — most lookups are "what happened to this WO in the last few weeks") while allowing older partitions to be moved to cheaper storage or archived wholesale once they exceed 10CS's document retention policy, without an expensive row-by-row delete. Retention period is a SYSTEM_SETTING value (e.g. AUDIT_LOG_RETENTION_YEARS), not hard-coded, so the HOD can align it to whatever ISO 9001/PDPA retention period 10CS's compliance function specifies, without a schema change.</w:t>
      </w:r>
    </w:p>
    <w:p>
      <w:pPr>
        <w:pStyle w:val="Heading2"/>
      </w:pPr>
      <w:r>
        <w:t xml:space="preserve">6.5 Access Control &amp; Query Patterns</w:t>
      </w:r>
    </w:p>
    <w:p>
      <w:pPr>
        <w:spacing w:after="160" w:before="60" w:line="276"/>
        <w:jc w:val="both"/>
      </w:pPr>
      <w:r>
        <w:t xml:space="preserve">Read access to AUDIT_LOG is restricted to the HOD and any Compliance/Audit-scoped user, consistent with the Governance &amp; Compliance Audit Trail Export's role gating defined in the Wireframe Specification (Screen 18). Three query patterns cover the overwhelming majority of real use: pulling every entry for one record (filter on EntityName and EntityId, ordered by PerformedAt, using IDX_AUDITLOG_ENTITY); pulling everything one staff member did in a period (filter on PerformedBy and a PerformedAt range, using IDX_AUDITLOG_PERFORMEDBY); and a full compliance export for a date range (filter on PerformedAt alone, using IDX_AUDITLOG_PERFORMEDAT, which also aligns with the partition boundary so the export only touches the partitions it needs).</w:t>
      </w:r>
    </w:p>
    <w:p>
      <w:pPr>
        <w:pStyle w:val="Heading1"/>
        <w:pageBreakBefore/>
      </w:pPr>
      <w:r>
        <w:t xml:space="preserve">7. Data Retention &amp; Storage Considerations</w:t>
      </w:r>
    </w:p>
    <w:p>
      <w:pPr>
        <w:spacing w:after="160" w:before="60" w:line="276"/>
        <w:jc w:val="both"/>
      </w:pPr>
      <w:r>
        <w:t xml:space="preserve">Two tables are high-volume by nature and warrant the same partitioning treatment recommended for AUDIT_LOG in Section 6.4: EFFORT_LOG, which receives at least one write per staff member per work order per day across the full CSI/CMT headcount, and AUDIT_LOG itself. Both should be range-partitioned by date from day one rather than retrofitted later, since partitioning an already-large table in production is materially more disruptive than partitioning an empty one.</w:t>
      </w:r>
    </w:p>
    <w:p>
      <w:pPr>
        <w:pStyle w:val="ListParagraph"/>
        <w:numPr>
          <w:ilvl w:val="0"/>
          <w:numId w:val="2"/>
        </w:numPr>
        <w:spacing w:after="80"/>
      </w:pPr>
      <w:r>
        <w:t xml:space="preserve">CSI_WO and its child records (ASSIGNMENT, EFFORT_LOG, EVIDENCE_DELIVERABLE, APPROVAL_RECORD) are never hard-deleted once Closed; a closed WO older than a configurable threshold (SYSTEM_SETTING) becomes a candidate for read-only archival storage rather than deletion, preserving the governance evidence trail PRD §2 identified as a current gap</w:t>
      </w:r>
    </w:p>
    <w:p>
      <w:pPr>
        <w:pStyle w:val="ListParagraph"/>
        <w:numPr>
          <w:ilvl w:val="0"/>
          <w:numId w:val="2"/>
        </w:numPr>
        <w:spacing w:after="80"/>
      </w:pPr>
      <w:r>
        <w:t xml:space="preserve">EVIDENCE_DELIVERABLE's FileRef points to object storage (not a database BLOB column), keeping the relational database itself comparatively small and fast to back up; the file storage tier follows 10CS's standard backup/DR policy independently</w:t>
      </w:r>
    </w:p>
    <w:p>
      <w:pPr>
        <w:pStyle w:val="ListParagraph"/>
        <w:numPr>
          <w:ilvl w:val="0"/>
          <w:numId w:val="2"/>
        </w:numPr>
        <w:spacing w:after="80"/>
      </w:pPr>
      <w:r>
        <w:t xml:space="preserve">Backup and disaster recovery follow the recovery point and recovery time objectives to be agreed at technical design stage, per the Backup &amp; DR non-functional requirement in PRD §8 — this specification defines the schema those objectives apply to, not the objectives themselves</w:t>
      </w:r>
    </w:p>
    <w:p>
      <w:pPr>
        <w:spacing w:after="200"/>
      </w:pPr>
    </w:p>
    <w:p>
      <w:pPr>
        <w:spacing w:after="160" w:before="60" w:line="276"/>
        <w:jc w:val="both"/>
      </w:pPr>
      <w:r>
        <w:rPr>
          <w:b/>
          <w:bCs/>
        </w:rPr>
        <w:t xml:space="preserve">This Database Design Specification is submitted for review and sign-off by the Solution Architect, Developer/Database Engineer and Management. Approval authorises schema creation and migration scripting against the model defined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95959"/>
        <w:sz w:val="16"/>
        <w:szCs w:val="16"/>
      </w:rPr>
      <w:t xml:space="preserve">CSI Digital Operating Platform — Database Design Specification</w:t>
    </w:r>
    <w:r>
      <w:rPr>
        <w:color w:val="595959"/>
        <w:sz w:val="16"/>
        <w:szCs w:val="16"/>
      </w:rPr>
      <w:t xml:space="preserve">	10CS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192E" w:sz="6" w:space="4"/>
      </w:pBdr>
      <w:spacing w:after="220" w:before="0"/>
      <w:outlineLvl w:val="0"/>
    </w:pPr>
    <w:rPr>
      <w:rFonts w:ascii="Arial" w:cs="Arial" w:eastAsia="Arial" w:hAnsi="Arial"/>
      <w:b/>
      <w:bCs/>
      <w:color w:val="A6192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7A13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9ebbf58363fc433671e553e699db910325963f.png"/><Relationship Id="rId10" Type="http://schemas.openxmlformats.org/officeDocument/2006/relationships/image" Target="media/526a894483cce0bd83890b0dd98aded8ddbdef9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2026-06-18T17:32:37.600Z</dcterms:created>
  <dcterms:modified xsi:type="dcterms:W3CDTF">2026-06-18T17:32:37.600Z</dcterms:modified>
</cp:coreProperties>
</file>

<file path=docProps/custom.xml><?xml version="1.0" encoding="utf-8"?>
<Properties xmlns="http://schemas.openxmlformats.org/officeDocument/2006/custom-properties" xmlns:vt="http://schemas.openxmlformats.org/officeDocument/2006/docPropsVTypes"/>
</file>