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jc w:val="center"/>
      </w:pPr>
      <w:r>
        <w:rPr>
          <w:b/>
          <w:bCs/>
          <w:color w:val="595959"/>
          <w:sz w:val="22"/>
          <w:szCs w:val="22"/>
        </w:rPr>
        <w:t xml:space="preserve">10 CREATIVE SOLUTIONS SDN BHD (10CS)</w:t>
      </w:r>
    </w:p>
    <w:p>
      <w:pPr>
        <w:spacing w:after="40" w:before="60"/>
        <w:jc w:val="center"/>
      </w:pPr>
      <w:r>
        <w:rPr>
          <w:color w:val="595959"/>
          <w:sz w:val="20"/>
          <w:szCs w:val="20"/>
        </w:rPr>
        <w:t xml:space="preserve">Consultant, Solution &amp; Innovation (CSI) Department</w:t>
      </w:r>
    </w:p>
    <w:p>
      <w:pPr>
        <w:spacing w:after="500"/>
      </w:pPr>
    </w:p>
    <w:p>
      <w:pPr>
        <w:pBdr>
          <w:bottom w:val="single" w:color="A6192E" w:sz="6" w:space="8"/>
        </w:pBdr>
        <w:jc w:val="center"/>
      </w:pPr>
      <w:r>
        <w:rPr>
          <w:b/>
          <w:bCs/>
          <w:color w:val="A6192E"/>
          <w:sz w:val="46"/>
          <w:szCs w:val="46"/>
        </w:rPr>
        <w:t xml:space="preserve">CSI DIGITAL OPERATING PLATFORM</w:t>
      </w:r>
    </w:p>
    <w:p>
      <w:pPr>
        <w:spacing w:after="160"/>
      </w:pPr>
    </w:p>
    <w:p>
      <w:pPr>
        <w:spacing w:before="200"/>
        <w:jc w:val="center"/>
      </w:pPr>
      <w:r>
        <w:rPr>
          <w:b/>
          <w:bCs/>
          <w:color w:val="1A1A1A"/>
          <w:sz w:val="30"/>
          <w:szCs w:val="30"/>
        </w:rPr>
        <w:t xml:space="preserve">System Requirement Specification (SRS)</w:t>
      </w:r>
    </w:p>
    <w:p>
      <w:pPr>
        <w:spacing w:after="80" w:before="100"/>
        <w:jc w:val="center"/>
      </w:pPr>
      <w:r>
        <w:rPr>
          <w:i/>
          <w:iCs/>
          <w:color w:val="595959"/>
          <w:sz w:val="20"/>
          <w:szCs w:val="20"/>
        </w:rPr>
        <w:t xml:space="preserve">Prepared in alignment with KRISA — Business, Information, Application, Technology and Security Architecture Domains</w:t>
      </w:r>
    </w:p>
    <w:p>
      <w:pPr>
        <w:spacing w:after="700" w:before="0"/>
        <w:jc w:val="center"/>
      </w:pPr>
      <w:r>
        <w:rPr>
          <w:i/>
          <w:iCs/>
          <w:color w:val="595959"/>
          <w:sz w:val="19"/>
          <w:szCs w:val="19"/>
        </w:rPr>
        <w:t xml:space="preserve">Derived from the approved Business Requirement Specification (BRS)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Document Type</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System Requirement Specification (SRS)</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Standard Reference</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KRISA — Five Architecture Domains (Business / Information / Application / Technology / Security)</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Source Document</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Business Requirement Specification (BRS) v1.0</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Department</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Consultant, Solution &amp; Innovation (CSI)</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Version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1.0</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Status</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Draft — For Solution Architect, Developer and Management Review and Approval</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Date Prepared</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19 June 2026</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Prepared By</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Farhan Nordin, Head of Department, CSI</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Classification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Internal — 10CS Confidential</w:t>
            </w:r>
          </w:p>
        </w:tc>
      </w:tr>
    </w:tbl>
    <w:p>
      <w:pPr>
        <w:pStyle w:val="Heading1"/>
        <w:pageBreakBefore/>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cantSplit/>
          <w:tblHeader/>
        </w:trPr>
        <w:tc>
          <w:tcPr>
            <w:tcW w:type="dxa" w:w="1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Version</w:t>
            </w:r>
          </w:p>
        </w:tc>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Date</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Author</w:t>
            </w:r>
          </w:p>
        </w:tc>
        <w:tc>
          <w:tcPr>
            <w:tcW w:type="dxa" w:w="41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w:t>
            </w:r>
          </w:p>
        </w:tc>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19 Jun 2026</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Farhan Nordin</w:t>
            </w:r>
          </w:p>
        </w:tc>
        <w:tc>
          <w:tcPr>
            <w:tcW w:type="dxa" w:w="4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Initial System Requirement Specification, elaborating the approved BRS v1.0 into system-level requirements across all five KRISA architecture domains</w:t>
            </w:r>
          </w:p>
        </w:tc>
      </w:tr>
    </w:tbl>
    <w:p>
      <w:pPr>
        <w:spacing w:after="200"/>
      </w:pPr>
    </w:p>
    <w:p>
      <w:pPr>
        <w:pStyle w:val="Heading2"/>
      </w:pPr>
      <w:r>
        <w:t xml:space="preserve">Approval Sign-Off</w:t>
      </w:r>
    </w:p>
    <w:p>
      <w:pPr>
        <w:spacing w:after="160" w:before="60" w:line="276"/>
        <w:jc w:val="both"/>
      </w:pPr>
      <w:r>
        <w:t xml:space="preserve">This document translates the Business Requirement Specification into system-level requirements organised by KRISA's five architecture domains. Approval here authorises detailed technical design (Product Requirements Document, Wireframe Specification, Database Design, System Architecture Design and API Specification) to proceed against these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w:trPr>
          <w:cantSplit/>
          <w:tblHeader/>
        </w:trPr>
        <w:tc>
          <w:tcPr>
            <w:tcW w:type="dxa" w:w="3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Role</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198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Signature</w:t>
            </w:r>
          </w:p>
        </w:tc>
        <w:tc>
          <w:tcPr>
            <w:tcW w:type="dxa" w:w="198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Date</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Prepared by — Solution Architect / HOD, CSI</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Farhan Nordin</w:t>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Reviewed by — Developer / Technical Lead</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Approved by — Management / Chairman's Office</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200"/>
      </w:pPr>
    </w:p>
    <w:p>
      <w:pPr>
        <w:pStyle w:val="Heading2"/>
      </w:pPr>
      <w:r>
        <w:t xml:space="preserve">Distribution List</w:t>
      </w:r>
    </w:p>
    <w:p>
      <w:pPr>
        <w:pStyle w:val="ListParagraph"/>
        <w:numPr>
          <w:ilvl w:val="0"/>
          <w:numId w:val="2"/>
        </w:numPr>
        <w:spacing w:after="80"/>
      </w:pPr>
      <w:r>
        <w:t xml:space="preserve">Head of Department, CSI (Business Owner)</w:t>
      </w:r>
    </w:p>
    <w:p>
      <w:pPr>
        <w:pStyle w:val="ListParagraph"/>
        <w:numPr>
          <w:ilvl w:val="0"/>
          <w:numId w:val="2"/>
        </w:numPr>
        <w:spacing w:after="80"/>
      </w:pPr>
      <w:r>
        <w:t xml:space="preserve">Solution Architect / Enterprise Architecture function</w:t>
      </w:r>
    </w:p>
    <w:p>
      <w:pPr>
        <w:pStyle w:val="ListParagraph"/>
        <w:numPr>
          <w:ilvl w:val="0"/>
          <w:numId w:val="2"/>
        </w:numPr>
        <w:spacing w:after="80"/>
      </w:pPr>
      <w:r>
        <w:t xml:space="preserve">Assigned Developer(s) / Technical Lead</w:t>
      </w:r>
    </w:p>
    <w:p>
      <w:pPr>
        <w:pStyle w:val="ListParagraph"/>
        <w:numPr>
          <w:ilvl w:val="0"/>
          <w:numId w:val="2"/>
        </w:numPr>
        <w:spacing w:after="80"/>
      </w:pPr>
      <w:r>
        <w:t xml:space="preserve">10CS Management and Chairman's Office</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Purpose</w:t>
      </w:r>
    </w:p>
    <w:p>
      <w:pPr>
        <w:spacing w:after="160" w:before="60" w:line="276"/>
        <w:jc w:val="both"/>
      </w:pPr>
      <w:r>
        <w:t xml:space="preserve">This System Requirement Specification (SRS) elaborates the business requirements approved in the Business Requirement Specification (BRS) v1.0 into system-level requirements, organised according to KRISA's five architecture domains: Business, Information, Application, Technology and Security. Each domain section states the system-level requirements that must be satisfied for the corresponding business requirements to be met, without descending into the implementation-level detail held in the PRD, Wireframe Specification, Database Design Specification, System Architecture Design and API Specification.</w:t>
      </w:r>
    </w:p>
    <w:p>
      <w:pPr>
        <w:spacing w:after="160" w:before="60" w:line="276"/>
        <w:jc w:val="both"/>
      </w:pPr>
      <w:r>
        <w:t xml:space="preserve">This document is the bridge between business intent and technical design. Where the BRS asks "what does the business need," this SRS asks "what must the system do, hold, run on and protect to satisfy that need." Every requirement in this document traces back to a specific business requirement in the BRS, and forward to the specific PRD functional requirement(s) that implement it — both directions are recorded in Appendix A.</w:t>
      </w:r>
    </w:p>
    <w:p>
      <w:pPr>
        <w:pStyle w:val="Heading2"/>
      </w:pPr>
      <w:r>
        <w:t xml:space="preserve">1.2 Scope</w:t>
      </w:r>
    </w:p>
    <w:p>
      <w:pPr>
        <w:spacing w:after="160" w:before="60" w:line="276"/>
        <w:jc w:val="both"/>
      </w:pPr>
      <w:r>
        <w:t xml:space="preserve">This SRS covers system-level requirements for the CSI Digital Operating Platform across all five KRISA domains. It does not restate the full functional requirement catalogue already detailed in PRD §7 (61 functional requirements, FR-01 to FR-61); instead, each Application Architecture requirement in Section 6 groups and references the relevant FR range, with the PRD remaining the authoritative source for requirement-level detail.</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Term</w:t>
            </w:r>
          </w:p>
        </w:tc>
        <w:tc>
          <w:tcPr>
            <w:tcW w:type="dxa" w:w="7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Definition</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KRISA</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Kerangka Rujukan Infrastruktur Seni Bina Sektor Awam — the Malaysian public-sector ICT architecture reference framework, comprising five domains: Business, Information, Application, Technology and Security Architecture</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System Requirement Specification — this document</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BRS</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Business Requirement Specification — the source document this SRS elaborates</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System Requirement — a requirement identifier used in this document (e.g. SR-INFO-01)</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FR</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Functional Requirement — a requirement identifier used in the PRD (e.g. FR-01)</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NFR</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Non-Functional Requirement</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RBAC</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Role-Based Access Control</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RPO / RTO</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Recovery Point Objective / Recovery Time Objective</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OIDC</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OpenID Connect — the authentication protocol used for single sign-on</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PDPA</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Personal Data Protection Act (Malaysia)</w:t>
            </w:r>
          </w:p>
        </w:tc>
      </w:tr>
    </w:tbl>
    <w:p>
      <w:pPr>
        <w:pStyle w:val="Heading2"/>
      </w:pPr>
      <w: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cantSplit/>
          <w:tblHeader/>
        </w:trPr>
        <w:tc>
          <w:tcPr>
            <w:tcW w:type="dxa" w:w="3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Reference Document</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Version</w:t>
            </w:r>
          </w:p>
        </w:tc>
        <w:tc>
          <w:tcPr>
            <w:tcW w:type="dxa" w:w="49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Relationship to this SRS</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Business Requirement Specification (BRS)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Source document — this SRS elaborates its business requirements into system requirements</w:t>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Product Requirements Document (PRD)</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1.1</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Provides the full functional requirement catalogue referenced from Section 6</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UI/UX Wireframe Specification</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Implements the system requirements at screen level</w:t>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Database Design Specification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Implements the Information Architecture requirements in Section 5</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 Architecture Design (SAD)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Implements the Technology and Security Architecture requirements in Sections 7–8</w:t>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API Specification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Implements the Application Architecture interface requirements in Section 6</w:t>
            </w:r>
          </w:p>
        </w:tc>
      </w:tr>
    </w:tbl>
    <w:p>
      <w:pPr>
        <w:pStyle w:val="Heading2"/>
      </w:pPr>
      <w:r>
        <w:t xml:space="preserve">1.5 KRISA Domain Mapping Overview</w:t>
      </w:r>
    </w:p>
    <w:p>
      <w:pPr>
        <w:spacing w:after="160" w:before="60" w:line="276"/>
        <w:jc w:val="both"/>
      </w:pPr>
      <w:r>
        <w:t xml:space="preserve">The table below shows how this SRS's structure maps to KRISA's five architecture domains, and which companion document carries the implementation-level detail for each.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060"/>
      </w:tblGrid>
      <w:tr>
        <w:trPr>
          <w:cantSplit/>
          <w:tblHeader/>
        </w:trPr>
        <w:tc>
          <w:tcPr>
            <w:tcW w:type="dxa" w:w="2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KRISA Domain</w:t>
            </w:r>
          </w:p>
        </w:tc>
        <w:tc>
          <w:tcPr>
            <w:tcW w:type="dxa" w:w="1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SRS Section</w:t>
            </w:r>
          </w:p>
        </w:tc>
        <w:tc>
          <w:tcPr>
            <w:tcW w:type="dxa" w:w="50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Implementation Detail Carried In</w:t>
            </w:r>
          </w:p>
        </w:tc>
      </w:tr>
      <w:tr>
        <w:trPr>
          <w:cantSplit/>
        </w:trPr>
        <w:tc>
          <w:tcPr>
            <w:tcW w:type="dxa" w:w="2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Business Architecture</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w:t>
            </w:r>
          </w:p>
        </w:tc>
        <w:tc>
          <w:tcPr>
            <w:tcW w:type="dxa" w:w="50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BRS (full detail); this SRS provides only the system-facing summary</w:t>
            </w:r>
          </w:p>
        </w:tc>
      </w:tr>
      <w:tr>
        <w:trPr>
          <w:cantSplit/>
        </w:trPr>
        <w:tc>
          <w:tcPr>
            <w:tcW w:type="dxa" w:w="2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Information Architecture</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w:t>
            </w:r>
          </w:p>
        </w:tc>
        <w:tc>
          <w:tcPr>
            <w:tcW w:type="dxa" w:w="50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Database Design Specification (full schema, ERD, indexes, audit design)</w:t>
            </w:r>
          </w:p>
        </w:tc>
      </w:tr>
      <w:tr>
        <w:trPr>
          <w:cantSplit/>
        </w:trPr>
        <w:tc>
          <w:tcPr>
            <w:tcW w:type="dxa" w:w="2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Application Architecture</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§6</w:t>
            </w:r>
          </w:p>
        </w:tc>
        <w:tc>
          <w:tcPr>
            <w:tcW w:type="dxa" w:w="50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§7 (full functional requirement catalogue); Wireframe Specification (screen design); API Specification (interface contract)</w:t>
            </w:r>
          </w:p>
        </w:tc>
      </w:tr>
      <w:tr>
        <w:trPr>
          <w:cantSplit/>
        </w:trPr>
        <w:tc>
          <w:tcPr>
            <w:tcW w:type="dxa" w:w="2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Technology Architecture</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§7</w:t>
            </w:r>
          </w:p>
        </w:tc>
        <w:tc>
          <w:tcPr>
            <w:tcW w:type="dxa" w:w="50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System Architecture Design §3, §14–15 (technology stack, deployment, high availability)</w:t>
            </w:r>
          </w:p>
        </w:tc>
      </w:tr>
      <w:tr>
        <w:trPr>
          <w:cantSplit/>
        </w:trPr>
        <w:tc>
          <w:tcPr>
            <w:tcW w:type="dxa" w:w="2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Security Architecture</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§8</w:t>
            </w:r>
          </w:p>
        </w:tc>
        <w:tc>
          <w:tcPr>
            <w:tcW w:type="dxa" w:w="50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 Architecture Design §4–5, §9, §12 (authentication, authorisation, audit trail, security controls)</w:t>
            </w:r>
          </w:p>
        </w:tc>
      </w:tr>
    </w:tbl>
    <w:p>
      <w:pPr>
        <w:pStyle w:val="Heading1"/>
        <w:pageBreakBefore/>
      </w:pPr>
      <w:r>
        <w:t xml:space="preserve">2. System Overview</w:t>
      </w:r>
    </w:p>
    <w:p>
      <w:pPr>
        <w:spacing w:after="160" w:before="60" w:line="276"/>
        <w:jc w:val="both"/>
      </w:pPr>
      <w:r>
        <w:t xml:space="preserve">The CSI Digital Operating Platform is a three-tier web application (Next.js frontend, Next.js API with a FastAPI compute worker, PostgreSQL database) that consolidates CSI's internal work order lifecycle, resource capacity planning, tender pipeline, KPI evidence, skills and certification management, and management reporting into a single system of record, replacing four disconnected manual artefacts (SharePoint list, Excel capacity model, Word KPI document, BPM spreadsheet).</w:t>
      </w:r>
    </w:p>
    <w:p>
      <w:pPr>
        <w:spacing w:after="160" w:before="60" w:line="276"/>
        <w:jc w:val="both"/>
      </w:pPr>
      <w:r>
        <w:t xml:space="preserve">The system serves six user roles (HOD, Solution Manager, Team Lead, Team Member, BIM Team Lead, BIM Modeler) across two departments (CSI and CMT), with row-level data scope enforced server-side per role. It integrates with the 10CS identity provider for single sign-on, the corporate external Work Order/EWM system for upstream work order references, and Power BI for embedded dashboards and scheduled report generation.</w:t>
      </w:r>
    </w:p>
    <w:p>
      <w:pPr>
        <w:pStyle w:val="Heading2"/>
      </w:pPr>
      <w:r>
        <w:t xml:space="preserve">2.1 System Context</w:t>
      </w:r>
    </w:p>
    <w:p>
      <w:pPr>
        <w:spacing w:after="160" w:before="60" w:line="276"/>
        <w:jc w:val="both"/>
      </w:pPr>
      <w:r>
        <w:t xml:space="preserve">The system sits downstream of the corporate external Work Order/EWM system, which remains the system of record for external intake; this platform owns everything from internal classification through to closure, KPI rollup and reporting. It does not replace HR/payroll, financial invoicing or BIM authoring tools — it tracks workload, capacity, evidence and milestones against work performed using those external systems, consistent with BRS §1.2 (Scope).</w:t>
      </w:r>
    </w:p>
    <w:p>
      <w:pPr>
        <w:pStyle w:val="Heading2"/>
      </w:pPr>
      <w:r>
        <w:t xml:space="preserve">2.2 User Roles and System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Role</w:t>
            </w:r>
          </w:p>
        </w:tc>
        <w:tc>
          <w:tcPr>
            <w:tcW w:type="dxa" w:w="75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System Access Scope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HOD</w:t>
            </w:r>
          </w:p>
        </w:tc>
        <w:tc>
          <w:tcPr>
            <w:tcW w:type="dxa" w:w="7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Full department-wide access; final approval authority for Complexity Tier 3; sole authority to override a capacity No-Go recommendation; Admin &amp; Master Data configuration access</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Solution Manager</w:t>
            </w:r>
          </w:p>
        </w:tc>
        <w:tc>
          <w:tcPr>
            <w:tcW w:type="dxa" w:w="7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Stream-wide access across Solution Design, Consultancy and BIM; Complexity Tier 2 approval authority</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Team Lead</w:t>
            </w:r>
          </w:p>
        </w:tc>
        <w:tc>
          <w:tcPr>
            <w:tcW w:type="dxa" w:w="7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Own-pod access; Complexity Tier 1 approval authority</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Team Member</w:t>
            </w:r>
          </w:p>
        </w:tc>
        <w:tc>
          <w:tcPr>
            <w:tcW w:type="dxa" w:w="7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Self-scoped access to own assigned work orders, effort log and evidence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BIM Team Lead</w:t>
            </w:r>
          </w:p>
        </w:tc>
        <w:tc>
          <w:tcPr>
            <w:tcW w:type="dxa" w:w="75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Own BIM team access; BIM lifecycle milestone management</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BIM Modeler</w:t>
            </w:r>
          </w:p>
        </w:tc>
        <w:tc>
          <w:tcPr>
            <w:tcW w:type="dxa" w:w="75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Self-scoped access to own assigned BIM work orders and evidence</w:t>
            </w:r>
          </w:p>
        </w:tc>
      </w:tr>
    </w:tbl>
    <w:p>
      <w:pPr>
        <w:pStyle w:val="Heading1"/>
        <w:pageBreakBefore/>
      </w:pPr>
      <w:r>
        <w:t xml:space="preserve">3. System Requirement Categories and Numbering Convention</w:t>
      </w:r>
    </w:p>
    <w:p>
      <w:pPr>
        <w:spacing w:after="160" w:before="60" w:line="276"/>
        <w:jc w:val="both"/>
      </w:pPr>
      <w:r>
        <w:t xml:space="preserve">System requirements in this document are numbered SR-&lt;DOMAIN&gt;-NN, where DOMAIN identifies the KRISA architecture domain (BUS for Business, INFO for Information, APP for Application, TECH for Technology, SEC for Security). This numbering is distinct from, and traces to, the BR-numbered business requirements in the BRS and the FR-numbered functional requirements in the PRD, with the mapping recorded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cantSplit/>
          <w:tblHeader/>
        </w:trPr>
        <w:tc>
          <w:tcPr>
            <w:tcW w:type="dxa" w:w="1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Prefix</w:t>
            </w:r>
          </w:p>
        </w:tc>
        <w:tc>
          <w:tcPr>
            <w:tcW w:type="dxa" w:w="2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KRISA Domain</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Scope of Requirements Under This Prefix</w:t>
            </w:r>
          </w:p>
        </w:tc>
      </w:tr>
      <w:tr>
        <w:trPr>
          <w:cantSplit/>
        </w:trPr>
        <w:tc>
          <w:tcPr>
            <w:tcW w:type="dxa" w:w="1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SR-BUS</w:t>
            </w:r>
          </w:p>
        </w:tc>
        <w:tc>
          <w:tcPr>
            <w:tcW w:type="dxa" w:w="2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Business Architecture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System-facing summary of business process and stakeholder requirements (full detail in BRS)</w:t>
            </w:r>
          </w:p>
        </w:tc>
      </w:tr>
      <w:tr>
        <w:trPr>
          <w:cantSplit/>
        </w:trPr>
        <w:tc>
          <w:tcPr>
            <w:tcW w:type="dxa" w:w="1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SR-INFO</w:t>
            </w:r>
          </w:p>
        </w:tc>
        <w:tc>
          <w:tcPr>
            <w:tcW w:type="dxa" w:w="2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Information Architecture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Data entities, data ownership, data quality and retention requirements</w:t>
            </w:r>
          </w:p>
        </w:tc>
      </w:tr>
      <w:tr>
        <w:trPr>
          <w:cantSplit/>
        </w:trPr>
        <w:tc>
          <w:tcPr>
            <w:tcW w:type="dxa" w:w="1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SR-APP</w:t>
            </w:r>
          </w:p>
        </w:tc>
        <w:tc>
          <w:tcPr>
            <w:tcW w:type="dxa" w:w="2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Application Architecture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Functional capability, interface and integration requirements</w:t>
            </w:r>
          </w:p>
        </w:tc>
      </w:tr>
      <w:tr>
        <w:trPr>
          <w:cantSplit/>
        </w:trPr>
        <w:tc>
          <w:tcPr>
            <w:tcW w:type="dxa" w:w="1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w:t>
            </w:r>
          </w:p>
        </w:tc>
        <w:tc>
          <w:tcPr>
            <w:tcW w:type="dxa" w:w="2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Technology Architecture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Platform, infrastructure, performance and availability requirements</w:t>
            </w:r>
          </w:p>
        </w:tc>
      </w:tr>
      <w:tr>
        <w:trPr>
          <w:cantSplit/>
        </w:trPr>
        <w:tc>
          <w:tcPr>
            <w:tcW w:type="dxa" w:w="1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w:t>
            </w:r>
          </w:p>
        </w:tc>
        <w:tc>
          <w:tcPr>
            <w:tcW w:type="dxa" w:w="2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Security Architecture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Authentication, authorisation, audit and data protection requirements</w:t>
            </w:r>
          </w:p>
        </w:tc>
      </w:tr>
    </w:tbl>
    <w:p>
      <w:pPr>
        <w:pStyle w:val="Heading1"/>
        <w:pageBreakBefore/>
      </w:pPr>
      <w:r>
        <w:t xml:space="preserve">4. Business Architecture</w:t>
      </w:r>
    </w:p>
    <w:p>
      <w:pPr>
        <w:spacing w:after="160" w:before="60" w:line="276"/>
        <w:jc w:val="both"/>
      </w:pPr>
      <w:r>
        <w:t xml:space="preserve">This section provides the system-facing summary of the Business Architecture domain. The full business case, stakeholder analysis, current/target process description and business rules are documented in the BRS and are not repeated here; this section states only the system requirements that flow directly from that business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760"/>
      </w:tblGrid>
      <w:tr>
        <w:trPr>
          <w:cantSplit/>
          <w:tblHeader/>
        </w:trPr>
        <w:tc>
          <w:tcPr>
            <w:tcW w:type="dxa" w:w="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ID</w:t>
            </w:r>
          </w:p>
        </w:tc>
        <w:tc>
          <w:tcPr>
            <w:tcW w:type="dxa" w:w="6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Requirement</w:t>
            </w:r>
          </w:p>
        </w:tc>
        <w:tc>
          <w:tcPr>
            <w:tcW w:type="dxa" w:w="1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Priority</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SR-BUS-01</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support the six-role hierarchy (HOD, Solution Manager, Team Lead, Team Member, BIM Team Lead, BIM Modeler) as configured, queryable organisational data, not hard-coded logic (BR-03)</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SR-BUS-02</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support the 12-type work request taxonomy and three-tier complexity model as configured master data (BR-03)</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SR-BUS-03</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enforce the business rule that approval routing follows complexity tier exactly: Tier 1 to Team Lead, Tier 2 to Solution Manager, Tier 3 to HOD (BRL-02)</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SR-BUS-04</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enforce the business rule that a work order cannot close without at least one attached evidence item (BRL-03)</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SR-BUS-05</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support role-specific annual Opportunity of Interest targets, configurable per role (BRL-07)</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SR-BUS-06</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be extensible to additional departments beyond CSI and CMT without schema or architecture redesign (BR-15)</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Could</w:t>
            </w:r>
          </w:p>
        </w:tc>
      </w:tr>
    </w:tbl>
    <w:p>
      <w:pPr>
        <w:pStyle w:val="Heading1"/>
        <w:pageBreakBefore/>
      </w:pPr>
      <w:r>
        <w:t xml:space="preserve">5. Information Architecture</w:t>
      </w:r>
    </w:p>
    <w:p>
      <w:pPr>
        <w:spacing w:after="160" w:before="60" w:line="276"/>
        <w:jc w:val="both"/>
      </w:pPr>
      <w:r>
        <w:t xml:space="preserve">This section states the system requirements for data entities, data ownership and data lifecycle. The complete physical data model — 25 tables, entity relationship diagrams, field-level data dictionary, relationships, indexes and audit log design — is the authoritative implementation and is documented in full in the Database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760"/>
      </w:tblGrid>
      <w:tr>
        <w:trPr>
          <w:cantSplit/>
          <w:tblHeader/>
        </w:trPr>
        <w:tc>
          <w:tcPr>
            <w:tcW w:type="dxa" w:w="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ID</w:t>
            </w:r>
          </w:p>
        </w:tc>
        <w:tc>
          <w:tcPr>
            <w:tcW w:type="dxa" w:w="6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Requirement</w:t>
            </w:r>
          </w:p>
        </w:tc>
        <w:tc>
          <w:tcPr>
            <w:tcW w:type="dxa" w:w="1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Priority</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SR-INFO-01</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maintain TENDER, EXTERNAL_WO and CSI_WO as a connected hierarchy (Tender → WO → Task → Effort), satisfying the requirement that work be traceable to its originating opportunity (BR-13)</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SR-INFO-02</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Every internal work order record shall carry a mandatory, verified foreign-key link to an existing external work order reference; the system shall not permit creation of an internal work order without this link (BR-02)</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SR-INFO-03</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hold complexity tiers, request types, multiplier factors, role-split percentages and SLA targets as configurable master data, editable only by a System-Configuration-permitted role (BR-04)</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SR-INFO-04</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maintain a full assignment history for every work order, including the reason for any reassignment, rather than overwriting the current assignee (BR-09)</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SR-INFO-05</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maintain staff competency records (skill, technology domain, competency level, assessment date and assessor) as a queryable history, not only a current snapshot (BR-11)</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Should</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SR-INFO-06</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maintain a certification register per staff member including issue date, expiry date and verification status (BR-12)</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Should</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SR-INFO-07</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 records shall never be physically deleted; departure or deactivation shall be represented as a status change, preserving all historical effort, assignment and audit data (BRL-06)</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SR-INFO-08</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maintain an immutable, append-only audit record distinct from operational tables, capable of reconstructing the full history of any record on demand (BR-09)</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SR-INFO-09</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Data retention periods for audit and operational history shall be configurable, to align with ISO 9001, PDPA and MAMPU/KRISA retention requirements without requiring a schema change</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Should</w:t>
            </w:r>
          </w:p>
        </w:tc>
      </w:tr>
    </w:tbl>
    <w:p>
      <w:pPr>
        <w:pStyle w:val="Heading1"/>
        <w:pageBreakBefore/>
      </w:pPr>
      <w:r>
        <w:t xml:space="preserve">6. Application Architecture</w:t>
      </w:r>
    </w:p>
    <w:p>
      <w:pPr>
        <w:spacing w:after="160" w:before="60" w:line="276"/>
        <w:jc w:val="both"/>
      </w:pPr>
      <w:r>
        <w:t xml:space="preserve">This section groups the system's functional capability requirements by business capability area. Each row references the corresponding detailed functional requirement (FR) range fully specified in PRD §7, the API Specification's route group, and the Wireframe Specification screen(s) that present the capability to the user. This SRS does not restate the field-level detail already held in those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1700"/>
        <w:gridCol w:w="800"/>
      </w:tblGrid>
      <w:tr>
        <w:trPr>
          <w:cantSplit/>
          <w:tblHeader/>
        </w:trPr>
        <w:tc>
          <w:tcPr>
            <w:tcW w:type="dxa" w:w="1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Capability Area</w:t>
            </w:r>
          </w:p>
        </w:tc>
        <w:tc>
          <w:tcPr>
            <w:tcW w:type="dxa" w:w="49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System Requirement Summary</w:t>
            </w:r>
          </w:p>
        </w:tc>
        <w:tc>
          <w:tcPr>
            <w:tcW w:type="dxa" w:w="1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FR Range (PRD §7)</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Priority</w:t>
            </w:r>
          </w:p>
        </w:tc>
      </w:tr>
      <w:tr>
        <w:trPr>
          <w:cantSplit/>
        </w:trPr>
        <w:tc>
          <w:tcPr>
            <w:tcW w:type="dxa" w:w="1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Work Order Lifecycle</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support intake, classification, internal numbering, assignment, execution, evidence capture, approval and closure of internal work orders (BR-01, BR-02)</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FR-01 to FR-13, FR-29 to FR-34</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1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Tender Registry</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manage the Tender as a top-level business object with a defined status lifecycle, linked to one or more work orders (BR-13)</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FR-57 to FR-61</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Should</w:t>
            </w:r>
          </w:p>
        </w:tc>
      </w:tr>
      <w:tr>
        <w:trPr>
          <w:cantSplit/>
        </w:trPr>
        <w:tc>
          <w:tcPr>
            <w:tcW w:type="dxa" w:w="1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Capacity &amp; Go/No-Go Evaluation</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calculate live staff and department utilization, and shall evaluate the capacity impact of a proposed new commitment before acceptance, returning a Go/No-Go recommendation (BR-05, BR-06, BR-07)</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FR-35 to FR-40</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1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KPI &amp; OI Tracking</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calculate role-cascaded KPI achievement live from operational data, including Opportunity of Interest counts against role-specific targets (BR-08)</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FR-41 to FR-44</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1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Skills, Competency &amp; Certification</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record staff competency assessments and certifications, including proactive expiry alerting (BR-11, BR-12)</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FR-50 to FR-56</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Should</w:t>
            </w:r>
          </w:p>
        </w:tc>
      </w:tr>
      <w:tr>
        <w:trPr>
          <w:cantSplit/>
        </w:trPr>
        <w:tc>
          <w:tcPr>
            <w:tcW w:type="dxa" w:w="1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Interdepartmental Collaboration</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provide structured handoff tracking to CMT, CPO, CGI, CSA and CBA departments</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FR-45 to FR-46</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Should</w:t>
            </w:r>
          </w:p>
        </w:tc>
      </w:tr>
      <w:tr>
        <w:trPr>
          <w:cantSplit/>
        </w:trPr>
        <w:tc>
          <w:tcPr>
            <w:tcW w:type="dxa" w:w="1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Admin &amp; Master Data</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provide a configuration interface for request types, complexity tiers, multiplier factors, SLA targets and role-split percentages, restricted to permitted roles (BR-04)</w:t>
            </w:r>
          </w:p>
        </w:tc>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FR-47 to FR-49</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1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Reporting</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generate the eleven standard reports identified in the PRD on demand and on a monthly schedule, in PDF, Excel and PPTX formats aligned to the 10CS corporate template (BR-10)</w:t>
            </w:r>
          </w:p>
        </w:tc>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§15</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bl>
    <w:p>
      <w:pPr>
        <w:pStyle w:val="Heading2"/>
      </w:pPr>
      <w:r>
        <w:t xml:space="preserve">6.1 Interface Requirements</w:t>
      </w:r>
    </w:p>
    <w:p>
      <w:pPr>
        <w:spacing w:after="160" w:before="60" w:line="276"/>
        <w:jc w:val="both"/>
      </w:pPr>
      <w:r>
        <w:t xml:space="preserve">System-to-system and system-to-user interfaces are fully specified in the API Specification (REST/JSON contract across 10 route groups) and the Wireframe Specification (19 screens). This SRS states only the interface requirements at the system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760"/>
      </w:tblGrid>
      <w:tr>
        <w:trPr>
          <w:cantSplit/>
          <w:tblHeader/>
        </w:trPr>
        <w:tc>
          <w:tcPr>
            <w:tcW w:type="dxa" w:w="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ID</w:t>
            </w:r>
          </w:p>
        </w:tc>
        <w:tc>
          <w:tcPr>
            <w:tcW w:type="dxa" w:w="6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Requirement</w:t>
            </w:r>
          </w:p>
        </w:tc>
        <w:tc>
          <w:tcPr>
            <w:tcW w:type="dxa" w:w="1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Priority</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SR-APP-01</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expose a REST/JSON API as the single integration point for the frontend application; no direct database access shall be permitted from the presentation tier</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SR-APP-02</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provide a role-aware navigation and dashboard experience, presenting only the capabilities and data each authenticated role is permitted to access</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SR-APP-03</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support a structured, polling-based asynchronous job pattern for long-running operations (report generation, capacity recalculation), rather than blocking the user interface</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Should</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SR-APP-04</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provide an extension point (a defined API endpoint group) for future AI-assisted capability, without requiring a schema or routing redesign when that capability is delivered (BRS §10, Future Roadmap)</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Could</w:t>
            </w:r>
          </w:p>
        </w:tc>
      </w:tr>
    </w:tbl>
    <w:p>
      <w:pPr>
        <w:pStyle w:val="Heading1"/>
        <w:pageBreakBefore/>
      </w:pPr>
      <w:r>
        <w:t xml:space="preserve">7. Technology Architecture</w:t>
      </w:r>
    </w:p>
    <w:p>
      <w:pPr>
        <w:spacing w:after="160" w:before="60" w:line="276"/>
        <w:jc w:val="both"/>
      </w:pPr>
      <w:r>
        <w:t xml:space="preserve">This section states the system's platform, infrastructure, performance and availability requirements. The complete technology stack, deployment topology and high-availability design are documented in full in the System Architecture Design (SAD) §3 and §14–15.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760"/>
      </w:tblGrid>
      <w:tr>
        <w:trPr>
          <w:cantSplit/>
          <w:tblHeader/>
        </w:trPr>
        <w:tc>
          <w:tcPr>
            <w:tcW w:type="dxa" w:w="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ID</w:t>
            </w:r>
          </w:p>
        </w:tc>
        <w:tc>
          <w:tcPr>
            <w:tcW w:type="dxa" w:w="6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Requirement</w:t>
            </w:r>
          </w:p>
        </w:tc>
        <w:tc>
          <w:tcPr>
            <w:tcW w:type="dxa" w:w="1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Priority</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SR-TECH-01</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be built on an open-source, portable technology stack with no proprietary vendor lock-in at the application or database tier (BR-15)</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SR-TECH-02</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system's database tier shall use a relational database management system capable of enforcing referential integrity, supporting the data relationships defined in the Information Architecture (§5)</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SR-TECH-03</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be deployable on container-orchestrated infrastructure, supporting horizontal scaling of stateless application components independent of the database tier</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Should</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SR-TECH-04</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Dashboard data shall not be more than 5 minutes stale from the underlying operational data, to satisfy the real-time capacity visibility requirement (BR-07)</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SR-TECH-05</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target 99.5% availability during business hours</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SR-TECH-06</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support a database recovery point objective (RPO) of under 5 minutes and a recovery time objective (RTO) of under 15 minutes for the primary database tier</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SR-TECH-07</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system's user interface shall be usable on both desktop and mobile form factors for field-relevant workflows (effort logging, evidence upload, task review)</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SR-TECH-08</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architecture shall accommodate future addition of an AI/ML compute layer without requiring redesign of the operational database schema (BRS §10, Future Roadmap)</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Could</w:t>
            </w:r>
          </w:p>
        </w:tc>
      </w:tr>
    </w:tbl>
    <w:p>
      <w:pPr>
        <w:pStyle w:val="Heading1"/>
        <w:pageBreakBefore/>
      </w:pPr>
      <w:r>
        <w:t xml:space="preserve">8. Security Architecture</w:t>
      </w:r>
    </w:p>
    <w:p>
      <w:pPr>
        <w:spacing w:after="160" w:before="60" w:line="276"/>
        <w:jc w:val="both"/>
      </w:pPr>
      <w:r>
        <w:t xml:space="preserve">This section states the system's authentication, authorisation, audit and data protection requirements. The complete security control design — authentication sequence, authorisation model, audit trail hash-chain design, and defence-in-depth control layers — is documented in full in the System Architecture Design §4–5, §9 and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760"/>
      </w:tblGrid>
      <w:tr>
        <w:trPr>
          <w:cantSplit/>
          <w:tblHeader/>
        </w:trPr>
        <w:tc>
          <w:tcPr>
            <w:tcW w:type="dxa" w:w="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ID</w:t>
            </w:r>
          </w:p>
        </w:tc>
        <w:tc>
          <w:tcPr>
            <w:tcW w:type="dxa" w:w="6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Requirement</w:t>
            </w:r>
          </w:p>
        </w:tc>
        <w:tc>
          <w:tcPr>
            <w:tcW w:type="dxa" w:w="1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Priority</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SR-SEC-01</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authenticate users exclusively via the 10CS-approved identity provider using OIDC single sign-on; the system shall not implement or store local username/password credentials</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SR-SEC-02</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enforce role-based access control server-side for every request, such that no client-side control alone determines what data a user can access</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SR-SEC-03</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enforce row-level data scope per role (department, stream, pod or self), consistent with the access scope defined in §2.2, independent of and in addition to route-level role permission (BR-14)</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SR-SEC-04</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system shall record an immutable, tamper-evident entry for every creation, modification, approval, override and deletion action taken on a governed record, retained for a configurable compliance period (BR-09, SR-INFO-08)</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SR-SEC-05</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restrict configuration changes (request types, complexity tiers, SLA targets, role-split percentages) to roles explicitly granted System Configuration permission (BR-04)</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SR-SEC-06</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Any override of a system-generated capacity recommendation shall be restricted to the Head of Department role and shall require a mandatory recorded justification, itself subject to the audit requirement in SR-SEC-04 (BR-06)</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SR-SEC-07</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encrypt data at rest and in transit</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SR-SEC-08</w:t>
            </w:r>
          </w:p>
        </w:tc>
        <w:tc>
          <w:tcPr>
            <w:tcW w:type="dxa" w:w="6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Access to individual staff performance and utilization data shall be restricted to the staff member, their direct reporting line, and the Head of Department, consistent with PDPA (BR-14)</w:t>
            </w:r>
          </w:p>
        </w:tc>
        <w:tc>
          <w:tcPr>
            <w:tcW w:type="dxa" w:w="1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SR-SEC-09</w:t>
            </w:r>
          </w:p>
        </w:tc>
        <w:tc>
          <w:tcPr>
            <w:tcW w:type="dxa" w:w="6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system shall undergo dependency and container image vulnerability scanning as part of its build and release process</w:t>
            </w:r>
          </w:p>
        </w:tc>
        <w:tc>
          <w:tcPr>
            <w:tcW w:type="dxa" w:w="1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Should</w:t>
            </w:r>
          </w:p>
        </w:tc>
      </w:tr>
    </w:tbl>
    <w:p>
      <w:pPr>
        <w:pStyle w:val="Heading1"/>
        <w:pageBreakBefore/>
      </w:pPr>
      <w:r>
        <w:t xml:space="preserve">9. Non-Functional Requirements Summary</w:t>
      </w:r>
    </w:p>
    <w:p>
      <w:pPr>
        <w:spacing w:after="160" w:before="60" w:line="276"/>
        <w:jc w:val="both"/>
      </w:pPr>
      <w:r>
        <w:t xml:space="preserve">Non-functional requirements are distributed across the Technology Architecture (§7, performance and availability) and Security Architecture (§8, protection and compliance) domains above, consistent with KRISA's domain structure. This section consolidates them into a single reference table for convenience; it introduces no new requirements beyond those already stated in §7 and §8.</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1960"/>
      </w:tblGrid>
      <w:tr>
        <w:trPr>
          <w:cantSplit/>
          <w:tblHeader/>
        </w:trPr>
        <w:tc>
          <w:tcPr>
            <w:tcW w:type="dxa" w:w="1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Category</w:t>
            </w:r>
          </w:p>
        </w:tc>
        <w:tc>
          <w:tcPr>
            <w:tcW w:type="dxa" w:w="56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Requirement</w:t>
            </w:r>
          </w:p>
        </w:tc>
        <w:tc>
          <w:tcPr>
            <w:tcW w:type="dxa" w:w="19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Source</w:t>
            </w:r>
          </w:p>
        </w:tc>
      </w:tr>
      <w:tr>
        <w:trPr>
          <w:cantSplit/>
        </w:trPr>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Performance</w:t>
            </w:r>
          </w:p>
        </w:tc>
        <w:tc>
          <w:tcPr>
            <w:tcW w:type="dxa" w:w="56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Standard screens load within 3 seconds under normal load</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SAD §15</w:t>
            </w:r>
          </w:p>
        </w:tc>
      </w:tr>
      <w:tr>
        <w:trPr>
          <w:cantSplit/>
        </w:trPr>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Performance</w:t>
            </w:r>
          </w:p>
        </w:tc>
        <w:tc>
          <w:tcPr>
            <w:tcW w:type="dxa" w:w="56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Dashboard data staleness no more than 5 minutes</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SR-TECH-04</w:t>
            </w:r>
          </w:p>
        </w:tc>
      </w:tr>
      <w:tr>
        <w:trPr>
          <w:cantSplit/>
        </w:trPr>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Availability</w:t>
            </w:r>
          </w:p>
        </w:tc>
        <w:tc>
          <w:tcPr>
            <w:tcW w:type="dxa" w:w="56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99.5% uptime during business hours</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SR-TECH-05</w:t>
            </w:r>
          </w:p>
        </w:tc>
      </w:tr>
      <w:tr>
        <w:trPr>
          <w:cantSplit/>
        </w:trPr>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Recoverability</w:t>
            </w:r>
          </w:p>
        </w:tc>
        <w:tc>
          <w:tcPr>
            <w:tcW w:type="dxa" w:w="56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RPO &lt; 5 minutes, RTO &lt; 15 minutes (database tier)</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SR-TECH-06</w:t>
            </w:r>
          </w:p>
        </w:tc>
      </w:tr>
      <w:tr>
        <w:trPr>
          <w:cantSplit/>
        </w:trPr>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Security</w:t>
            </w:r>
          </w:p>
        </w:tc>
        <w:tc>
          <w:tcPr>
            <w:tcW w:type="dxa" w:w="56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SSO-only authentication, no local credentials</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SR-SEC-01</w:t>
            </w:r>
          </w:p>
        </w:tc>
      </w:tr>
      <w:tr>
        <w:trPr>
          <w:cantSplit/>
        </w:trPr>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Security</w:t>
            </w:r>
          </w:p>
        </w:tc>
        <w:tc>
          <w:tcPr>
            <w:tcW w:type="dxa" w:w="56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Server-enforced RBAC and row-level scope</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SR-SEC-02, SR-SEC-03</w:t>
            </w:r>
          </w:p>
        </w:tc>
      </w:tr>
      <w:tr>
        <w:trPr>
          <w:cantSplit/>
        </w:trPr>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Auditability</w:t>
            </w:r>
          </w:p>
        </w:tc>
        <w:tc>
          <w:tcPr>
            <w:tcW w:type="dxa" w:w="56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Immutable audit trail for all governed actions</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SR-SEC-04</w:t>
            </w:r>
          </w:p>
        </w:tc>
      </w:tr>
      <w:tr>
        <w:trPr>
          <w:cantSplit/>
        </w:trPr>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Data Protection</w:t>
            </w:r>
          </w:p>
        </w:tc>
        <w:tc>
          <w:tcPr>
            <w:tcW w:type="dxa" w:w="56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Encryption at rest and in transit</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SR-SEC-07</w:t>
            </w:r>
          </w:p>
        </w:tc>
      </w:tr>
      <w:tr>
        <w:trPr>
          <w:cantSplit/>
        </w:trPr>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Privacy</w:t>
            </w:r>
          </w:p>
        </w:tc>
        <w:tc>
          <w:tcPr>
            <w:tcW w:type="dxa" w:w="56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PDPA-aligned access restriction on performance data</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SR-SEC-08</w:t>
            </w:r>
          </w:p>
        </w:tc>
      </w:tr>
      <w:tr>
        <w:trPr>
          <w:cantSplit/>
        </w:trPr>
        <w:tc>
          <w:tcPr>
            <w:tcW w:type="dxa" w:w="1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Usability</w:t>
            </w:r>
          </w:p>
        </w:tc>
        <w:tc>
          <w:tcPr>
            <w:tcW w:type="dxa" w:w="56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Mobile-responsive for field-relevant workflows</w:t>
            </w:r>
          </w:p>
        </w:tc>
        <w:tc>
          <w:tcPr>
            <w:tcW w:type="dxa" w:w="1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SR-TECH-07</w:t>
            </w:r>
          </w:p>
        </w:tc>
      </w:tr>
      <w:tr>
        <w:trPr>
          <w:cantSplit/>
        </w:trPr>
        <w:tc>
          <w:tcPr>
            <w:tcW w:type="dxa" w:w="1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Portability</w:t>
            </w:r>
          </w:p>
        </w:tc>
        <w:tc>
          <w:tcPr>
            <w:tcW w:type="dxa" w:w="56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Open-source stack, no proprietary lock-in</w:t>
            </w:r>
          </w:p>
        </w:tc>
        <w:tc>
          <w:tcPr>
            <w:tcW w:type="dxa" w:w="1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SR-TECH-01</w:t>
            </w:r>
          </w:p>
        </w:tc>
      </w:tr>
    </w:tbl>
    <w:p>
      <w:pPr>
        <w:pStyle w:val="Heading1"/>
        <w:pageBreakBefore/>
      </w:pPr>
      <w:r>
        <w:t xml:space="preserve">10. System Constraints</w:t>
      </w:r>
    </w:p>
    <w:p>
      <w:pPr>
        <w:pStyle w:val="ListParagraph"/>
        <w:numPr>
          <w:ilvl w:val="0"/>
          <w:numId w:val="2"/>
        </w:numPr>
        <w:spacing w:after="80"/>
      </w:pPr>
      <w:r>
        <w:t xml:space="preserve">The system must integrate with the existing corporate external Work Order/EWM system as the upstream source of work order references; it does not replace that system (BRS §9.1)</w:t>
      </w:r>
    </w:p>
    <w:p>
      <w:pPr>
        <w:pStyle w:val="ListParagraph"/>
        <w:numPr>
          <w:ilvl w:val="0"/>
          <w:numId w:val="2"/>
        </w:numPr>
        <w:spacing w:after="80"/>
      </w:pPr>
      <w:r>
        <w:t xml:space="preserve">The system must authenticate against 10CS's existing identity provider; no independent identity system will be introduced (BRS §9.2)</w:t>
      </w:r>
    </w:p>
    <w:p>
      <w:pPr>
        <w:pStyle w:val="ListParagraph"/>
        <w:numPr>
          <w:ilvl w:val="0"/>
          <w:numId w:val="2"/>
        </w:numPr>
        <w:spacing w:after="80"/>
      </w:pPr>
      <w:r>
        <w:t xml:space="preserve">The system must comply with PDPA in its handling of staff personal and performance data (BRS §9.2)</w:t>
      </w:r>
    </w:p>
    <w:p>
      <w:pPr>
        <w:pStyle w:val="ListParagraph"/>
        <w:numPr>
          <w:ilvl w:val="0"/>
          <w:numId w:val="2"/>
        </w:numPr>
        <w:spacing w:after="80"/>
      </w:pPr>
      <w:r>
        <w:t xml:space="preserve">Delivery is phased per the roadmap in the PRD; full AI-assisted capability (Phase 4) is not a precondition for initial go-live (BRS §9.2)</w:t>
      </w:r>
    </w:p>
    <w:p>
      <w:pPr>
        <w:pStyle w:val="ListParagraph"/>
        <w:numPr>
          <w:ilvl w:val="0"/>
          <w:numId w:val="2"/>
        </w:numPr>
        <w:spacing w:after="80"/>
      </w:pPr>
      <w:r>
        <w:t xml:space="preserve">The system must not replace CMT's existing commercial and costing systems; it integrates with, rather than supersedes, those systems (BRS §9.2)</w:t>
      </w:r>
    </w:p>
    <w:p>
      <w:pPr>
        <w:pStyle w:val="Heading1"/>
        <w:pageBreakBefore/>
      </w:pPr>
      <w:r>
        <w:t xml:space="preserve">11. Acceptance Criteria</w:t>
      </w:r>
    </w:p>
    <w:p>
      <w:pPr>
        <w:spacing w:after="160" w:before="60" w:line="276"/>
        <w:jc w:val="both"/>
      </w:pPr>
      <w:r>
        <w:t xml:space="preserve">The following criteria define system readiness for go-live, expressed at the level appropriate to this SRS. Detailed test cases and UAT scripts are a Developer-stage artefact that follows from, rather than belongs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360"/>
      </w:tblGrid>
      <w:tr>
        <w:trPr>
          <w:cantSplit/>
          <w:tblHeader/>
        </w:trPr>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t>
            </w:r>
          </w:p>
        </w:tc>
        <w:tc>
          <w:tcPr>
            <w:tcW w:type="dxa" w:w="5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Acceptance Criterion</w:t>
            </w:r>
          </w:p>
        </w:tc>
        <w:tc>
          <w:tcPr>
            <w:tcW w:type="dxa" w:w="3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Verifies</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AC-01</w:t>
            </w:r>
          </w:p>
        </w:tc>
        <w:tc>
          <w:tcPr>
            <w:tcW w:type="dxa" w:w="5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Every internal work order created in the system carries a verified link to an existing external work order reference; no internal work order can be created without one</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SR-INFO-02, BR-02</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AC-02</w:t>
            </w:r>
          </w:p>
        </w:tc>
        <w:tc>
          <w:tcPr>
            <w:tcW w:type="dxa" w:w="5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 test user attempting to accept a new tender commitment without a documented capacity evaluation is blocked by the system</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SR-APP (Capacity &amp; Go/No-Go), BR-05</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AC-03</w:t>
            </w:r>
          </w:p>
        </w:tc>
        <w:tc>
          <w:tcPr>
            <w:tcW w:type="dxa" w:w="5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 capacity No-Go override attempted by a non-HOD test account is rejected by the system</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SR-SEC-06, BR-06</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AC-04</w:t>
            </w:r>
          </w:p>
        </w:tc>
        <w:tc>
          <w:tcPr>
            <w:tcW w:type="dxa" w:w="5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KPI achievement figures displayed to a test user match a manual calculation from the same underlying operational data, with no manual entry step</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SR-APP (KPI &amp; OI Tracking), BR-08</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AC-05</w:t>
            </w:r>
          </w:p>
        </w:tc>
        <w:tc>
          <w:tcPr>
            <w:tcW w:type="dxa" w:w="5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An attempt to alter or delete an existing audit log entry, made directly against the database with application credentials, is rejected</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SR-SEC-04, SR-INFO-08</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AC-06</w:t>
            </w:r>
          </w:p>
        </w:tc>
        <w:tc>
          <w:tcPr>
            <w:tcW w:type="dxa" w:w="5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 Chairman Executive Summary report is generated from live system data within the same business day as requested, without manual data reconstruction</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SR-APP (Reporting), BR-10</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AC-07</w:t>
            </w:r>
          </w:p>
        </w:tc>
        <w:tc>
          <w:tcPr>
            <w:tcW w:type="dxa" w:w="5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 test user assigned the Team Member role cannot view work orders, capacity data or KPI data outside their own scope, regardless of URL or API manipulation</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SR-SEC-02, SR-SEC-03</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AC-08</w:t>
            </w:r>
          </w:p>
        </w:tc>
        <w:tc>
          <w:tcPr>
            <w:tcW w:type="dxa" w:w="5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Dashboard utilization figures refresh to reflect a newly logged effort entry within 5 minutes</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SR-TECH-04</w:t>
            </w:r>
          </w:p>
        </w:tc>
      </w:tr>
    </w:tbl>
    <w:p>
      <w:pPr>
        <w:pStyle w:val="Heading1"/>
        <w:pageBreakBefore/>
      </w:pPr>
      <w:r>
        <w:t xml:space="preserve">Appendix A: Requirement Traceability Matrix</w:t>
      </w:r>
    </w:p>
    <w:p>
      <w:pPr>
        <w:spacing w:after="160" w:before="60" w:line="276"/>
        <w:jc w:val="both"/>
      </w:pPr>
      <w:r>
        <w:t xml:space="preserve">This matrix traces every system requirement in this SRS back to its source business requirement in the BRS, and forward to the detailed functional requirement(s) in the PRD. It allows any reviewer to confirm full coverage in both directions: that no business requirement was dropped while descending into system requirements, and that no system requirement was introduced without a business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cantSplit/>
          <w:tblHeader/>
        </w:trPr>
        <w:tc>
          <w:tcPr>
            <w:tcW w:type="dxa" w:w="2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System Requirement</w:t>
            </w:r>
          </w:p>
        </w:tc>
        <w:tc>
          <w:tcPr>
            <w:tcW w:type="dxa" w:w="2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Source (BRS)</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Implements (PRD)</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SR-BUS-01 to SR-BUS-06</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BR-03, BR-04, BR-15, BRL-02, BRL-03, BRL-07</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§6, §7.1</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SR-INFO-01 to SR-INFO-09</w:t>
            </w:r>
          </w:p>
        </w:tc>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BR-02, BR-04, BR-09, BR-11, BR-12, BR-13, BRL-06</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Database Design Spec §3, §6</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SR-APP (Work Order Lifecycle)</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BR-01, BR-02</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§7.1–7.3, §7.9–7.10 (FR-01–13, FR-29–34)</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SR-APP (Tender Registry)</w:t>
            </w:r>
          </w:p>
        </w:tc>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BR-13</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§7.16 (FR-57–61)</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SR-APP (Capacity &amp; Go/No-Go)</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BR-05, BR-06, BR-07</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§7.11 (FR-35–40)</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SR-APP (KPI &amp; OI Tracking)</w:t>
            </w:r>
          </w:p>
        </w:tc>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BR-08</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§7.12 (FR-41–44)</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SR-APP (Skills &amp; Certification)</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BR-11, BR-12</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§7.15 (FR-50–56)</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SR-APP (Admin &amp; Master Data)</w:t>
            </w:r>
          </w:p>
        </w:tc>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BR-04</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§7.14 (FR-47–49)</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SR-APP (Reporting)</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BR-10</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§15</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SR-TECH-01 to SR-TECH-08</w:t>
            </w:r>
          </w:p>
        </w:tc>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BR-15; BRS §9 (Assumptions/Constraints)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System Architecture Design §3, §14–15</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SR-SEC-01 to SR-SEC-09</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BR-06, BR-09, BR-14</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 Architecture Design §4–5, §9, §12</w:t>
            </w:r>
          </w:p>
        </w:tc>
      </w:tr>
    </w:tbl>
    <w:p>
      <w:pPr>
        <w:spacing w:after="200"/>
      </w:pPr>
    </w:p>
    <w:p>
      <w:pPr>
        <w:spacing w:after="160" w:before="60" w:line="276"/>
        <w:jc w:val="both"/>
      </w:pPr>
      <w:r>
        <w:rPr>
          <w:b/>
          <w:bCs/>
        </w:rPr>
        <w:t xml:space="preserve">This System Requirement Specification is submitted for review and sign-off by the Solution Architect, Developer and Management. Approval authorises detailed technical design — PRD, Wireframe Specification, Database Design Specification, System Architecture Design and API Specification — to proceed against these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6"/>
        <w:szCs w:val="16"/>
      </w:rPr>
      <w:t xml:space="preserve">CSI Digital Operating Platform — System Requirement Specification (SRS)</w:t>
    </w:r>
    <w:r>
      <w:rPr>
        <w:color w:val="595959"/>
        <w:sz w:val="16"/>
        <w:szCs w:val="16"/>
      </w:rPr>
      <w:t xml:space="preserve">	10CS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192E" w:sz="6" w:space="4"/>
      </w:pBdr>
      <w:spacing w:after="220" w:before="0"/>
      <w:outlineLvl w:val="0"/>
    </w:pPr>
    <w:rPr>
      <w:rFonts w:ascii="Arial" w:cs="Arial" w:eastAsia="Arial" w:hAnsi="Arial"/>
      <w:b/>
      <w:bCs/>
      <w:color w:val="A6192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7A1322"/>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2026-06-19T05:24:22.809Z</dcterms:created>
  <dcterms:modified xsi:type="dcterms:W3CDTF">2026-06-19T05:24:22.810Z</dcterms:modified>
</cp:coreProperties>
</file>

<file path=docProps/custom.xml><?xml version="1.0" encoding="utf-8"?>
<Properties xmlns="http://schemas.openxmlformats.org/officeDocument/2006/custom-properties" xmlns:vt="http://schemas.openxmlformats.org/officeDocument/2006/docPropsVTypes"/>
</file>