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12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1.445544554455"/>
        <w:gridCol w:w="4324.277227722772"/>
        <w:gridCol w:w="4324.277227722772"/>
        <w:tblGridChange w:id="0">
          <w:tblGrid>
            <w:gridCol w:w="4311.445544554455"/>
            <w:gridCol w:w="4324.277227722772"/>
            <w:gridCol w:w="4324.277227722772"/>
          </w:tblGrid>
        </w:tblGridChange>
      </w:tblGrid>
      <w:tr>
        <w:trPr>
          <w:trHeight w:val="540" w:hRule="atLeast"/>
        </w:trPr>
        <w:tc>
          <w:tcPr>
            <w:gridSpan w:val="3"/>
            <w:tcBorders>
              <w:top w:color="4472c4" w:space="0" w:sz="8" w:val="single"/>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Group Reflection sheet</w:t>
            </w:r>
          </w:p>
        </w:tc>
      </w:tr>
      <w:tr>
        <w:trPr>
          <w:trHeight w:val="980" w:hRule="atLeast"/>
        </w:trPr>
        <w:tc>
          <w:tcPr>
            <w:gridSpan w:val="3"/>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Group name: NORD</w:t>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Date: 08/02/2019</w:t>
            </w:r>
          </w:p>
        </w:tc>
      </w:tr>
      <w:tr>
        <w:trPr>
          <w:trHeight w:val="1100" w:hRule="atLeast"/>
        </w:trPr>
        <w:tc>
          <w:tcPr>
            <w:tcBorders>
              <w:top w:color="000000" w:space="0" w:sz="0" w:val="nil"/>
              <w:left w:color="8eaadb" w:space="0" w:sz="8" w:val="single"/>
              <w:bottom w:color="8eaadb" w:space="0" w:sz="8" w:val="single"/>
              <w:right w:color="8eaadb"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jc w:val="center"/>
              <w:rPr>
                <w:b w:val="1"/>
                <w:sz w:val="24"/>
                <w:szCs w:val="24"/>
              </w:rPr>
            </w:pPr>
            <w:r w:rsidDel="00000000" w:rsidR="00000000" w:rsidRPr="00000000">
              <w:rPr>
                <w:b w:val="1"/>
                <w:sz w:val="24"/>
                <w:szCs w:val="24"/>
                <w:rtl w:val="0"/>
              </w:rPr>
              <w:t xml:space="preserve">What have we ACHIEVED? – evidence of progress, artefacts created</w:t>
            </w:r>
          </w:p>
        </w:tc>
        <w:tc>
          <w:tcPr>
            <w:tcBorders>
              <w:top w:color="000000" w:space="0" w:sz="0" w:val="nil"/>
              <w:left w:color="000000" w:space="0" w:sz="0" w:val="nil"/>
              <w:bottom w:color="8eaadb" w:space="0" w:sz="8" w:val="single"/>
              <w:right w:color="8eaadb"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What have we LEARNED?</w:t>
            </w:r>
          </w:p>
          <w:p w:rsidR="00000000" w:rsidDel="00000000" w:rsidP="00000000" w:rsidRDefault="00000000" w:rsidRPr="00000000" w14:paraId="0000000A">
            <w:pPr>
              <w:spacing w:line="276" w:lineRule="auto"/>
              <w:jc w:val="center"/>
              <w:rPr>
                <w:sz w:val="24"/>
                <w:szCs w:val="24"/>
              </w:rPr>
            </w:pPr>
            <w:r w:rsidDel="00000000" w:rsidR="00000000" w:rsidRPr="00000000">
              <w:rPr>
                <w:sz w:val="24"/>
                <w:szCs w:val="24"/>
                <w:rtl w:val="0"/>
              </w:rPr>
              <w:t xml:space="preserve">What do we need to Learn?</w:t>
            </w:r>
          </w:p>
        </w:tc>
        <w:tc>
          <w:tcPr>
            <w:tcBorders>
              <w:top w:color="000000" w:space="0" w:sz="0" w:val="nil"/>
              <w:left w:color="000000" w:space="0" w:sz="0" w:val="nil"/>
              <w:bottom w:color="8eaadb" w:space="0" w:sz="8" w:val="single"/>
              <w:right w:color="8eaadb"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jc w:val="center"/>
              <w:rPr/>
            </w:pPr>
            <w:r w:rsidDel="00000000" w:rsidR="00000000" w:rsidRPr="00000000">
              <w:rPr>
                <w:rtl w:val="0"/>
              </w:rPr>
              <w:t xml:space="preserve">What do we need to do NEXT?</w:t>
            </w:r>
          </w:p>
          <w:p w:rsidR="00000000" w:rsidDel="00000000" w:rsidP="00000000" w:rsidRDefault="00000000" w:rsidRPr="00000000" w14:paraId="0000000C">
            <w:pPr>
              <w:spacing w:line="276" w:lineRule="auto"/>
              <w:jc w:val="center"/>
              <w:rPr/>
            </w:pPr>
            <w:r w:rsidDel="00000000" w:rsidR="00000000" w:rsidRPr="00000000">
              <w:rPr>
                <w:rtl w:val="0"/>
              </w:rPr>
              <w:t xml:space="preserve">collectively – both students and staff</w:t>
            </w:r>
          </w:p>
        </w:tc>
      </w:tr>
      <w:tr>
        <w:trPr>
          <w:trHeight w:val="540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ind w:left="0" w:firstLine="0"/>
              <w:rPr>
                <w:b w:val="1"/>
                <w:sz w:val="28"/>
                <w:szCs w:val="28"/>
              </w:rPr>
            </w:pPr>
            <w:r w:rsidDel="00000000" w:rsidR="00000000" w:rsidRPr="00000000">
              <w:rPr>
                <w:b w:val="1"/>
                <w:sz w:val="28"/>
                <w:szCs w:val="28"/>
                <w:rtl w:val="0"/>
              </w:rPr>
              <w:t xml:space="preserve">- Planned, designed and presented presentation on the topic of a security vulnerability.</w:t>
            </w:r>
          </w:p>
          <w:p w:rsidR="00000000" w:rsidDel="00000000" w:rsidP="00000000" w:rsidRDefault="00000000" w:rsidRPr="00000000" w14:paraId="0000000E">
            <w:pPr>
              <w:spacing w:line="276" w:lineRule="auto"/>
              <w:rPr>
                <w:b w:val="1"/>
                <w:sz w:val="28"/>
                <w:szCs w:val="28"/>
              </w:rPr>
            </w:pPr>
            <w:r w:rsidDel="00000000" w:rsidR="00000000" w:rsidRPr="00000000">
              <w:rPr>
                <w:rtl w:val="0"/>
              </w:rPr>
            </w:r>
          </w:p>
          <w:p w:rsidR="00000000" w:rsidDel="00000000" w:rsidP="00000000" w:rsidRDefault="00000000" w:rsidRPr="00000000" w14:paraId="0000000F">
            <w:pPr>
              <w:spacing w:line="276" w:lineRule="auto"/>
              <w:ind w:left="0" w:firstLine="0"/>
              <w:rPr>
                <w:b w:val="1"/>
                <w:sz w:val="28"/>
                <w:szCs w:val="28"/>
              </w:rPr>
            </w:pPr>
            <w:r w:rsidDel="00000000" w:rsidR="00000000" w:rsidRPr="00000000">
              <w:rPr>
                <w:b w:val="1"/>
                <w:sz w:val="28"/>
                <w:szCs w:val="28"/>
                <w:rtl w:val="0"/>
              </w:rPr>
              <w:t xml:space="preserve">- Established baseline for subject.</w:t>
            </w:r>
          </w:p>
          <w:p w:rsidR="00000000" w:rsidDel="00000000" w:rsidP="00000000" w:rsidRDefault="00000000" w:rsidRPr="00000000" w14:paraId="00000010">
            <w:pPr>
              <w:spacing w:line="276" w:lineRule="auto"/>
              <w:rPr>
                <w:b w:val="1"/>
                <w:sz w:val="56"/>
                <w:szCs w:val="56"/>
              </w:rPr>
            </w:pP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b w:val="1"/>
                <w:sz w:val="28"/>
                <w:szCs w:val="28"/>
              </w:rPr>
            </w:pPr>
            <w:r w:rsidDel="00000000" w:rsidR="00000000" w:rsidRPr="00000000">
              <w:rPr>
                <w:b w:val="1"/>
                <w:sz w:val="28"/>
                <w:szCs w:val="28"/>
                <w:rtl w:val="0"/>
              </w:rPr>
              <w:t xml:space="preserve">- The function, design and payload of an exploit that we researched.</w:t>
            </w:r>
          </w:p>
          <w:p w:rsidR="00000000" w:rsidDel="00000000" w:rsidP="00000000" w:rsidRDefault="00000000" w:rsidRPr="00000000" w14:paraId="00000012">
            <w:pPr>
              <w:spacing w:line="276" w:lineRule="auto"/>
              <w:rPr>
                <w:b w:val="1"/>
                <w:sz w:val="28"/>
                <w:szCs w:val="28"/>
              </w:rPr>
            </w:pPr>
            <w:r w:rsidDel="00000000" w:rsidR="00000000" w:rsidRPr="00000000">
              <w:rPr>
                <w:rtl w:val="0"/>
              </w:rPr>
            </w:r>
          </w:p>
          <w:p w:rsidR="00000000" w:rsidDel="00000000" w:rsidP="00000000" w:rsidRDefault="00000000" w:rsidRPr="00000000" w14:paraId="00000013">
            <w:pPr>
              <w:spacing w:line="276" w:lineRule="auto"/>
              <w:rPr>
                <w:b w:val="1"/>
                <w:sz w:val="28"/>
                <w:szCs w:val="28"/>
              </w:rPr>
            </w:pPr>
            <w:r w:rsidDel="00000000" w:rsidR="00000000" w:rsidRPr="00000000">
              <w:rPr>
                <w:b w:val="1"/>
                <w:sz w:val="28"/>
                <w:szCs w:val="28"/>
                <w:rtl w:val="0"/>
              </w:rPr>
              <w:t xml:space="preserve">- Beginning knowledge of how to play CTFs, exploit basic web applications (OWASP Juice Shop).</w:t>
            </w:r>
          </w:p>
          <w:p w:rsidR="00000000" w:rsidDel="00000000" w:rsidP="00000000" w:rsidRDefault="00000000" w:rsidRPr="00000000" w14:paraId="00000014">
            <w:pPr>
              <w:spacing w:line="276" w:lineRule="auto"/>
              <w:rPr>
                <w:b w:val="1"/>
                <w:sz w:val="28"/>
                <w:szCs w:val="28"/>
              </w:rPr>
            </w:pPr>
            <w:r w:rsidDel="00000000" w:rsidR="00000000" w:rsidRPr="00000000">
              <w:rPr>
                <w:rtl w:val="0"/>
              </w:rPr>
            </w:r>
          </w:p>
          <w:p w:rsidR="00000000" w:rsidDel="00000000" w:rsidP="00000000" w:rsidRDefault="00000000" w:rsidRPr="00000000" w14:paraId="00000015">
            <w:pPr>
              <w:spacing w:line="276" w:lineRule="auto"/>
              <w:rPr>
                <w:b w:val="1"/>
                <w:sz w:val="36"/>
                <w:szCs w:val="36"/>
              </w:rPr>
            </w:pP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b w:val="1"/>
                <w:sz w:val="28"/>
                <w:szCs w:val="28"/>
              </w:rPr>
            </w:pPr>
            <w:r w:rsidDel="00000000" w:rsidR="00000000" w:rsidRPr="00000000">
              <w:rPr>
                <w:b w:val="1"/>
                <w:sz w:val="28"/>
                <w:szCs w:val="28"/>
                <w:rtl w:val="0"/>
              </w:rPr>
              <w:t xml:space="preserve">-Evaluate and develop plan for project</w:t>
            </w:r>
          </w:p>
          <w:p w:rsidR="00000000" w:rsidDel="00000000" w:rsidP="00000000" w:rsidRDefault="00000000" w:rsidRPr="00000000" w14:paraId="00000017">
            <w:pPr>
              <w:spacing w:line="276" w:lineRule="auto"/>
              <w:rPr>
                <w:b w:val="1"/>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rPr>
                <w:b w:val="1"/>
                <w:sz w:val="28"/>
                <w:szCs w:val="28"/>
              </w:rPr>
            </w:pPr>
            <w:r w:rsidDel="00000000" w:rsidR="00000000" w:rsidRPr="00000000">
              <w:rPr>
                <w:b w:val="1"/>
                <w:sz w:val="28"/>
                <w:szCs w:val="28"/>
                <w:rtl w:val="0"/>
              </w:rPr>
              <w:t xml:space="preserve">- Develop independent study paths to expand our knowledge on Offensive and Defensive security through the use of CTFs, OWASP challenges and textbook readings, such as the OSCP PwK textbook shared on our Teams.</w:t>
            </w:r>
          </w:p>
        </w:tc>
      </w:tr>
    </w:tbl>
    <w:p w:rsidR="00000000" w:rsidDel="00000000" w:rsidP="00000000" w:rsidRDefault="00000000" w:rsidRPr="00000000" w14:paraId="00000019">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