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Group</w:t>
            </w:r>
          </w:p>
        </w:tc>
        <w:tc>
          <w:tcPr>
            <w:tcW w:type="dxa" w:w="2160"/>
          </w:tcPr>
          <w:p>
            <w:r>
              <w:t xml:space="preserve">Day 0 </w:t>
              <w:br/>
              <w:t>mean ± SD</w:t>
            </w:r>
          </w:p>
        </w:tc>
        <w:tc>
          <w:tcPr>
            <w:tcW w:type="dxa" w:w="2160"/>
          </w:tcPr>
          <w:p>
            <w:r>
              <w:t xml:space="preserve">Day 13 </w:t>
              <w:br/>
              <w:t>mean ± SD</w:t>
            </w:r>
          </w:p>
        </w:tc>
        <w:tc>
          <w:tcPr>
            <w:tcW w:type="dxa" w:w="2160"/>
          </w:tcPr>
          <w:p>
            <w:r>
              <w:t>TGI(%)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90.93 ± 15.64</w:t>
            </w:r>
          </w:p>
        </w:tc>
        <w:tc>
          <w:tcPr>
            <w:tcW w:type="dxa" w:w="2160"/>
          </w:tcPr>
          <w:p>
            <w:r>
              <w:t>1906.76 ± 603.96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91.11 ± 14.79</w:t>
            </w:r>
          </w:p>
        </w:tc>
        <w:tc>
          <w:tcPr>
            <w:tcW w:type="dxa" w:w="2160"/>
          </w:tcPr>
          <w:p>
            <w:r>
              <w:t>1839.77 ± 806.54</w:t>
            </w:r>
          </w:p>
        </w:tc>
        <w:tc>
          <w:tcPr>
            <w:tcW w:type="dxa" w:w="2160"/>
          </w:tcPr>
          <w:p>
            <w:r>
              <w:t>3.6992104757218702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90.67 ± 14.29</w:t>
            </w:r>
          </w:p>
        </w:tc>
        <w:tc>
          <w:tcPr>
            <w:tcW w:type="dxa" w:w="2160"/>
          </w:tcPr>
          <w:p>
            <w:r>
              <w:t>998.95 ± 460.96</w:t>
            </w:r>
          </w:p>
        </w:tc>
        <w:tc>
          <w:tcPr>
            <w:tcW w:type="dxa" w:w="2160"/>
          </w:tcPr>
          <w:p>
            <w:r>
              <w:t>49.9796787676407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91.51 ± 14.59</w:t>
            </w:r>
          </w:p>
        </w:tc>
        <w:tc>
          <w:tcPr>
            <w:tcW w:type="dxa" w:w="2160"/>
          </w:tcPr>
          <w:p>
            <w:r>
              <w:t>719.14 ± 194.83</w:t>
            </w:r>
          </w:p>
        </w:tc>
        <w:tc>
          <w:tcPr>
            <w:tcW w:type="dxa" w:w="2160"/>
          </w:tcPr>
          <w:p>
            <w:r>
              <w:t>65.4354336398174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92.06 ± 14.76</w:t>
            </w:r>
          </w:p>
        </w:tc>
        <w:tc>
          <w:tcPr>
            <w:tcW w:type="dxa" w:w="2160"/>
          </w:tcPr>
          <w:p>
            <w:r>
              <w:t>282.73 ± 447.54</w:t>
            </w:r>
          </w:p>
        </w:tc>
        <w:tc>
          <w:tcPr>
            <w:tcW w:type="dxa" w:w="2160"/>
          </w:tcPr>
          <w:p>
            <w:r>
              <w:t>89.49964651645003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