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D0DE0C" w14:textId="77777777" w:rsidR="00A95E04" w:rsidRDefault="00A95E04" w:rsidP="00363E2B">
      <w:pPr>
        <w:rPr>
          <w:b/>
        </w:rPr>
      </w:pPr>
    </w:p>
    <w:p w14:paraId="6A7CF0EC" w14:textId="77777777" w:rsidR="00A95E04" w:rsidRDefault="00A95E04" w:rsidP="00363E2B">
      <w:pPr>
        <w:rPr>
          <w:b/>
        </w:rPr>
      </w:pPr>
    </w:p>
    <w:p w14:paraId="0D9A9E42" w14:textId="77777777" w:rsidR="00A95E04" w:rsidRDefault="00A95E04" w:rsidP="00363E2B">
      <w:pPr>
        <w:rPr>
          <w:b/>
        </w:rPr>
      </w:pPr>
    </w:p>
    <w:p w14:paraId="04AC329A" w14:textId="77777777" w:rsidR="00A95E04" w:rsidRDefault="00A95E04" w:rsidP="00363E2B">
      <w:pPr>
        <w:rPr>
          <w:b/>
        </w:rPr>
      </w:pPr>
    </w:p>
    <w:p w14:paraId="5DE96EC1" w14:textId="77777777" w:rsidR="00A95E04" w:rsidRDefault="00A95E04" w:rsidP="00363E2B">
      <w:pPr>
        <w:rPr>
          <w:b/>
        </w:rPr>
      </w:pPr>
    </w:p>
    <w:p w14:paraId="52ABBF35" w14:textId="77777777" w:rsidR="00A95E04" w:rsidRDefault="00A95E04" w:rsidP="00363E2B">
      <w:pPr>
        <w:rPr>
          <w:b/>
        </w:rPr>
      </w:pPr>
    </w:p>
    <w:p w14:paraId="3D5163C1" w14:textId="77777777" w:rsidR="00A95E04" w:rsidRDefault="00A95E04" w:rsidP="00363E2B">
      <w:pPr>
        <w:rPr>
          <w:b/>
        </w:rPr>
      </w:pPr>
    </w:p>
    <w:p w14:paraId="3442503A" w14:textId="21D32C26" w:rsidR="00363E2B" w:rsidRDefault="00363E2B" w:rsidP="00363E2B">
      <w:pPr>
        <w:rPr>
          <w:b/>
        </w:rPr>
      </w:pPr>
      <w:r w:rsidRPr="00CE0389">
        <w:rPr>
          <w:b/>
        </w:rPr>
        <w:t>COVID-19 ‘</w:t>
      </w:r>
      <w:proofErr w:type="spellStart"/>
      <w:r w:rsidRPr="00CE0389">
        <w:rPr>
          <w:b/>
        </w:rPr>
        <w:t>Infodemic</w:t>
      </w:r>
      <w:proofErr w:type="spellEnd"/>
      <w:r w:rsidRPr="00CE0389">
        <w:rPr>
          <w:b/>
        </w:rPr>
        <w:t>’: The Twitter Response of Four Federal Entities</w:t>
      </w:r>
    </w:p>
    <w:p w14:paraId="62A8A5D3" w14:textId="7AEE716E" w:rsidR="00A95E04" w:rsidRDefault="00A95E04" w:rsidP="00363E2B">
      <w:pPr>
        <w:rPr>
          <w:b/>
        </w:rPr>
      </w:pPr>
    </w:p>
    <w:p w14:paraId="28828ABD" w14:textId="33113F37" w:rsidR="00A95E04" w:rsidRDefault="00A95E04" w:rsidP="00363E2B">
      <w:pPr>
        <w:rPr>
          <w:b/>
        </w:rPr>
      </w:pPr>
    </w:p>
    <w:p w14:paraId="37B2F08E" w14:textId="66C34DAD" w:rsidR="00A95E04" w:rsidRDefault="00A95E04" w:rsidP="00363E2B">
      <w:pPr>
        <w:rPr>
          <w:b/>
        </w:rPr>
      </w:pPr>
    </w:p>
    <w:p w14:paraId="6D87DABC" w14:textId="0FDF45ED" w:rsidR="00A95E04" w:rsidRDefault="00A95E04" w:rsidP="00363E2B">
      <w:pPr>
        <w:rPr>
          <w:b/>
        </w:rPr>
      </w:pPr>
    </w:p>
    <w:p w14:paraId="038A50AB" w14:textId="6C45731B" w:rsidR="00A95E04" w:rsidRDefault="00A95E04" w:rsidP="00363E2B">
      <w:pPr>
        <w:rPr>
          <w:b/>
        </w:rPr>
      </w:pPr>
    </w:p>
    <w:p w14:paraId="3F5DBB7C" w14:textId="09EE5473" w:rsidR="00A95E04" w:rsidRDefault="00A95E04" w:rsidP="00363E2B">
      <w:pPr>
        <w:rPr>
          <w:b/>
        </w:rPr>
      </w:pPr>
    </w:p>
    <w:p w14:paraId="172A6F6F" w14:textId="5201BCE1" w:rsidR="00A95E04" w:rsidRDefault="00A95E04" w:rsidP="00363E2B">
      <w:pPr>
        <w:rPr>
          <w:b/>
        </w:rPr>
      </w:pPr>
    </w:p>
    <w:p w14:paraId="27B7EF7D" w14:textId="566B4987" w:rsidR="00A95E04" w:rsidRDefault="00A95E04" w:rsidP="00363E2B">
      <w:pPr>
        <w:rPr>
          <w:b/>
        </w:rPr>
      </w:pPr>
    </w:p>
    <w:p w14:paraId="6CF0A5F1" w14:textId="671B0FF3" w:rsidR="00A95E04" w:rsidRDefault="00A95E04" w:rsidP="00363E2B">
      <w:pPr>
        <w:rPr>
          <w:b/>
        </w:rPr>
      </w:pPr>
    </w:p>
    <w:p w14:paraId="143FD1CB" w14:textId="6F601D87" w:rsidR="00A95E04" w:rsidRDefault="00A95E04" w:rsidP="00363E2B">
      <w:pPr>
        <w:rPr>
          <w:b/>
        </w:rPr>
      </w:pPr>
    </w:p>
    <w:p w14:paraId="5559BA81" w14:textId="6E54C771" w:rsidR="00A95E04" w:rsidRDefault="00A95E04" w:rsidP="00363E2B">
      <w:pPr>
        <w:rPr>
          <w:b/>
        </w:rPr>
      </w:pPr>
    </w:p>
    <w:p w14:paraId="45743F6C" w14:textId="17B1F85D" w:rsidR="00A95E04" w:rsidRDefault="00A95E04" w:rsidP="00363E2B">
      <w:pPr>
        <w:rPr>
          <w:b/>
        </w:rPr>
      </w:pPr>
    </w:p>
    <w:p w14:paraId="2191D15E" w14:textId="7219C4DC" w:rsidR="00A95E04" w:rsidRDefault="00A95E04" w:rsidP="00363E2B">
      <w:pPr>
        <w:rPr>
          <w:b/>
        </w:rPr>
      </w:pPr>
    </w:p>
    <w:p w14:paraId="61A21139" w14:textId="217BA7BA" w:rsidR="00A95E04" w:rsidRDefault="00A95E04" w:rsidP="00363E2B">
      <w:pPr>
        <w:rPr>
          <w:b/>
        </w:rPr>
      </w:pPr>
    </w:p>
    <w:p w14:paraId="1FDE5341" w14:textId="2F2C9F6F" w:rsidR="00A95E04" w:rsidRDefault="00A95E04" w:rsidP="00363E2B">
      <w:pPr>
        <w:rPr>
          <w:b/>
        </w:rPr>
      </w:pPr>
    </w:p>
    <w:p w14:paraId="5DED2F5A" w14:textId="6F3E7B37" w:rsidR="00A95E04" w:rsidRDefault="00A95E04" w:rsidP="00363E2B">
      <w:pPr>
        <w:rPr>
          <w:b/>
        </w:rPr>
      </w:pPr>
    </w:p>
    <w:p w14:paraId="4B09DFEC" w14:textId="54E02CC9" w:rsidR="00A95E04" w:rsidRDefault="00A95E04" w:rsidP="00363E2B">
      <w:pPr>
        <w:rPr>
          <w:b/>
        </w:rPr>
      </w:pPr>
    </w:p>
    <w:p w14:paraId="372302DF" w14:textId="5531F569" w:rsidR="00A95E04" w:rsidRDefault="00A95E04" w:rsidP="00363E2B">
      <w:pPr>
        <w:rPr>
          <w:b/>
        </w:rPr>
      </w:pPr>
    </w:p>
    <w:p w14:paraId="78A09329" w14:textId="433A79D1" w:rsidR="00A95E04" w:rsidRDefault="00A95E04" w:rsidP="00363E2B">
      <w:pPr>
        <w:rPr>
          <w:b/>
        </w:rPr>
      </w:pPr>
    </w:p>
    <w:p w14:paraId="35600C63" w14:textId="40C7F40D" w:rsidR="00A95E04" w:rsidRDefault="00A95E04" w:rsidP="00363E2B">
      <w:pPr>
        <w:rPr>
          <w:b/>
        </w:rPr>
      </w:pPr>
    </w:p>
    <w:p w14:paraId="51EA7881" w14:textId="2B1DC847" w:rsidR="00A95E04" w:rsidRDefault="00A95E04" w:rsidP="00363E2B">
      <w:pPr>
        <w:rPr>
          <w:b/>
        </w:rPr>
      </w:pPr>
    </w:p>
    <w:p w14:paraId="30991659" w14:textId="7BFB23E7" w:rsidR="00A95E04" w:rsidRDefault="00A95E04" w:rsidP="00363E2B">
      <w:pPr>
        <w:rPr>
          <w:b/>
        </w:rPr>
      </w:pPr>
    </w:p>
    <w:p w14:paraId="6C9D515F" w14:textId="6A479E79" w:rsidR="00A95E04" w:rsidRDefault="00A95E04" w:rsidP="00363E2B">
      <w:pPr>
        <w:rPr>
          <w:b/>
        </w:rPr>
      </w:pPr>
    </w:p>
    <w:p w14:paraId="589776A0" w14:textId="45AEBCD4" w:rsidR="00A95E04" w:rsidRDefault="00A95E04" w:rsidP="00363E2B">
      <w:pPr>
        <w:rPr>
          <w:b/>
        </w:rPr>
      </w:pPr>
    </w:p>
    <w:p w14:paraId="5B8EEFA6" w14:textId="158C9CF5" w:rsidR="00A95E04" w:rsidRDefault="00A95E04" w:rsidP="00363E2B">
      <w:pPr>
        <w:rPr>
          <w:b/>
        </w:rPr>
      </w:pPr>
    </w:p>
    <w:p w14:paraId="4E6E1AD3" w14:textId="7107F6DA" w:rsidR="00A95E04" w:rsidRDefault="00A95E04" w:rsidP="00363E2B">
      <w:pPr>
        <w:rPr>
          <w:b/>
        </w:rPr>
      </w:pPr>
    </w:p>
    <w:p w14:paraId="5996001B" w14:textId="6A8EEFD6" w:rsidR="00A95E04" w:rsidRDefault="00A95E04" w:rsidP="00363E2B">
      <w:pPr>
        <w:rPr>
          <w:b/>
        </w:rPr>
      </w:pPr>
    </w:p>
    <w:p w14:paraId="0893D164" w14:textId="29D4AB57" w:rsidR="00A95E04" w:rsidRDefault="00A95E04" w:rsidP="00363E2B">
      <w:pPr>
        <w:rPr>
          <w:b/>
        </w:rPr>
      </w:pPr>
    </w:p>
    <w:p w14:paraId="5EBE036B" w14:textId="3A95FF68" w:rsidR="00A95E04" w:rsidRDefault="00A95E04" w:rsidP="00363E2B">
      <w:pPr>
        <w:rPr>
          <w:b/>
        </w:rPr>
      </w:pPr>
    </w:p>
    <w:p w14:paraId="277402F6" w14:textId="28A26A77" w:rsidR="00A95E04" w:rsidRDefault="00A95E04" w:rsidP="00363E2B">
      <w:pPr>
        <w:rPr>
          <w:b/>
        </w:rPr>
      </w:pPr>
    </w:p>
    <w:p w14:paraId="79DB1B90" w14:textId="65BD5653" w:rsidR="00A95E04" w:rsidRDefault="00A95E04" w:rsidP="00363E2B">
      <w:pPr>
        <w:rPr>
          <w:b/>
        </w:rPr>
      </w:pPr>
    </w:p>
    <w:p w14:paraId="2BA5A776" w14:textId="0D1636A2" w:rsidR="00A95E04" w:rsidRDefault="00A95E04" w:rsidP="00363E2B">
      <w:pPr>
        <w:rPr>
          <w:b/>
        </w:rPr>
      </w:pPr>
    </w:p>
    <w:p w14:paraId="283A9362" w14:textId="77777777" w:rsidR="00A95E04" w:rsidRDefault="00A95E04" w:rsidP="00363E2B">
      <w:pPr>
        <w:rPr>
          <w:b/>
        </w:rPr>
      </w:pPr>
    </w:p>
    <w:p w14:paraId="76142B4A" w14:textId="766CB48F" w:rsidR="00363E2B" w:rsidRDefault="00363E2B" w:rsidP="00363E2B">
      <w:pPr>
        <w:rPr>
          <w:b/>
        </w:rPr>
      </w:pPr>
    </w:p>
    <w:p w14:paraId="4357BCCC" w14:textId="17F2B8DA" w:rsidR="00A95E04" w:rsidRDefault="00A95E04" w:rsidP="00363E2B">
      <w:pPr>
        <w:rPr>
          <w:b/>
        </w:rPr>
      </w:pPr>
    </w:p>
    <w:p w14:paraId="55AA3565" w14:textId="7DCF585A" w:rsidR="00A95E04" w:rsidRDefault="00A95E04" w:rsidP="00363E2B">
      <w:pPr>
        <w:rPr>
          <w:b/>
        </w:rPr>
      </w:pPr>
    </w:p>
    <w:p w14:paraId="167D6DC8" w14:textId="64E95983" w:rsidR="00A95E04" w:rsidRDefault="00A95E04" w:rsidP="00363E2B">
      <w:pPr>
        <w:rPr>
          <w:b/>
        </w:rPr>
      </w:pPr>
    </w:p>
    <w:p w14:paraId="671BD7D8" w14:textId="77777777" w:rsidR="00A95E04" w:rsidRPr="00363E2B" w:rsidRDefault="00A95E04" w:rsidP="00363E2B">
      <w:pPr>
        <w:rPr>
          <w:b/>
        </w:rPr>
      </w:pPr>
    </w:p>
    <w:p w14:paraId="60D376C7" w14:textId="460E2562" w:rsidR="00EF0DC4" w:rsidRPr="004C3F83" w:rsidRDefault="00EF0DC4" w:rsidP="00E70159">
      <w:pPr>
        <w:spacing w:line="480" w:lineRule="auto"/>
        <w:rPr>
          <w:b/>
        </w:rPr>
      </w:pPr>
      <w:r w:rsidRPr="004C3F83">
        <w:rPr>
          <w:b/>
        </w:rPr>
        <w:lastRenderedPageBreak/>
        <w:t>Abstract</w:t>
      </w:r>
    </w:p>
    <w:p w14:paraId="487195B6" w14:textId="3C055BFA" w:rsidR="00A95E04" w:rsidRPr="004C3F83" w:rsidRDefault="00A95E04" w:rsidP="00FD2C69">
      <w:pPr>
        <w:spacing w:line="480" w:lineRule="auto"/>
        <w:rPr>
          <w:vertAlign w:val="superscript"/>
        </w:rPr>
      </w:pPr>
      <w:r>
        <w:t xml:space="preserve">Risk communication during a public health emergency </w:t>
      </w:r>
      <w:r w:rsidR="00887A27">
        <w:t>is</w:t>
      </w:r>
      <w:r>
        <w:t xml:space="preserve"> vital to providing trusted, timely information to individuals who may be at imminent risk from a health threat</w:t>
      </w:r>
      <w:r w:rsidR="00A33D68">
        <w:t>,</w:t>
      </w:r>
      <w:r>
        <w:t xml:space="preserve"> such as COVID-19</w:t>
      </w:r>
      <w:r w:rsidR="004C3F83">
        <w:t xml:space="preserve">.  </w:t>
      </w:r>
      <w:r>
        <w:t xml:space="preserve"> </w:t>
      </w:r>
      <w:r w:rsidR="004C3F83">
        <w:t xml:space="preserve">Twitter became a platform for COVID-19 </w:t>
      </w:r>
      <w:r w:rsidR="00A33D68">
        <w:t>i</w:t>
      </w:r>
      <w:r w:rsidR="004C3F83">
        <w:t>nformation-sharing with the public, specifically from government agencies directly involved in prevention and mitigation efforts. The goal of this research was to compare and categorize these tweets that detail the U.S. response to the COVID-19 pandemic and demonstrate the type of messaging provided to the public during this “</w:t>
      </w:r>
      <w:proofErr w:type="spellStart"/>
      <w:r w:rsidR="004C3F83">
        <w:t>infodemic</w:t>
      </w:r>
      <w:proofErr w:type="spellEnd"/>
      <w:r w:rsidR="004C3F83">
        <w:t>.”</w:t>
      </w:r>
      <w:r w:rsidR="004C3F83">
        <w:rPr>
          <w:vertAlign w:val="superscript"/>
        </w:rPr>
        <w:t xml:space="preserve"> </w:t>
      </w:r>
      <w:r w:rsidR="004C3F83">
        <w:t xml:space="preserve"> </w:t>
      </w:r>
      <w:r w:rsidR="00E70159">
        <w:t xml:space="preserve">Tweets were curated from the official Twitter accounts of the </w:t>
      </w:r>
      <w:r w:rsidR="00B453E8">
        <w:t>Centers for Disease Control and Prevention</w:t>
      </w:r>
      <w:r w:rsidR="00E70159">
        <w:t xml:space="preserve">, </w:t>
      </w:r>
      <w:r w:rsidR="00B453E8">
        <w:t>Department of Health and Human Services</w:t>
      </w:r>
      <w:r w:rsidR="00E70159">
        <w:t>, U.S. Surgeon General</w:t>
      </w:r>
      <w:r w:rsidR="000F3965">
        <w:t>,</w:t>
      </w:r>
      <w:r w:rsidR="00E70159">
        <w:t xml:space="preserve"> and the White House between March 18-April 3. A total of 148 tweets related to social distancing, hygiene, and face masks were individually dual-coded for key messaging features and frames. The tone of most tweets was either strictly informative (n=72) or argumentative (n=61).  Most tweets had a gain frame (n=90), but </w:t>
      </w:r>
      <w:r w:rsidR="00B453E8">
        <w:t>many utilized</w:t>
      </w:r>
      <w:r w:rsidR="00E70159">
        <w:t xml:space="preserve"> a loss frame (n=26)</w:t>
      </w:r>
      <w:r w:rsidR="00B453E8">
        <w:t>,</w:t>
      </w:r>
      <w:r w:rsidR="00E70159">
        <w:t xml:space="preserve"> and some that had both gain and loss frames within the same tweet (n=15).  The most common emotional appeals were empathy (n=23), hope (n=19), guilt (n=15), gratitude (n=10), fear (n=6) and pride (n=4).</w:t>
      </w:r>
      <w:r w:rsidR="004C3F83">
        <w:rPr>
          <w:vertAlign w:val="superscript"/>
        </w:rPr>
        <w:t xml:space="preserve"> </w:t>
      </w:r>
      <w:r w:rsidR="00E70159">
        <w:t xml:space="preserve">The responses from each </w:t>
      </w:r>
      <w:r w:rsidR="000F3965">
        <w:t>entity</w:t>
      </w:r>
      <w:r w:rsidR="00E70159">
        <w:t xml:space="preserve"> were not consistent nor coordinated. Different messaging styles and framing, different utilization of hashtags and tagging, and at times contradictory messaging occurred during this period.</w:t>
      </w:r>
    </w:p>
    <w:p w14:paraId="54D2C592" w14:textId="08948011" w:rsidR="00A95E04" w:rsidRDefault="00EF0DC4" w:rsidP="00FD2C69">
      <w:pPr>
        <w:spacing w:line="480" w:lineRule="auto"/>
      </w:pPr>
      <w:r w:rsidRPr="004C3F83">
        <w:rPr>
          <w:b/>
        </w:rPr>
        <w:t>Keywords</w:t>
      </w:r>
      <w:r>
        <w:t xml:space="preserve">: social media, </w:t>
      </w:r>
      <w:proofErr w:type="spellStart"/>
      <w:r>
        <w:t>mhealth</w:t>
      </w:r>
      <w:proofErr w:type="spellEnd"/>
      <w:r>
        <w:t>, COVID-19</w:t>
      </w:r>
      <w:r w:rsidR="004C3F83">
        <w:t>, health education</w:t>
      </w:r>
    </w:p>
    <w:p w14:paraId="50B16D40" w14:textId="4481FF6A" w:rsidR="00A95E04" w:rsidRDefault="00A95E04" w:rsidP="00FD2C69">
      <w:pPr>
        <w:spacing w:line="480" w:lineRule="auto"/>
      </w:pPr>
      <w:r w:rsidRPr="004C3F83">
        <w:rPr>
          <w:b/>
        </w:rPr>
        <w:t>Impact statement</w:t>
      </w:r>
      <w:r w:rsidR="004C3F83">
        <w:t xml:space="preserve">: </w:t>
      </w:r>
      <w:r w:rsidR="00A33D68">
        <w:t>H</w:t>
      </w:r>
      <w:r w:rsidR="004C3F83">
        <w:t xml:space="preserve">ealth communication, in particular its effects on key audience segments, is imperative to best promoting health and saving lives during this current public health emergency.  The four </w:t>
      </w:r>
      <w:r w:rsidR="00A33D68">
        <w:t xml:space="preserve">entities </w:t>
      </w:r>
      <w:r w:rsidR="004C3F83">
        <w:t xml:space="preserve">highlighted may benefit from reviewing guidance on risk and crisis communication from previous public health emergencies and engage communication </w:t>
      </w:r>
      <w:r w:rsidR="004C3F83">
        <w:lastRenderedPageBreak/>
        <w:t xml:space="preserve">professionals in the construction of appropriate Twitter content so that lessons learned can inform a consistent and coordinated response moving forward.  </w:t>
      </w:r>
    </w:p>
    <w:p w14:paraId="20D95C6B" w14:textId="77777777" w:rsidR="00A95E04" w:rsidRDefault="00A95E04" w:rsidP="00FD2C69">
      <w:pPr>
        <w:spacing w:line="480" w:lineRule="auto"/>
      </w:pPr>
    </w:p>
    <w:p w14:paraId="6FD55767" w14:textId="34391845" w:rsidR="00B453E8" w:rsidRPr="00A95E04" w:rsidRDefault="00A95E04" w:rsidP="00FD2C69">
      <w:pPr>
        <w:spacing w:line="480" w:lineRule="auto"/>
        <w:rPr>
          <w:b/>
        </w:rPr>
      </w:pPr>
      <w:r w:rsidRPr="00A95E04">
        <w:rPr>
          <w:b/>
        </w:rPr>
        <w:t>Introduction</w:t>
      </w:r>
    </w:p>
    <w:p w14:paraId="480C2E68" w14:textId="3595D01B" w:rsidR="00B54156" w:rsidRDefault="0006659E" w:rsidP="0013556A">
      <w:pPr>
        <w:spacing w:line="480" w:lineRule="auto"/>
        <w:ind w:firstLine="720"/>
      </w:pPr>
      <w:r>
        <w:t>On January 21, Washington state declared its first official case of the novel coronavirus (</w:t>
      </w:r>
      <w:r w:rsidR="006337BD">
        <w:t>SARS-CoV2)</w:t>
      </w:r>
      <w:r>
        <w:t>, thus starting a series of governmental and public health efforts to understand, trace, and mitigate a U.S.</w:t>
      </w:r>
      <w:r w:rsidR="006B1053">
        <w:t>-</w:t>
      </w:r>
      <w:r>
        <w:t xml:space="preserve">based COVID-19 outbreak that was already </w:t>
      </w:r>
      <w:r w:rsidR="009C45E1">
        <w:t>circulating</w:t>
      </w:r>
      <w:r>
        <w:t xml:space="preserve"> the world</w:t>
      </w:r>
      <w:r w:rsidR="003D0733">
        <w:t xml:space="preserve"> </w:t>
      </w:r>
      <w:r w:rsidR="00A33D75">
        <w:t>(Chalfant &amp; Samuels, 2020; Taylor, 2020)</w:t>
      </w:r>
      <w:r>
        <w:t xml:space="preserve">.  </w:t>
      </w:r>
      <w:r w:rsidR="006A6003">
        <w:t xml:space="preserve">Shortly thereafter, </w:t>
      </w:r>
      <w:r w:rsidR="00B73352">
        <w:t xml:space="preserve">President </w:t>
      </w:r>
      <w:r w:rsidR="00E70159">
        <w:t xml:space="preserve">Donald </w:t>
      </w:r>
      <w:r w:rsidR="00B73352">
        <w:t>Trump direct</w:t>
      </w:r>
      <w:r w:rsidR="006A6003">
        <w:t>ed</w:t>
      </w:r>
      <w:r w:rsidR="00B73352">
        <w:t xml:space="preserve"> Vice President </w:t>
      </w:r>
      <w:r w:rsidR="00E70159">
        <w:t xml:space="preserve">Mike </w:t>
      </w:r>
      <w:r w:rsidR="00B73352">
        <w:t>Pence to form a Coronavirus Response Task Force</w:t>
      </w:r>
      <w:r w:rsidR="00B645B4">
        <w:t>.</w:t>
      </w:r>
      <w:r w:rsidR="00B73352">
        <w:t xml:space="preserve"> </w:t>
      </w:r>
      <w:r w:rsidR="00B645B4">
        <w:t>S</w:t>
      </w:r>
      <w:r w:rsidR="006A6003">
        <w:t xml:space="preserve">everal prominent </w:t>
      </w:r>
      <w:r w:rsidR="00B645B4">
        <w:t>individuals</w:t>
      </w:r>
      <w:r w:rsidR="006A6003">
        <w:t xml:space="preserve">, including </w:t>
      </w:r>
      <w:r w:rsidR="00B73352">
        <w:t xml:space="preserve">Dr. </w:t>
      </w:r>
      <w:r w:rsidR="00E70159">
        <w:t xml:space="preserve">Deborah </w:t>
      </w:r>
      <w:proofErr w:type="spellStart"/>
      <w:r w:rsidR="00B73352">
        <w:t>Birx</w:t>
      </w:r>
      <w:proofErr w:type="spellEnd"/>
      <w:r w:rsidR="00B73352">
        <w:t xml:space="preserve"> </w:t>
      </w:r>
      <w:r w:rsidR="006A6003">
        <w:t>as Response C</w:t>
      </w:r>
      <w:r w:rsidR="00B73352">
        <w:t>oordinator</w:t>
      </w:r>
      <w:r w:rsidR="006A6003">
        <w:t xml:space="preserve">, </w:t>
      </w:r>
      <w:r w:rsidR="00B73352">
        <w:t xml:space="preserve">Dr. </w:t>
      </w:r>
      <w:r w:rsidR="00E70159">
        <w:t xml:space="preserve">Anthony </w:t>
      </w:r>
      <w:proofErr w:type="spellStart"/>
      <w:r w:rsidR="00B73352">
        <w:t>Fauci</w:t>
      </w:r>
      <w:proofErr w:type="spellEnd"/>
      <w:r w:rsidR="00B73352">
        <w:t xml:space="preserve"> from </w:t>
      </w:r>
      <w:r w:rsidR="009C45E1">
        <w:t>the National Institute of Allergy and Infectious Diseases</w:t>
      </w:r>
      <w:r w:rsidR="006A6003">
        <w:t xml:space="preserve">, Secretary of </w:t>
      </w:r>
      <w:r w:rsidR="009C45E1">
        <w:t>Health and Human Services</w:t>
      </w:r>
      <w:r w:rsidR="006337BD">
        <w:t xml:space="preserve"> (HHS)</w:t>
      </w:r>
      <w:r w:rsidR="006A6003">
        <w:t xml:space="preserve"> </w:t>
      </w:r>
      <w:r w:rsidR="006337BD">
        <w:t xml:space="preserve">Alex </w:t>
      </w:r>
      <w:r w:rsidR="006A6003">
        <w:t xml:space="preserve">Azar, Dr. </w:t>
      </w:r>
      <w:r w:rsidR="006337BD">
        <w:t xml:space="preserve">Robert </w:t>
      </w:r>
      <w:r w:rsidR="006A6003">
        <w:t xml:space="preserve">Redfield from </w:t>
      </w:r>
      <w:r w:rsidR="009C45E1">
        <w:t>the Center for Disease Control and Prevention</w:t>
      </w:r>
      <w:r w:rsidR="00B54156">
        <w:t xml:space="preserve"> (CDC)</w:t>
      </w:r>
      <w:r w:rsidR="006A6003">
        <w:t xml:space="preserve">, </w:t>
      </w:r>
      <w:r w:rsidR="000F316A">
        <w:t xml:space="preserve">and </w:t>
      </w:r>
      <w:r w:rsidR="006A6003">
        <w:t xml:space="preserve">Surgeon General Dr. </w:t>
      </w:r>
      <w:r w:rsidR="006337BD">
        <w:t xml:space="preserve">Jerome </w:t>
      </w:r>
      <w:r w:rsidR="006A6003">
        <w:t>Adams</w:t>
      </w:r>
      <w:r w:rsidR="000F316A">
        <w:t>,</w:t>
      </w:r>
      <w:r w:rsidR="00B73352">
        <w:t xml:space="preserve"> </w:t>
      </w:r>
      <w:r w:rsidR="000F316A">
        <w:t>created</w:t>
      </w:r>
      <w:r w:rsidR="00B73352">
        <w:t xml:space="preserve"> guidelines </w:t>
      </w:r>
      <w:r w:rsidR="009C45E1">
        <w:t>for</w:t>
      </w:r>
      <w:r w:rsidR="00B73352">
        <w:t xml:space="preserve"> </w:t>
      </w:r>
      <w:r w:rsidR="00243369">
        <w:t>Americans</w:t>
      </w:r>
      <w:r w:rsidR="00B73352">
        <w:t xml:space="preserve"> </w:t>
      </w:r>
      <w:r w:rsidR="00DA26C3">
        <w:t xml:space="preserve">to follow </w:t>
      </w:r>
      <w:r w:rsidR="00B73352">
        <w:t>during the outbreak</w:t>
      </w:r>
      <w:r w:rsidR="00B645B4">
        <w:t xml:space="preserve"> as part of this Task Force</w:t>
      </w:r>
      <w:r w:rsidR="00A33D75">
        <w:t xml:space="preserve"> (White House, 2020a)</w:t>
      </w:r>
      <w:r w:rsidR="00B73352">
        <w:t xml:space="preserve">.  </w:t>
      </w:r>
      <w:r w:rsidR="000F316A">
        <w:t xml:space="preserve">These guidelines were </w:t>
      </w:r>
      <w:r w:rsidR="00B03A62">
        <w:t xml:space="preserve">widely </w:t>
      </w:r>
      <w:r w:rsidR="000F316A">
        <w:t>shared with the American people via social media and news outlet</w:t>
      </w:r>
      <w:r w:rsidR="00B54156">
        <w:t xml:space="preserve">s, including the individual and </w:t>
      </w:r>
      <w:r w:rsidR="00D40F76">
        <w:t>organizational</w:t>
      </w:r>
      <w:r w:rsidR="00B54156">
        <w:t xml:space="preserve"> Twitter accounts of </w:t>
      </w:r>
      <w:r w:rsidR="00243369">
        <w:t xml:space="preserve">the Task Force </w:t>
      </w:r>
      <w:r w:rsidR="00B54156">
        <w:t>individuals listed above</w:t>
      </w:r>
      <w:r w:rsidR="000F316A">
        <w:t>.</w:t>
      </w:r>
    </w:p>
    <w:p w14:paraId="165D2DCA" w14:textId="3057DBBE" w:rsidR="009D035D" w:rsidRDefault="006A6003" w:rsidP="0013556A">
      <w:pPr>
        <w:spacing w:line="480" w:lineRule="auto"/>
        <w:ind w:firstLine="720"/>
      </w:pPr>
      <w:r>
        <w:t>On March 11</w:t>
      </w:r>
      <w:r w:rsidR="00CF2A64">
        <w:t>,</w:t>
      </w:r>
      <w:r>
        <w:t xml:space="preserve"> 2020, COVID-19 was officially declared a pandemic by the World Health Organization</w:t>
      </w:r>
      <w:r w:rsidR="00B03A62">
        <w:t xml:space="preserve"> (WHO)</w:t>
      </w:r>
      <w:r w:rsidR="00A33D75">
        <w:t xml:space="preserve"> (WHO, 2020a)</w:t>
      </w:r>
      <w:r>
        <w:t xml:space="preserve">. </w:t>
      </w:r>
      <w:r w:rsidR="00B03A62">
        <w:t xml:space="preserve"> </w:t>
      </w:r>
      <w:r w:rsidR="00B54156">
        <w:t>Two days later</w:t>
      </w:r>
      <w:r w:rsidR="00B73352">
        <w:t xml:space="preserve"> a national emergency was declared</w:t>
      </w:r>
      <w:r w:rsidR="00A33D75">
        <w:rPr>
          <w:vertAlign w:val="superscript"/>
        </w:rPr>
        <w:t xml:space="preserve"> </w:t>
      </w:r>
      <w:r w:rsidR="00A33D75">
        <w:t>(Trump, 2020)</w:t>
      </w:r>
      <w:r w:rsidR="009C45E1">
        <w:t>,</w:t>
      </w:r>
      <w:r w:rsidR="00B73352">
        <w:t xml:space="preserve"> and by March 15 the CDC was issuing guidance to </w:t>
      </w:r>
      <w:r w:rsidR="00B03A62">
        <w:t xml:space="preserve">limit </w:t>
      </w:r>
      <w:r w:rsidR="00B73352">
        <w:t xml:space="preserve">gatherings to 50 </w:t>
      </w:r>
      <w:r w:rsidR="00B03A62">
        <w:t xml:space="preserve">people </w:t>
      </w:r>
      <w:r w:rsidR="00B73352">
        <w:t xml:space="preserve">or </w:t>
      </w:r>
      <w:r w:rsidR="00B03A62">
        <w:t>fewer</w:t>
      </w:r>
      <w:r w:rsidR="00A33D75">
        <w:t xml:space="preserve"> (CDC, 2020)</w:t>
      </w:r>
      <w:r w:rsidR="00B54156">
        <w:t>.</w:t>
      </w:r>
      <w:r w:rsidR="00B73352">
        <w:t xml:space="preserve">  Just a day later on March 16, the White House and its Task Force issue</w:t>
      </w:r>
      <w:r w:rsidR="00CF2A64">
        <w:t>d</w:t>
      </w:r>
      <w:r w:rsidR="00B73352">
        <w:t xml:space="preserve"> its first set of guidelines restricting gatherings to 10 or </w:t>
      </w:r>
      <w:r w:rsidR="00B03A62">
        <w:t xml:space="preserve">fewer </w:t>
      </w:r>
      <w:r w:rsidR="00B73352">
        <w:t>and encouraging less congregating outside the home</w:t>
      </w:r>
      <w:r w:rsidR="00A33D75">
        <w:t xml:space="preserve"> (White House, 2020b)</w:t>
      </w:r>
      <w:r w:rsidR="00B73352">
        <w:t>.</w:t>
      </w:r>
    </w:p>
    <w:p w14:paraId="0FB26857" w14:textId="0A0A16CE" w:rsidR="00243369" w:rsidRDefault="009D035D" w:rsidP="006A6003">
      <w:pPr>
        <w:spacing w:line="480" w:lineRule="auto"/>
        <w:ind w:firstLine="720"/>
      </w:pPr>
      <w:r>
        <w:lastRenderedPageBreak/>
        <w:t xml:space="preserve">As these events </w:t>
      </w:r>
      <w:r w:rsidR="00243369">
        <w:t>quickly unfolded</w:t>
      </w:r>
      <w:r>
        <w:t xml:space="preserve">, Americans </w:t>
      </w:r>
      <w:r w:rsidR="00B03A62">
        <w:t>turned</w:t>
      </w:r>
      <w:r w:rsidR="000078DA">
        <w:t xml:space="preserve"> to social media for news coverage and updates in a rapidly changing context</w:t>
      </w:r>
      <w:r w:rsidR="00A33D75">
        <w:t xml:space="preserve"> (Iwai, 2020)</w:t>
      </w:r>
      <w:r w:rsidR="000078DA">
        <w:t>, in what the WHO termed an “</w:t>
      </w:r>
      <w:proofErr w:type="spellStart"/>
      <w:r w:rsidR="000078DA">
        <w:t>infodemic</w:t>
      </w:r>
      <w:proofErr w:type="spellEnd"/>
      <w:r w:rsidR="000078DA">
        <w:t>”</w:t>
      </w:r>
      <w:r w:rsidR="00A33D75">
        <w:t xml:space="preserve"> (WHO, 2020b)</w:t>
      </w:r>
      <w:r w:rsidR="004F4F7B">
        <w:t xml:space="preserve">.  </w:t>
      </w:r>
      <w:r w:rsidR="00FC3D3B">
        <w:t>Risk and crisis communication during a public health emergency are vital to providing trusted, timely information to individuals who may be at imminent risk from a health threat such as COVID-19</w:t>
      </w:r>
      <w:r w:rsidR="00A33D75">
        <w:t xml:space="preserve"> (WHO, 2020c)</w:t>
      </w:r>
      <w:r w:rsidR="00FC3D3B">
        <w:t>.  Key recommendations from the WHO related to risk communication specific to public health emergencies (</w:t>
      </w:r>
      <w:r w:rsidR="00243369">
        <w:t xml:space="preserve">such as </w:t>
      </w:r>
      <w:r w:rsidR="00FC3D3B">
        <w:t xml:space="preserve">COVID-19) include generating trust with the community by accurately communicating uncertainty and </w:t>
      </w:r>
      <w:r w:rsidR="00243369">
        <w:t>demonstrating transparency</w:t>
      </w:r>
      <w:r w:rsidR="00FC3D3B">
        <w:t xml:space="preserve"> </w:t>
      </w:r>
      <w:r w:rsidR="00243369">
        <w:t>of</w:t>
      </w:r>
      <w:r w:rsidR="00FC3D3B">
        <w:t xml:space="preserve"> related risks</w:t>
      </w:r>
      <w:r w:rsidR="00243369">
        <w:t>, all</w:t>
      </w:r>
      <w:r w:rsidR="00FC3D3B">
        <w:t xml:space="preserve"> while engaging the community in a meaningful way</w:t>
      </w:r>
      <w:r w:rsidR="00A33D75">
        <w:t xml:space="preserve"> (WHO, 2020c)</w:t>
      </w:r>
      <w:r w:rsidR="00FC3D3B">
        <w:t>.  Social media is one</w:t>
      </w:r>
      <w:r w:rsidR="00B03A62">
        <w:t xml:space="preserve"> of</w:t>
      </w:r>
      <w:r w:rsidR="00FC3D3B">
        <w:t xml:space="preserve"> many communication channels</w:t>
      </w:r>
      <w:r w:rsidR="00B03A62">
        <w:t xml:space="preserve"> </w:t>
      </w:r>
      <w:r w:rsidR="00FC3D3B">
        <w:t>that should be integrated into a</w:t>
      </w:r>
      <w:r w:rsidR="005B4DE8">
        <w:t>n</w:t>
      </w:r>
      <w:r w:rsidR="00FC3D3B">
        <w:t xml:space="preserve"> emergency response plan in advance</w:t>
      </w:r>
      <w:r w:rsidR="006337BD">
        <w:t xml:space="preserve"> of and </w:t>
      </w:r>
      <w:r w:rsidR="00CF2A64">
        <w:t>throughout</w:t>
      </w:r>
      <w:r w:rsidR="00FC3D3B">
        <w:t xml:space="preserve"> the emergency</w:t>
      </w:r>
      <w:r w:rsidR="00B645B4">
        <w:t>,</w:t>
      </w:r>
      <w:r w:rsidR="00FC3D3B">
        <w:t xml:space="preserve"> </w:t>
      </w:r>
      <w:r w:rsidR="00B03A62">
        <w:t xml:space="preserve">punctuated by </w:t>
      </w:r>
      <w:r w:rsidR="00243369">
        <w:t>clear</w:t>
      </w:r>
      <w:r w:rsidR="00CF2A64">
        <w:t>, c</w:t>
      </w:r>
      <w:r w:rsidR="00FC3D3B">
        <w:t>onsistent</w:t>
      </w:r>
      <w:r w:rsidR="00CF2A64">
        <w:t xml:space="preserve"> and</w:t>
      </w:r>
      <w:r w:rsidR="00FC3D3B">
        <w:t xml:space="preserve"> </w:t>
      </w:r>
      <w:r w:rsidR="00243369">
        <w:t xml:space="preserve">actionable </w:t>
      </w:r>
      <w:r w:rsidR="00FC3D3B">
        <w:t>messaging</w:t>
      </w:r>
      <w:r w:rsidR="00A33D75">
        <w:t xml:space="preserve"> (WHO, 2020c)</w:t>
      </w:r>
      <w:r w:rsidR="00FC3D3B">
        <w:t>.</w:t>
      </w:r>
    </w:p>
    <w:p w14:paraId="68EE55CE" w14:textId="4A30529C" w:rsidR="00B73352" w:rsidRPr="00A33D68" w:rsidRDefault="004F4F7B" w:rsidP="00A33D68">
      <w:pPr>
        <w:spacing w:line="480" w:lineRule="auto"/>
        <w:ind w:firstLine="720"/>
        <w:rPr>
          <w:vertAlign w:val="superscript"/>
        </w:rPr>
      </w:pPr>
      <w:r>
        <w:t xml:space="preserve">The Pew Research Center reports that </w:t>
      </w:r>
      <w:r w:rsidR="00CF2A64">
        <w:t xml:space="preserve">during </w:t>
      </w:r>
      <w:r w:rsidR="006A6003">
        <w:t>a period of 10 days</w:t>
      </w:r>
      <w:r>
        <w:t xml:space="preserve"> from mid-to-late March</w:t>
      </w:r>
      <w:r w:rsidR="00B03A62">
        <w:t>,</w:t>
      </w:r>
      <w:r>
        <w:t xml:space="preserve"> members of Congress, collectively, were using more than half of their Twitter platform to discuss COVID-19</w:t>
      </w:r>
      <w:r w:rsidR="00A33D75">
        <w:t xml:space="preserve"> (Hughes et al., 2020)</w:t>
      </w:r>
      <w:r>
        <w:t xml:space="preserve">.  In the two months between January and March 2020, </w:t>
      </w:r>
      <w:r w:rsidR="00CF2A64">
        <w:t xml:space="preserve">a total of </w:t>
      </w:r>
      <w:r>
        <w:t>27,000 Congressional tweets were related to COVID-19 specifically</w:t>
      </w:r>
      <w:r w:rsidR="00A33D75">
        <w:t xml:space="preserve"> (Hughes et al., 2020)</w:t>
      </w:r>
      <w:r w:rsidR="004D505E">
        <w:t>.</w:t>
      </w:r>
      <w:r w:rsidR="00243369">
        <w:rPr>
          <w:vertAlign w:val="superscript"/>
        </w:rPr>
        <w:t xml:space="preserve"> </w:t>
      </w:r>
      <w:r w:rsidR="00B03A62">
        <w:rPr>
          <w:vertAlign w:val="superscript"/>
        </w:rPr>
        <w:t xml:space="preserve"> </w:t>
      </w:r>
      <w:r>
        <w:t>Twitter became a platform for discussing COVID-19 and information-sharing with the public, specifically from government agencies directly involved in the prevention and mitigation efforts</w:t>
      </w:r>
      <w:r w:rsidR="00B645B4">
        <w:t>.</w:t>
      </w:r>
      <w:r>
        <w:t xml:space="preserve"> The authors decided to follow the Twitter accounts of four federal organization</w:t>
      </w:r>
      <w:r w:rsidR="00243369">
        <w:t xml:space="preserve">s </w:t>
      </w:r>
      <w:r w:rsidR="006337BD">
        <w:t xml:space="preserve">actively </w:t>
      </w:r>
      <w:r w:rsidR="00F85E09">
        <w:t xml:space="preserve">involved in the COVID-19 response </w:t>
      </w:r>
      <w:r>
        <w:t xml:space="preserve">and to systematically code </w:t>
      </w:r>
      <w:r w:rsidR="0095756B">
        <w:t xml:space="preserve">the content of each </w:t>
      </w:r>
      <w:r w:rsidR="00E70159">
        <w:t>t</w:t>
      </w:r>
      <w:r w:rsidR="0095756B">
        <w:t xml:space="preserve">weet during a critical period from mid-March to early-April to elucidate themes and messaging features.  The goal of this research was to compare and </w:t>
      </w:r>
      <w:r w:rsidR="00817534">
        <w:t xml:space="preserve">categorize </w:t>
      </w:r>
      <w:r w:rsidR="00B645B4">
        <w:t xml:space="preserve">these </w:t>
      </w:r>
      <w:r w:rsidR="00E70159">
        <w:t>t</w:t>
      </w:r>
      <w:r w:rsidR="00817534">
        <w:t xml:space="preserve">weets that detail the U.S. response to the COVID-19 pandemic and demonstrate the type of messaging </w:t>
      </w:r>
      <w:r w:rsidR="00243369">
        <w:t>provided t</w:t>
      </w:r>
      <w:r w:rsidR="00817534">
        <w:t xml:space="preserve">o the </w:t>
      </w:r>
      <w:r w:rsidR="00243369">
        <w:t>public</w:t>
      </w:r>
      <w:r w:rsidR="00817534">
        <w:t xml:space="preserve"> during this “</w:t>
      </w:r>
      <w:proofErr w:type="spellStart"/>
      <w:r w:rsidR="00817534">
        <w:t>infodemic</w:t>
      </w:r>
      <w:proofErr w:type="spellEnd"/>
      <w:r w:rsidR="00817534">
        <w:t>.”</w:t>
      </w:r>
    </w:p>
    <w:p w14:paraId="1A5EB1BB" w14:textId="626D0866" w:rsidR="0006659E" w:rsidRPr="004C4829" w:rsidRDefault="00A95E04" w:rsidP="0006659E">
      <w:pPr>
        <w:spacing w:line="480" w:lineRule="auto"/>
        <w:rPr>
          <w:b/>
        </w:rPr>
      </w:pPr>
      <w:r>
        <w:rPr>
          <w:b/>
        </w:rPr>
        <w:lastRenderedPageBreak/>
        <w:t>Methods</w:t>
      </w:r>
    </w:p>
    <w:p w14:paraId="689B2B21" w14:textId="318C45DF" w:rsidR="00CF2A64" w:rsidRPr="004246CA" w:rsidRDefault="00817534" w:rsidP="00CC1F98">
      <w:pPr>
        <w:spacing w:line="480" w:lineRule="auto"/>
        <w:ind w:firstLine="720"/>
      </w:pPr>
      <w:r>
        <w:t xml:space="preserve">Tweets were curated from the official Twitter accounts from </w:t>
      </w:r>
      <w:r w:rsidR="006337BD">
        <w:t xml:space="preserve">the </w:t>
      </w:r>
      <w:r>
        <w:t xml:space="preserve">CDC, HHS, the U.S. Surgeon General, and the White House between March 18-April 3 in order to capture a critical time period for the unfolding COVID-19 events and the start to many new federal guidelines and mandates related to virus control.  During this time period, there were a total of 513 </w:t>
      </w:r>
      <w:r w:rsidR="00E70159">
        <w:t>t</w:t>
      </w:r>
      <w:r>
        <w:t xml:space="preserve">weets across the four </w:t>
      </w:r>
      <w:r w:rsidR="00BE6763">
        <w:t>accounts</w:t>
      </w:r>
      <w:r>
        <w:t xml:space="preserve"> (97 from the CDC, 50 from HHS, 97 from the Surgeon General and 269 from the White House).  The federal organization account, rather than individual accounts were selected to allow for a more representative sample </w:t>
      </w:r>
      <w:r w:rsidR="002C7A6D">
        <w:t xml:space="preserve">of </w:t>
      </w:r>
      <w:r w:rsidR="00E70159">
        <w:t>t</w:t>
      </w:r>
      <w:r w:rsidR="002C7A6D">
        <w:t xml:space="preserve">weets from the </w:t>
      </w:r>
      <w:r w:rsidR="00BE6763">
        <w:t>organization</w:t>
      </w:r>
      <w:r w:rsidR="002C7A6D">
        <w:t xml:space="preserve"> (rather than individual opinions).  </w:t>
      </w:r>
      <w:r w:rsidR="00774E41">
        <w:t xml:space="preserve">The </w:t>
      </w:r>
      <w:r w:rsidR="00E70159">
        <w:t>t</w:t>
      </w:r>
      <w:r w:rsidR="00774E41">
        <w:t xml:space="preserve">weets from these four </w:t>
      </w:r>
      <w:r w:rsidR="006337BD">
        <w:t>accounts</w:t>
      </w:r>
      <w:r w:rsidR="00774E41">
        <w:t xml:space="preserve"> were then </w:t>
      </w:r>
      <w:r w:rsidR="00243369">
        <w:t>categorized</w:t>
      </w:r>
      <w:r w:rsidR="00774E41">
        <w:t xml:space="preserve"> </w:t>
      </w:r>
      <w:r w:rsidR="00CF2A64">
        <w:t>in</w:t>
      </w:r>
      <w:r w:rsidR="00774E41">
        <w:t>to three main themes</w:t>
      </w:r>
      <w:r w:rsidR="00243369">
        <w:t xml:space="preserve"> related to the behaviors of</w:t>
      </w:r>
      <w:r w:rsidR="00774E41">
        <w:t xml:space="preserve"> social distancing, hygiene (hand washing, avoiding touching </w:t>
      </w:r>
      <w:r w:rsidR="00560A13">
        <w:t xml:space="preserve">the </w:t>
      </w:r>
      <w:r w:rsidR="00774E41">
        <w:t>face, covering sneezes/coughs, disinfecting surfaces etc</w:t>
      </w:r>
      <w:r w:rsidR="00243369">
        <w:t>.</w:t>
      </w:r>
      <w:r w:rsidR="00774E41">
        <w:t>), and face masks</w:t>
      </w:r>
      <w:r w:rsidR="00243369">
        <w:t>/</w:t>
      </w:r>
      <w:r w:rsidR="00774E41">
        <w:t>coverings based on the preliminary guidance from the White House documented in the President’s Coronavirus Guidelines for America, “Do Your Part to Slow the Spread of the Coronavirus”</w:t>
      </w:r>
      <w:r w:rsidR="00A33D75">
        <w:t xml:space="preserve"> (White House, 2020b)</w:t>
      </w:r>
      <w:r w:rsidR="00774E41">
        <w:t xml:space="preserve">.  Of the original subset of 513 </w:t>
      </w:r>
      <w:r w:rsidR="00E70159">
        <w:t>t</w:t>
      </w:r>
      <w:r w:rsidR="00774E41">
        <w:t>weets, a total of 14</w:t>
      </w:r>
      <w:r w:rsidR="004C4829">
        <w:t>8</w:t>
      </w:r>
      <w:r w:rsidR="00774E41">
        <w:t xml:space="preserve"> were extracted on these three themes.</w:t>
      </w:r>
      <w:r w:rsidR="002C7A6D">
        <w:t xml:space="preserve">  </w:t>
      </w:r>
      <w:r w:rsidR="00774E41">
        <w:t xml:space="preserve">Of note, not all 513 </w:t>
      </w:r>
      <w:r w:rsidR="00E70159">
        <w:t>t</w:t>
      </w:r>
      <w:r w:rsidR="00774E41">
        <w:t xml:space="preserve">weets were specifically related to the pandemic, although all the White House </w:t>
      </w:r>
      <w:r w:rsidR="00E70159">
        <w:t>t</w:t>
      </w:r>
      <w:r w:rsidR="00774E41">
        <w:t xml:space="preserve">weets were pandemic related during this time period.  White House </w:t>
      </w:r>
      <w:r w:rsidR="00E70159">
        <w:t>t</w:t>
      </w:r>
      <w:r w:rsidR="00774E41">
        <w:t xml:space="preserve">weets specifically focusing on the production of masks or </w:t>
      </w:r>
      <w:r w:rsidR="004D505E">
        <w:t>personal protective equipment (PPE)</w:t>
      </w:r>
      <w:r w:rsidR="00774E41">
        <w:t xml:space="preserve"> for health care workers or general press conference reminders and announcements were excluded.  Any </w:t>
      </w:r>
      <w:r w:rsidR="00E70159">
        <w:t>t</w:t>
      </w:r>
      <w:r w:rsidR="00774E41">
        <w:t xml:space="preserve">weets that captioned or illustrated the aforementioned guidelines on “Slowing the Spread” were included from all accounts.  </w:t>
      </w:r>
      <w:r w:rsidR="004C4829">
        <w:t xml:space="preserve">In total, </w:t>
      </w:r>
      <w:r w:rsidR="00C26525">
        <w:t>48</w:t>
      </w:r>
      <w:r w:rsidR="004C4829">
        <w:t xml:space="preserve"> Tweets from the White House were included for further review.  During this time period the CDC had five non-COVID </w:t>
      </w:r>
      <w:r w:rsidR="00E70159">
        <w:t>t</w:t>
      </w:r>
      <w:r w:rsidR="004C4829">
        <w:t xml:space="preserve">weets (one on TB, one on sepsis, one on a food recall and two on smoking).  The CDC Twitter account also highlighted many travel advisories and blood shortages, which were excluded from this review.  In total, 40 </w:t>
      </w:r>
      <w:r w:rsidR="00E70159">
        <w:lastRenderedPageBreak/>
        <w:t>t</w:t>
      </w:r>
      <w:r w:rsidR="004C4829">
        <w:t>weets were included from the CDC for further review.  The Surgeon General</w:t>
      </w:r>
      <w:r w:rsidR="001B2A4B">
        <w:t xml:space="preserve">’s account also had several </w:t>
      </w:r>
      <w:r w:rsidR="00E70159">
        <w:t>t</w:t>
      </w:r>
      <w:r w:rsidR="001B2A4B">
        <w:t xml:space="preserve">weets related to blood donations, or health care workers that were excluded. Posts from the Surgeon General related to media appearances were also excluded unless they specifically related to one of the three noted themes.  In total, 50 </w:t>
      </w:r>
      <w:r w:rsidR="00E70159">
        <w:t>t</w:t>
      </w:r>
      <w:r w:rsidR="001B2A4B">
        <w:t xml:space="preserve">weets from the Surgeon </w:t>
      </w:r>
      <w:r w:rsidR="00BE6763">
        <w:t>G</w:t>
      </w:r>
      <w:r w:rsidR="001B2A4B">
        <w:t xml:space="preserve">eneral were included for further review, the highest percentage of </w:t>
      </w:r>
      <w:r w:rsidR="00E70159">
        <w:t>t</w:t>
      </w:r>
      <w:r w:rsidR="001B2A4B">
        <w:t xml:space="preserve">weets from any of the </w:t>
      </w:r>
      <w:r w:rsidR="00BE6763">
        <w:t>accounts</w:t>
      </w:r>
      <w:r w:rsidR="001B2A4B">
        <w:t xml:space="preserve"> relevant to the three themes</w:t>
      </w:r>
      <w:r w:rsidR="009576B4">
        <w:t xml:space="preserve"> (</w:t>
      </w:r>
      <w:r w:rsidR="00D40F76">
        <w:t>51.5</w:t>
      </w:r>
      <w:r w:rsidR="009576B4">
        <w:t>%)</w:t>
      </w:r>
      <w:r w:rsidR="001B2A4B">
        <w:t xml:space="preserve">.  Finally, the HHS account had many </w:t>
      </w:r>
      <w:r w:rsidR="00E70159">
        <w:t>t</w:t>
      </w:r>
      <w:r w:rsidR="001B2A4B">
        <w:t>weets unrelated to COVID-19 directly and often relating to prevention week and month themes (colonoscopy, HIV/AIDS, reptile bites, child abuse prevention, suicide, opioid recovery, food recalls, organ donation, autism, insulin, bipolar disorder</w:t>
      </w:r>
      <w:r w:rsidR="009576B4">
        <w:t>,</w:t>
      </w:r>
      <w:r w:rsidR="001B2A4B">
        <w:t xml:space="preserve"> etc</w:t>
      </w:r>
      <w:r w:rsidR="009576B4">
        <w:t>.</w:t>
      </w:r>
      <w:r w:rsidR="001B2A4B">
        <w:t xml:space="preserve">).  A total of 10 HHS </w:t>
      </w:r>
      <w:r w:rsidR="00E70159">
        <w:t>t</w:t>
      </w:r>
      <w:r w:rsidR="001B2A4B">
        <w:t xml:space="preserve">weets related to the three themes were included for further review.  </w:t>
      </w:r>
      <w:r w:rsidR="004246CA">
        <w:t>See Figure 1 for an</w:t>
      </w:r>
      <w:r w:rsidR="001B2A4B">
        <w:t xml:space="preserve"> image depicting the </w:t>
      </w:r>
      <w:r w:rsidR="00CF2A64">
        <w:t xml:space="preserve">number of </w:t>
      </w:r>
      <w:r w:rsidR="00E70159">
        <w:t>t</w:t>
      </w:r>
      <w:r w:rsidR="001B2A4B">
        <w:t xml:space="preserve">weets </w:t>
      </w:r>
      <w:r w:rsidR="00CF2A64">
        <w:t>included</w:t>
      </w:r>
      <w:r w:rsidR="001B2A4B">
        <w:t xml:space="preserve"> from each of the above organizations.</w:t>
      </w:r>
    </w:p>
    <w:p w14:paraId="23D28BB9" w14:textId="480CC01B" w:rsidR="001B2A4B" w:rsidRDefault="001B2A4B" w:rsidP="0006659E">
      <w:pPr>
        <w:spacing w:line="480" w:lineRule="auto"/>
      </w:pPr>
      <w:r>
        <w:tab/>
      </w:r>
      <w:r w:rsidR="00DA37A3">
        <w:t xml:space="preserve">Two independent coders confirmed the inclusion of all the relevant </w:t>
      </w:r>
      <w:r w:rsidR="00E70159">
        <w:t>t</w:t>
      </w:r>
      <w:r w:rsidR="00DA37A3">
        <w:t xml:space="preserve">weets and any necessary additions were added prior to further coding.  Next, each coder systematically reviewed the content of each </w:t>
      </w:r>
      <w:r w:rsidR="00E70159">
        <w:t>t</w:t>
      </w:r>
      <w:r w:rsidR="00DA37A3">
        <w:t>weet for two organizations and then the coders switched to independently confirm the accuracy of the dual-coders</w:t>
      </w:r>
      <w:r w:rsidR="009576B4">
        <w:t>’</w:t>
      </w:r>
      <w:r w:rsidR="00DA37A3">
        <w:t xml:space="preserve"> </w:t>
      </w:r>
      <w:r w:rsidR="00CF2A64">
        <w:t>work</w:t>
      </w:r>
      <w:r w:rsidR="00DA37A3">
        <w:t xml:space="preserve">.  In total there was a high level of agreement between the </w:t>
      </w:r>
      <w:r w:rsidR="00DA37A3" w:rsidRPr="00AD2526">
        <w:t>two coders (</w:t>
      </w:r>
      <w:r w:rsidR="009576B4">
        <w:t>&gt;</w:t>
      </w:r>
      <w:r w:rsidR="009576B4" w:rsidRPr="00AD2526">
        <w:t xml:space="preserve"> </w:t>
      </w:r>
      <w:r w:rsidR="00AD2526" w:rsidRPr="00AD2526">
        <w:t>95</w:t>
      </w:r>
      <w:r w:rsidR="00DA37A3" w:rsidRPr="00AD2526">
        <w:t>%).</w:t>
      </w:r>
      <w:r w:rsidR="00DA37A3">
        <w:t xml:space="preserve">  All discrepancies were revisited and reconciled based on the codebook definitions.</w:t>
      </w:r>
    </w:p>
    <w:p w14:paraId="5F46FFE9" w14:textId="43E092AE" w:rsidR="00DA37A3" w:rsidRDefault="00DA37A3" w:rsidP="005D4411">
      <w:pPr>
        <w:spacing w:line="480" w:lineRule="auto"/>
      </w:pPr>
      <w:r>
        <w:tab/>
        <w:t xml:space="preserve">Each </w:t>
      </w:r>
      <w:r w:rsidR="00E70159">
        <w:t>t</w:t>
      </w:r>
      <w:r>
        <w:t>weet was individually coded for the following elements</w:t>
      </w:r>
      <w:r w:rsidR="009576B4">
        <w:t xml:space="preserve">: </w:t>
      </w:r>
      <w:r>
        <w:t xml:space="preserve">organization (HHS, CDC, Surgeon General or White House), date of </w:t>
      </w:r>
      <w:r w:rsidR="00E70159">
        <w:t>t</w:t>
      </w:r>
      <w:r>
        <w:t xml:space="preserve">weet, any visuals included, any external links to content included, whether the </w:t>
      </w:r>
      <w:r w:rsidR="00E70159">
        <w:t>t</w:t>
      </w:r>
      <w:r>
        <w:t xml:space="preserve">weet was original or a retweet, whether anyone was tagged in the post or any hashtags associated with the post.  </w:t>
      </w:r>
      <w:r w:rsidR="00E40D32">
        <w:t>Next, the behavior of the message theme was included (social distancing, hygiene or face masks</w:t>
      </w:r>
      <w:r w:rsidR="00A61BBC">
        <w:t>)</w:t>
      </w:r>
      <w:r w:rsidR="00E40D32">
        <w:t xml:space="preserve"> and whether the </w:t>
      </w:r>
      <w:r w:rsidR="00E70159">
        <w:t>t</w:t>
      </w:r>
      <w:r w:rsidR="00E40D32">
        <w:t xml:space="preserve">weet was supportive or </w:t>
      </w:r>
      <w:r w:rsidR="00A61BBC">
        <w:t>unsupportive of</w:t>
      </w:r>
      <w:r w:rsidR="00E40D32">
        <w:t xml:space="preserve"> the behavior.  Next, in line with </w:t>
      </w:r>
      <w:proofErr w:type="spellStart"/>
      <w:r w:rsidR="00E40D32">
        <w:t>Hatchard</w:t>
      </w:r>
      <w:proofErr w:type="spellEnd"/>
      <w:r w:rsidR="00E40D32">
        <w:t xml:space="preserve"> et al. </w:t>
      </w:r>
      <w:r w:rsidR="00A33D75">
        <w:t xml:space="preserve">(2019) </w:t>
      </w:r>
      <w:r w:rsidR="00E40D32">
        <w:t xml:space="preserve">research on public health </w:t>
      </w:r>
      <w:r w:rsidR="00E40D32">
        <w:lastRenderedPageBreak/>
        <w:t xml:space="preserve">policy </w:t>
      </w:r>
      <w:r w:rsidR="00E70159">
        <w:t>t</w:t>
      </w:r>
      <w:r w:rsidR="00E40D32">
        <w:t xml:space="preserve">weets in the UK, </w:t>
      </w:r>
      <w:r w:rsidR="00E70159">
        <w:t>t</w:t>
      </w:r>
      <w:r w:rsidR="00E40D32">
        <w:t>weets were coded as informative (i</w:t>
      </w:r>
      <w:r w:rsidR="00A61BBC">
        <w:t>.</w:t>
      </w:r>
      <w:r w:rsidR="00E40D32">
        <w:t>e</w:t>
      </w:r>
      <w:r w:rsidR="00A61BBC">
        <w:t>.,</w:t>
      </w:r>
      <w:r w:rsidR="00E40D32">
        <w:t xml:space="preserve"> providing information related to COVID-19 response), argumentative (making a case for a specific mandate or guideline such as</w:t>
      </w:r>
      <w:r w:rsidR="00A61BBC">
        <w:t>,</w:t>
      </w:r>
      <w:r w:rsidR="00E40D32">
        <w:t xml:space="preserve"> you should hand</w:t>
      </w:r>
      <w:r w:rsidR="0002023D">
        <w:t xml:space="preserve"> </w:t>
      </w:r>
      <w:r w:rsidR="00E40D32">
        <w:t>wash, social distance, wear a mask etc</w:t>
      </w:r>
      <w:r w:rsidR="00A61BBC">
        <w:t>.</w:t>
      </w:r>
      <w:r w:rsidR="00E40D32">
        <w:t xml:space="preserve">), critical (toward a policy or course of action), discursive (a question of whether a certain guideline will work) or unclear.  </w:t>
      </w:r>
      <w:r w:rsidR="009576B4">
        <w:t>Then</w:t>
      </w:r>
      <w:r w:rsidR="00E40D32">
        <w:t xml:space="preserve"> each </w:t>
      </w:r>
      <w:r w:rsidR="00D40F76">
        <w:t>t</w:t>
      </w:r>
      <w:r w:rsidR="00E40D32">
        <w:t>weet was coded as related to prevention, mitigation, treatment or a specific risk factor.  Subsequently, in line with historical communication work done by Kahneman &amp; Tversky</w:t>
      </w:r>
      <w:r w:rsidR="00A33D75">
        <w:t xml:space="preserve"> (1979; 1982) and Tversky &amp; Kahneman (1981)</w:t>
      </w:r>
      <w:r w:rsidR="00E40D32">
        <w:t xml:space="preserve">, gain or loss frame of each </w:t>
      </w:r>
      <w:r w:rsidR="00E70159">
        <w:t>t</w:t>
      </w:r>
      <w:r w:rsidR="00E40D32">
        <w:t>weet was included.  A gain frame was coded i</w:t>
      </w:r>
      <w:r w:rsidR="00A61BBC">
        <w:t>f</w:t>
      </w:r>
      <w:r w:rsidR="00E40D32">
        <w:t xml:space="preserve"> the </w:t>
      </w:r>
      <w:r w:rsidR="00E70159">
        <w:t>t</w:t>
      </w:r>
      <w:r w:rsidR="00E40D32">
        <w:t>weet implied something to be gained</w:t>
      </w:r>
      <w:r w:rsidR="00A61BBC">
        <w:t>,</w:t>
      </w:r>
      <w:r w:rsidR="00E40D32">
        <w:t xml:space="preserve"> and a loss frame if there was something to be lost due to certain actions or inactions.  The general sentiment of the </w:t>
      </w:r>
      <w:r w:rsidR="00E70159">
        <w:t>t</w:t>
      </w:r>
      <w:r w:rsidR="00E40D32">
        <w:t>weet (positive, negative, or neutral) was also captured.  If the message was purely informational about COVID-19 (data, facts</w:t>
      </w:r>
      <w:r w:rsidR="006851AF">
        <w:t>,</w:t>
      </w:r>
      <w:r w:rsidR="00E40D32">
        <w:t xml:space="preserve"> etc.) this was coded as cognitive; otherwise each tweet was coded for an emotional appeal (for the tone and possibility of evoking fear, guilt, hope, empathy, pride </w:t>
      </w:r>
      <w:r w:rsidR="005D4411">
        <w:t>or gratitude</w:t>
      </w:r>
      <w:r w:rsidR="00E40D32">
        <w:t>, not mutually exclusive)</w:t>
      </w:r>
      <w:r w:rsidR="005D4411">
        <w:t xml:space="preserve"> based on previous health communication work</w:t>
      </w:r>
      <w:r w:rsidR="00A33D75">
        <w:t xml:space="preserve"> (Aaker &amp; Williams, 1998; Nabi, 2002; Schindler-</w:t>
      </w:r>
      <w:proofErr w:type="spellStart"/>
      <w:r w:rsidR="00A33D75">
        <w:t>Ruwisch</w:t>
      </w:r>
      <w:proofErr w:type="spellEnd"/>
      <w:r w:rsidR="00A33D75">
        <w:t xml:space="preserve"> et al., 2018; Turner et al., 2013; Turner et al., 2017; Turner, 2018; Underhill, 2012; Witte &amp; Allen, 2000)</w:t>
      </w:r>
      <w:r w:rsidR="005D4411">
        <w:t xml:space="preserve">.  If an evidence-based recommendation was included, that was also noted.  Finally, in line with </w:t>
      </w:r>
      <w:r w:rsidR="00A61BBC">
        <w:t xml:space="preserve">the </w:t>
      </w:r>
      <w:r w:rsidR="005D4411">
        <w:t>Pew Research</w:t>
      </w:r>
      <w:r w:rsidR="000F6F5B">
        <w:t xml:space="preserve"> </w:t>
      </w:r>
      <w:r w:rsidR="00A61BBC">
        <w:t>on</w:t>
      </w:r>
      <w:r w:rsidR="005D4411">
        <w:t xml:space="preserve"> Congressional </w:t>
      </w:r>
      <w:r w:rsidR="00E70159">
        <w:t>t</w:t>
      </w:r>
      <w:r w:rsidR="005D4411">
        <w:t>weets</w:t>
      </w:r>
      <w:r w:rsidR="00A33D75">
        <w:t xml:space="preserve"> (Hughes et al., 2020)</w:t>
      </w:r>
      <w:r w:rsidR="005D4411">
        <w:t xml:space="preserve">, </w:t>
      </w:r>
      <w:r w:rsidR="00A61BBC">
        <w:t>a</w:t>
      </w:r>
      <w:r w:rsidR="005D4411">
        <w:t xml:space="preserve"> particular audience target for the message (i</w:t>
      </w:r>
      <w:r w:rsidR="006D6C1C">
        <w:t>.</w:t>
      </w:r>
      <w:r w:rsidR="005D4411">
        <w:t>e</w:t>
      </w:r>
      <w:r w:rsidR="006D6C1C">
        <w:t>.,</w:t>
      </w:r>
      <w:r w:rsidR="005D4411">
        <w:t xml:space="preserve"> American public, small businesses, older adults, youth, essential workers</w:t>
      </w:r>
      <w:r w:rsidR="006D6C1C">
        <w:t>,</w:t>
      </w:r>
      <w:r w:rsidR="005D4411">
        <w:t xml:space="preserve"> etc</w:t>
      </w:r>
      <w:r w:rsidR="006D6C1C">
        <w:t>.</w:t>
      </w:r>
      <w:r w:rsidR="005D4411">
        <w:t>)</w:t>
      </w:r>
      <w:r w:rsidR="00A61BBC">
        <w:t xml:space="preserve"> was also coded.</w:t>
      </w:r>
    </w:p>
    <w:p w14:paraId="41D48754" w14:textId="77777777" w:rsidR="00DA37A3" w:rsidRDefault="00DA37A3" w:rsidP="0006659E">
      <w:pPr>
        <w:spacing w:line="480" w:lineRule="auto"/>
      </w:pPr>
    </w:p>
    <w:p w14:paraId="11587AC2" w14:textId="77777777" w:rsidR="0006659E" w:rsidRPr="00857858" w:rsidRDefault="0006659E" w:rsidP="0006659E">
      <w:pPr>
        <w:spacing w:line="480" w:lineRule="auto"/>
        <w:rPr>
          <w:b/>
        </w:rPr>
      </w:pPr>
      <w:r w:rsidRPr="00857858">
        <w:rPr>
          <w:b/>
        </w:rPr>
        <w:t>Results</w:t>
      </w:r>
    </w:p>
    <w:p w14:paraId="64559A22" w14:textId="2AAFDA84" w:rsidR="00C26525" w:rsidRDefault="00857858" w:rsidP="005F383C">
      <w:pPr>
        <w:spacing w:line="480" w:lineRule="auto"/>
        <w:ind w:firstLine="720"/>
      </w:pPr>
      <w:r>
        <w:t xml:space="preserve">Of the 148 included </w:t>
      </w:r>
      <w:r w:rsidR="00E70159">
        <w:t>t</w:t>
      </w:r>
      <w:r>
        <w:t>weets that were reviewed and coded, most covered multiple themes (i.e.</w:t>
      </w:r>
      <w:r w:rsidR="00904BC9">
        <w:t>,</w:t>
      </w:r>
      <w:r>
        <w:t xml:space="preserve"> hygiene plus social distancing or face masks plus social distancing).  However, when </w:t>
      </w:r>
      <w:r>
        <w:lastRenderedPageBreak/>
        <w:t xml:space="preserve">looking at </w:t>
      </w:r>
      <w:r w:rsidR="00E70159">
        <w:t>t</w:t>
      </w:r>
      <w:r w:rsidR="00A149E8">
        <w:t>weets that met one</w:t>
      </w:r>
      <w:r>
        <w:t xml:space="preserve"> theme exclusively, the majority of the </w:t>
      </w:r>
      <w:r w:rsidR="00E70159">
        <w:t>t</w:t>
      </w:r>
      <w:r>
        <w:t xml:space="preserve">weets were related to social distancing (n=51), followed by hygiene (n=16) and face masks (n=15).  </w:t>
      </w:r>
    </w:p>
    <w:p w14:paraId="4306F25A" w14:textId="30CCE255" w:rsidR="00857858" w:rsidRDefault="00857858" w:rsidP="00A149E8">
      <w:pPr>
        <w:spacing w:line="480" w:lineRule="auto"/>
        <w:ind w:firstLine="720"/>
      </w:pPr>
      <w:r>
        <w:t xml:space="preserve">Essentially all the </w:t>
      </w:r>
      <w:r w:rsidR="00E70159">
        <w:t>t</w:t>
      </w:r>
      <w:r>
        <w:t>weets were in support of the three key behaviors</w:t>
      </w:r>
      <w:r w:rsidR="00FA4977">
        <w:t xml:space="preserve"> (i.e.</w:t>
      </w:r>
      <w:r w:rsidR="00A63C18">
        <w:t>,</w:t>
      </w:r>
      <w:r w:rsidR="00FA4977">
        <w:t xml:space="preserve"> White House tweeted on 3/25/20: “</w:t>
      </w:r>
      <w:r w:rsidR="00FA4977" w:rsidRPr="00857858">
        <w:t>The more aggressively we commit to social distancing, the more lives we can save, and the sooner Americans can go back to work, back to school, and back to normal</w:t>
      </w:r>
      <w:r w:rsidR="00FA4977">
        <w:t>”)</w:t>
      </w:r>
      <w:r>
        <w:t xml:space="preserve">, with the exception of a handful of </w:t>
      </w:r>
      <w:r w:rsidR="00E70159">
        <w:t>t</w:t>
      </w:r>
      <w:r>
        <w:t xml:space="preserve">weets related to face masks/coverings.  For example, on 3/28/20, the Surgeon General </w:t>
      </w:r>
      <w:r w:rsidR="00E70159">
        <w:t>t</w:t>
      </w:r>
      <w:r>
        <w:t>weeted, “</w:t>
      </w:r>
      <w:r w:rsidRPr="00857858">
        <w:t xml:space="preserve">WHO </w:t>
      </w:r>
      <w:proofErr w:type="spellStart"/>
      <w:r w:rsidRPr="00857858">
        <w:t>CDCgov</w:t>
      </w:r>
      <w:proofErr w:type="spellEnd"/>
      <w:r w:rsidRPr="00857858">
        <w:t xml:space="preserve"> &amp; my office have consis</w:t>
      </w:r>
      <w:r>
        <w:t>t</w:t>
      </w:r>
      <w:r w:rsidRPr="00857858">
        <w:t xml:space="preserve">ently recommended against the general public wearing masks as there is scant or conflicting </w:t>
      </w:r>
      <w:proofErr w:type="gramStart"/>
      <w:r w:rsidRPr="00857858">
        <w:t>evidence</w:t>
      </w:r>
      <w:proofErr w:type="gramEnd"/>
      <w:r w:rsidRPr="00857858">
        <w:t xml:space="preserve"> they benefit individual wearers in a meanin</w:t>
      </w:r>
      <w:r>
        <w:t>g</w:t>
      </w:r>
      <w:r w:rsidRPr="00857858">
        <w:t>ful way, but real concerns about pulling from the healthcare worker supply…</w:t>
      </w:r>
      <w:r w:rsidR="00D61FB4">
        <w:t>”</w:t>
      </w:r>
      <w:r>
        <w:t xml:space="preserve"> The most divisive theme was related to contradictory information on face masks, </w:t>
      </w:r>
      <w:r w:rsidR="002756C5">
        <w:t xml:space="preserve">particularly from the Surgeon General’s Twitter account, where within a few </w:t>
      </w:r>
      <w:proofErr w:type="gramStart"/>
      <w:r w:rsidR="002756C5">
        <w:t>day time</w:t>
      </w:r>
      <w:proofErr w:type="gramEnd"/>
      <w:r w:rsidR="002756C5">
        <w:t xml:space="preserve"> period, the guidance for Americans on wearing a face mask changed dramatically (as depicted in </w:t>
      </w:r>
      <w:r w:rsidR="004246CA">
        <w:t xml:space="preserve">Table </w:t>
      </w:r>
      <w:r w:rsidR="005F383C">
        <w:t>1</w:t>
      </w:r>
      <w:r w:rsidR="002756C5">
        <w:t>)</w:t>
      </w:r>
      <w:r>
        <w:t>.</w:t>
      </w:r>
    </w:p>
    <w:p w14:paraId="6483356D" w14:textId="1F8CB9A2" w:rsidR="00857858" w:rsidRDefault="002756C5" w:rsidP="002F7E4F">
      <w:pPr>
        <w:spacing w:line="480" w:lineRule="auto"/>
        <w:ind w:firstLine="720"/>
      </w:pPr>
      <w:r>
        <w:t xml:space="preserve">Overall, most </w:t>
      </w:r>
      <w:r w:rsidR="00E70159">
        <w:t>t</w:t>
      </w:r>
      <w:r w:rsidR="00AA5F93">
        <w:t>weets had an accompanying visual (video, image, or emoticon), although several images were redundant (i.e.</w:t>
      </w:r>
      <w:r w:rsidR="00A63C18">
        <w:t>,</w:t>
      </w:r>
      <w:r w:rsidR="00AA5F93">
        <w:t xml:space="preserve"> flattening the curve figure, 15 or 30 Days to Slow the Spread recommendations, hand washing video).  Many images included videos from press conferences or one of the Coronavirus Task Force Members giving brief information on a topic, via video.  Beyond embedded images and videos, a large number of </w:t>
      </w:r>
      <w:r w:rsidR="00E70159">
        <w:t>t</w:t>
      </w:r>
      <w:r w:rsidR="00AA5F93">
        <w:t xml:space="preserve">weets, most from CDC, included external links for additional information or context.  Few of the </w:t>
      </w:r>
      <w:r w:rsidR="00E70159">
        <w:t>t</w:t>
      </w:r>
      <w:r w:rsidR="00AA5F93">
        <w:t>weets were retweets, but those that were typically included unique text commenting on the retweet, or a retweet from the same account with further commentary (most commonly done by the Surgeon General, commenting on news and high-profile people discussing COVID-19 diagnoses and initiatives).</w:t>
      </w:r>
      <w:r w:rsidR="00F12A33">
        <w:t xml:space="preserve">  </w:t>
      </w:r>
      <w:r w:rsidR="00F17A91">
        <w:t xml:space="preserve">Many of the HHS </w:t>
      </w:r>
      <w:r w:rsidR="00E70159">
        <w:t>t</w:t>
      </w:r>
      <w:r w:rsidR="00F17A91">
        <w:t xml:space="preserve">weets were repeats (but not retweets).  </w:t>
      </w:r>
      <w:r w:rsidR="00F12A33">
        <w:t xml:space="preserve">Several </w:t>
      </w:r>
      <w:r w:rsidR="00E70159">
        <w:t>t</w:t>
      </w:r>
      <w:r w:rsidR="00F12A33">
        <w:t xml:space="preserve">weets tagged others, but this </w:t>
      </w:r>
      <w:r w:rsidR="00F12A33">
        <w:lastRenderedPageBreak/>
        <w:t xml:space="preserve">was relatively infrequent.  The White House </w:t>
      </w:r>
      <w:r w:rsidR="002F7E4F">
        <w:t xml:space="preserve">occasionally </w:t>
      </w:r>
      <w:r w:rsidR="00F12A33">
        <w:t>tagg</w:t>
      </w:r>
      <w:r w:rsidR="002F7E4F">
        <w:t>ed</w:t>
      </w:r>
      <w:r w:rsidR="00F12A33">
        <w:t xml:space="preserve"> </w:t>
      </w:r>
      <w:r w:rsidR="002F7E4F">
        <w:t>throughout this period:</w:t>
      </w:r>
      <w:r w:rsidR="00F12A33">
        <w:t xml:space="preserve"> “</w:t>
      </w:r>
      <w:proofErr w:type="spellStart"/>
      <w:r w:rsidR="00F12A33">
        <w:t>Mike_Pence</w:t>
      </w:r>
      <w:proofErr w:type="spellEnd"/>
      <w:r w:rsidR="00F12A33">
        <w:t>,” “</w:t>
      </w:r>
      <w:proofErr w:type="spellStart"/>
      <w:r w:rsidR="00F12A33">
        <w:t>realDonaldTrump</w:t>
      </w:r>
      <w:proofErr w:type="spellEnd"/>
      <w:r w:rsidR="00F12A33">
        <w:t>,” “</w:t>
      </w:r>
      <w:proofErr w:type="spellStart"/>
      <w:r w:rsidR="00F12A33">
        <w:t>Surgeon_General</w:t>
      </w:r>
      <w:proofErr w:type="spellEnd"/>
      <w:r w:rsidR="00F12A33">
        <w:t>,” and “</w:t>
      </w:r>
      <w:proofErr w:type="spellStart"/>
      <w:r w:rsidR="00F12A33">
        <w:t>CDCgov</w:t>
      </w:r>
      <w:proofErr w:type="spellEnd"/>
      <w:r w:rsidR="00F12A33">
        <w:t>.”</w:t>
      </w:r>
      <w:r w:rsidR="00A17101">
        <w:t xml:space="preserve">  The Surgeon General most frequently tagged others in his </w:t>
      </w:r>
      <w:r w:rsidR="00E70159">
        <w:t>t</w:t>
      </w:r>
      <w:r w:rsidR="00A17101">
        <w:t>weets, including “</w:t>
      </w:r>
      <w:proofErr w:type="spellStart"/>
      <w:r w:rsidR="00A17101">
        <w:t>CDCgov</w:t>
      </w:r>
      <w:proofErr w:type="spellEnd"/>
      <w:r w:rsidR="00A17101">
        <w:t>,” “WHO,” “</w:t>
      </w:r>
      <w:proofErr w:type="spellStart"/>
      <w:r w:rsidR="00A17101">
        <w:t>SecAzar</w:t>
      </w:r>
      <w:proofErr w:type="spellEnd"/>
      <w:r w:rsidR="00A17101">
        <w:t>,” “VP,” “POTUS.”</w:t>
      </w:r>
      <w:r w:rsidR="006D7A72">
        <w:t xml:space="preserve">  The CDC only tagged “CDCMMWR” and “</w:t>
      </w:r>
      <w:proofErr w:type="spellStart"/>
      <w:r w:rsidR="006D7A72">
        <w:t>Surgeon_General</w:t>
      </w:r>
      <w:proofErr w:type="spellEnd"/>
      <w:r w:rsidR="006D7A72">
        <w:t xml:space="preserve">.” Most of the HHS </w:t>
      </w:r>
      <w:r w:rsidR="00E70159">
        <w:t>t</w:t>
      </w:r>
      <w:r w:rsidR="006D7A72">
        <w:t>weets were tagged with “</w:t>
      </w:r>
      <w:proofErr w:type="spellStart"/>
      <w:r w:rsidR="006D7A72">
        <w:t>Surgeon_General</w:t>
      </w:r>
      <w:proofErr w:type="spellEnd"/>
      <w:r w:rsidR="006D7A72">
        <w:t>,” “</w:t>
      </w:r>
      <w:proofErr w:type="spellStart"/>
      <w:r w:rsidR="006D7A72">
        <w:t>WhiteHouse</w:t>
      </w:r>
      <w:proofErr w:type="spellEnd"/>
      <w:r w:rsidR="006D7A72">
        <w:t>” and “</w:t>
      </w:r>
      <w:proofErr w:type="spellStart"/>
      <w:r w:rsidR="006D7A72">
        <w:t>CDCgov</w:t>
      </w:r>
      <w:proofErr w:type="spellEnd"/>
      <w:r w:rsidR="006D7A72">
        <w:t>.”</w:t>
      </w:r>
      <w:r w:rsidR="00252A17">
        <w:t xml:space="preserve">  Hashtags were used sparingly by the White House, but commonly by the Surgeon General.  However, hashtags used were inconsistent at times (especially among the Surgeon General and HHS), even from the same account</w:t>
      </w:r>
      <w:r w:rsidR="002F7E4F">
        <w:t>:</w:t>
      </w:r>
      <w:r w:rsidR="00252A17">
        <w:t xml:space="preserve"> “coronavirus,” “COVID19,” and “COVID-19.” </w:t>
      </w:r>
      <w:r w:rsidR="00FE0B05">
        <w:t xml:space="preserve"> </w:t>
      </w:r>
      <w:r w:rsidR="00252A17">
        <w:t xml:space="preserve">Several common hashtags were also used </w:t>
      </w:r>
      <w:r w:rsidR="002F7E4F">
        <w:t xml:space="preserve">(albeit sparingly) </w:t>
      </w:r>
      <w:r w:rsidR="00252A17">
        <w:t>including, “</w:t>
      </w:r>
      <w:proofErr w:type="spellStart"/>
      <w:r w:rsidR="00252A17">
        <w:t>TogetherApart</w:t>
      </w:r>
      <w:proofErr w:type="spellEnd"/>
      <w:r w:rsidR="00252A17">
        <w:t>,” “</w:t>
      </w:r>
      <w:proofErr w:type="spellStart"/>
      <w:r w:rsidR="00252A17">
        <w:t>StayHomeStayStrong</w:t>
      </w:r>
      <w:proofErr w:type="spellEnd"/>
      <w:r w:rsidR="00252A17">
        <w:t>,” and “</w:t>
      </w:r>
      <w:proofErr w:type="spellStart"/>
      <w:r w:rsidR="00252A17">
        <w:t>SlowtheSpread</w:t>
      </w:r>
      <w:proofErr w:type="spellEnd"/>
      <w:r w:rsidR="00252A17">
        <w:t>” to reinforce key messages related to social distancing.  CDC consistently used the “COVID19” hashtag, but also “</w:t>
      </w:r>
      <w:proofErr w:type="spellStart"/>
      <w:r w:rsidR="00252A17">
        <w:t>FlattenTheCurve</w:t>
      </w:r>
      <w:proofErr w:type="spellEnd"/>
      <w:r w:rsidR="00252A17">
        <w:t>,” “</w:t>
      </w:r>
      <w:proofErr w:type="spellStart"/>
      <w:r w:rsidR="00252A17">
        <w:t>PhysicalDistance</w:t>
      </w:r>
      <w:proofErr w:type="spellEnd"/>
      <w:r w:rsidR="00252A17">
        <w:t>” and “</w:t>
      </w:r>
      <w:proofErr w:type="spellStart"/>
      <w:r w:rsidR="00252A17">
        <w:t>SocialDistancing</w:t>
      </w:r>
      <w:proofErr w:type="spellEnd"/>
      <w:r w:rsidR="00252A17">
        <w:t>.”  “</w:t>
      </w:r>
      <w:proofErr w:type="spellStart"/>
      <w:r w:rsidR="00252A17">
        <w:t>SlowtheSpread</w:t>
      </w:r>
      <w:proofErr w:type="spellEnd"/>
      <w:r w:rsidR="00252A17">
        <w:t>” and “</w:t>
      </w:r>
      <w:proofErr w:type="spellStart"/>
      <w:r w:rsidR="00252A17">
        <w:t>SafeHandsChallenge</w:t>
      </w:r>
      <w:proofErr w:type="spellEnd"/>
      <w:r w:rsidR="00252A17">
        <w:t>” or “</w:t>
      </w:r>
      <w:proofErr w:type="spellStart"/>
      <w:r w:rsidR="00252A17">
        <w:t>SafeHands</w:t>
      </w:r>
      <w:proofErr w:type="spellEnd"/>
      <w:r w:rsidR="00252A17">
        <w:t>” were also utilized by HHS and the Surgeon General.</w:t>
      </w:r>
      <w:r w:rsidR="002F7E4F">
        <w:t xml:space="preserve">  See Table </w:t>
      </w:r>
      <w:r w:rsidR="005F383C">
        <w:t>2</w:t>
      </w:r>
      <w:r w:rsidR="002F7E4F">
        <w:t xml:space="preserve"> for overall </w:t>
      </w:r>
      <w:r w:rsidR="00E70159">
        <w:t>t</w:t>
      </w:r>
      <w:r w:rsidR="002F7E4F">
        <w:t xml:space="preserve">weet characteristics by </w:t>
      </w:r>
      <w:r w:rsidR="00D40F76">
        <w:t xml:space="preserve">Twitter Account </w:t>
      </w:r>
      <w:r w:rsidR="002F7E4F">
        <w:t>and frequency.</w:t>
      </w:r>
    </w:p>
    <w:p w14:paraId="2EA3713F" w14:textId="6549178C" w:rsidR="002756C5" w:rsidRDefault="00EB7289" w:rsidP="00A149E8">
      <w:pPr>
        <w:spacing w:line="480" w:lineRule="auto"/>
        <w:ind w:firstLine="720"/>
      </w:pPr>
      <w:r>
        <w:t xml:space="preserve">The tone of most of the </w:t>
      </w:r>
      <w:r w:rsidR="00E70159">
        <w:t>t</w:t>
      </w:r>
      <w:r>
        <w:t xml:space="preserve">weets were either strictly informative (n=72) or argumentative (n=61).  An example of an informative </w:t>
      </w:r>
      <w:r w:rsidR="00E70159">
        <w:t>t</w:t>
      </w:r>
      <w:r>
        <w:t xml:space="preserve">weet </w:t>
      </w:r>
      <w:r w:rsidR="005F383C">
        <w:t xml:space="preserve">on hygiene </w:t>
      </w:r>
      <w:r>
        <w:t>was</w:t>
      </w:r>
      <w:r w:rsidR="00541684">
        <w:t xml:space="preserve"> from the Surgeon General on 3/25/20</w:t>
      </w:r>
      <w:r>
        <w:t>, “</w:t>
      </w:r>
      <w:r w:rsidR="00541684" w:rsidRPr="00541684">
        <w:t>One of the most important things you can do to help prevent the spread of COVID19 is wash your hands- thoroughly and frequently. Here's a refresher on the 5 things you need to know for it to be most effective</w:t>
      </w:r>
      <w:r w:rsidR="002F7E4F">
        <w:t>,</w:t>
      </w:r>
      <w:r>
        <w:t xml:space="preserve">” while an example of a </w:t>
      </w:r>
      <w:r w:rsidR="00E70159">
        <w:t>t</w:t>
      </w:r>
      <w:r>
        <w:t xml:space="preserve">weet with an argument </w:t>
      </w:r>
      <w:r w:rsidR="00541684">
        <w:t xml:space="preserve">from the White House on 4/2/20 </w:t>
      </w:r>
      <w:r w:rsidR="005F383C">
        <w:t xml:space="preserve">related to social distancing </w:t>
      </w:r>
      <w:r>
        <w:t>was</w:t>
      </w:r>
      <w:r w:rsidR="00A149E8">
        <w:t>,</w:t>
      </w:r>
      <w:r>
        <w:t xml:space="preserve"> “</w:t>
      </w:r>
      <w:r w:rsidR="00541684" w:rsidRPr="00541684">
        <w:t>DON'T gather in large groups! Every person who is out and about is another person who can spread disease.</w:t>
      </w:r>
      <w:r>
        <w:t>”</w:t>
      </w:r>
      <w:r w:rsidR="00541684">
        <w:t xml:space="preserve">  Essentially all the selected </w:t>
      </w:r>
      <w:r w:rsidR="00E70159">
        <w:t>t</w:t>
      </w:r>
      <w:r w:rsidR="00541684">
        <w:t xml:space="preserve">weets fell into the categories of prevention or mitigation, many falling into both categories. </w:t>
      </w:r>
      <w:r w:rsidR="00FE0B05">
        <w:t xml:space="preserve"> </w:t>
      </w:r>
      <w:r w:rsidR="00541684">
        <w:t xml:space="preserve">In terms of evidence-based recommendations, many of the White House </w:t>
      </w:r>
      <w:r w:rsidR="00E70159">
        <w:t>t</w:t>
      </w:r>
      <w:r w:rsidR="00541684">
        <w:t xml:space="preserve">weets included videos of Dr. </w:t>
      </w:r>
      <w:proofErr w:type="spellStart"/>
      <w:r w:rsidR="00541684">
        <w:t>Birx</w:t>
      </w:r>
      <w:proofErr w:type="spellEnd"/>
      <w:r w:rsidR="00A149E8">
        <w:t xml:space="preserve">, </w:t>
      </w:r>
      <w:r w:rsidR="00541684">
        <w:lastRenderedPageBreak/>
        <w:t xml:space="preserve">Dr. </w:t>
      </w:r>
      <w:proofErr w:type="spellStart"/>
      <w:r w:rsidR="00541684">
        <w:t>Fauci</w:t>
      </w:r>
      <w:proofErr w:type="spellEnd"/>
      <w:r w:rsidR="00541684">
        <w:t xml:space="preserve"> or related press conference videos.  The Surgeon General, CDC and HHS often referred to specific CDC recommendations (i</w:t>
      </w:r>
      <w:r w:rsidR="00A149E8">
        <w:t>.</w:t>
      </w:r>
      <w:r w:rsidR="00541684">
        <w:t>e</w:t>
      </w:r>
      <w:r w:rsidR="00A149E8">
        <w:t>.,</w:t>
      </w:r>
      <w:r w:rsidR="00541684">
        <w:t xml:space="preserve"> hand washing for 20 seconds), but other specific evidence was limited. Most of the </w:t>
      </w:r>
      <w:r w:rsidR="00E70159">
        <w:t>t</w:t>
      </w:r>
      <w:r w:rsidR="00541684">
        <w:t xml:space="preserve">weets were </w:t>
      </w:r>
      <w:r w:rsidR="00A149E8">
        <w:t>not targeted to any specific group</w:t>
      </w:r>
      <w:r w:rsidR="00541684">
        <w:t xml:space="preserve">, </w:t>
      </w:r>
      <w:r w:rsidR="00A149E8">
        <w:t xml:space="preserve">but </w:t>
      </w:r>
      <w:r w:rsidR="00541684">
        <w:t>written to “Americans” or “</w:t>
      </w:r>
      <w:r w:rsidR="00FE0B05">
        <w:t xml:space="preserve">the </w:t>
      </w:r>
      <w:r w:rsidR="00541684">
        <w:t>American people.”  However, a handful were specific to millennials/Gen Z or younger individuals (n=8), families/parents (n= 6), or the sick/caregivers</w:t>
      </w:r>
      <w:r w:rsidR="000E69A9">
        <w:t xml:space="preserve"> (which sometimes included the elderly</w:t>
      </w:r>
      <w:r w:rsidR="00FE0B05">
        <w:t xml:space="preserve">; </w:t>
      </w:r>
      <w:r w:rsidR="00541684">
        <w:t>n=</w:t>
      </w:r>
      <w:r w:rsidR="000E69A9">
        <w:t>6</w:t>
      </w:r>
      <w:r w:rsidR="00541684">
        <w:t>).</w:t>
      </w:r>
    </w:p>
    <w:p w14:paraId="4F3C44B1" w14:textId="46DCF30A" w:rsidR="002504B7" w:rsidRDefault="00BE16AD" w:rsidP="0006659E">
      <w:pPr>
        <w:spacing w:line="480" w:lineRule="auto"/>
      </w:pPr>
      <w:r>
        <w:tab/>
        <w:t xml:space="preserve">Each </w:t>
      </w:r>
      <w:r w:rsidR="00E70159">
        <w:t>t</w:t>
      </w:r>
      <w:r>
        <w:t>weet was coded for gain and loss fame, as well as general sentiment (positive/negative), particularly if a frame was not evident and an emotional appeal (or cognitive- lack of emotional appeal).</w:t>
      </w:r>
      <w:r w:rsidR="00B960B1">
        <w:t xml:space="preserve">  </w:t>
      </w:r>
      <w:r w:rsidR="001C6585">
        <w:t xml:space="preserve">Most of the </w:t>
      </w:r>
      <w:r w:rsidR="00E70159">
        <w:t>t</w:t>
      </w:r>
      <w:r w:rsidR="001C6585">
        <w:t>weets had a g</w:t>
      </w:r>
      <w:r w:rsidR="00B960B1">
        <w:t>ain frame (n=90)</w:t>
      </w:r>
      <w:r w:rsidR="001C6585">
        <w:t xml:space="preserve">, but there were also a sizable portion with a loss </w:t>
      </w:r>
      <w:r w:rsidR="00CC33FE">
        <w:t>f</w:t>
      </w:r>
      <w:r w:rsidR="001C6585">
        <w:t xml:space="preserve">rame (n=26) and some that had both gain and loss frames within the same </w:t>
      </w:r>
      <w:r w:rsidR="00E70159">
        <w:t>t</w:t>
      </w:r>
      <w:r w:rsidR="001C6585">
        <w:t>weet (mixed frame</w:t>
      </w:r>
      <w:r w:rsidR="00FE0B05">
        <w:t xml:space="preserve">; </w:t>
      </w:r>
      <w:r w:rsidR="001C6585">
        <w:t xml:space="preserve">n=15).  </w:t>
      </w:r>
      <w:r w:rsidR="00C62999">
        <w:t xml:space="preserve">Many of these messages begin with a loss frame and then are followed by a gain frame.  </w:t>
      </w:r>
      <w:r w:rsidR="001C6585">
        <w:t xml:space="preserve">The remainder of the </w:t>
      </w:r>
      <w:r w:rsidR="00E70159">
        <w:t>t</w:t>
      </w:r>
      <w:r w:rsidR="001C6585">
        <w:t xml:space="preserve">weets had no clear framing.  Examples of gain and loss framed messages are included in </w:t>
      </w:r>
      <w:r w:rsidR="00C62999">
        <w:t xml:space="preserve">Table </w:t>
      </w:r>
      <w:r w:rsidR="00A63C18">
        <w:t>1</w:t>
      </w:r>
      <w:r w:rsidR="00C62999">
        <w:t>.</w:t>
      </w:r>
      <w:r w:rsidR="001C6585">
        <w:t xml:space="preserve"> </w:t>
      </w:r>
      <w:r w:rsidR="00FE0B05">
        <w:t xml:space="preserve"> </w:t>
      </w:r>
      <w:r w:rsidR="001C6585">
        <w:t xml:space="preserve">These </w:t>
      </w:r>
      <w:r w:rsidR="00E70159">
        <w:t>t</w:t>
      </w:r>
      <w:r w:rsidR="00C62999">
        <w:t>weets</w:t>
      </w:r>
      <w:r w:rsidR="001C6585">
        <w:t xml:space="preserve"> also clearly elicit many emotional appeals.  </w:t>
      </w:r>
      <w:r w:rsidR="004D5315">
        <w:t xml:space="preserve">Many messages had a cognitive appeal (informational, no emotional appeal, n=42) and some messages had mixed appeals (n=29).  </w:t>
      </w:r>
      <w:r w:rsidR="009854FD">
        <w:t xml:space="preserve">The most common emotional appeals </w:t>
      </w:r>
      <w:r w:rsidR="00D811F9">
        <w:t>were</w:t>
      </w:r>
      <w:r w:rsidR="00E40BAE">
        <w:t xml:space="preserve"> </w:t>
      </w:r>
      <w:r w:rsidR="004D5315">
        <w:t xml:space="preserve">empathy (n=23), hope (n=19), guilt (n=15), gratitude (n=10), fear (n=6) and pride (n=4).  </w:t>
      </w:r>
      <w:r w:rsidR="00C62999">
        <w:t xml:space="preserve">See Table </w:t>
      </w:r>
      <w:r w:rsidR="005F383C">
        <w:t>3</w:t>
      </w:r>
      <w:r w:rsidR="00C62999">
        <w:t xml:space="preserve"> for examples</w:t>
      </w:r>
      <w:r w:rsidR="004D5315">
        <w:t xml:space="preserve"> of each emotional appeal.</w:t>
      </w:r>
    </w:p>
    <w:p w14:paraId="69E35DD8" w14:textId="77777777" w:rsidR="003572A9" w:rsidRDefault="003572A9" w:rsidP="0006659E">
      <w:pPr>
        <w:spacing w:line="480" w:lineRule="auto"/>
        <w:rPr>
          <w:b/>
        </w:rPr>
      </w:pPr>
    </w:p>
    <w:p w14:paraId="4096E372" w14:textId="076C897E" w:rsidR="0006659E" w:rsidRDefault="0006659E" w:rsidP="0006659E">
      <w:pPr>
        <w:spacing w:line="480" w:lineRule="auto"/>
        <w:rPr>
          <w:b/>
        </w:rPr>
      </w:pPr>
      <w:r w:rsidRPr="004E5860">
        <w:rPr>
          <w:b/>
        </w:rPr>
        <w:t>Discussion</w:t>
      </w:r>
    </w:p>
    <w:p w14:paraId="77A0546B" w14:textId="7859CA47" w:rsidR="00F32C50" w:rsidRDefault="00FC3D3B" w:rsidP="00C62999">
      <w:pPr>
        <w:spacing w:line="480" w:lineRule="auto"/>
        <w:ind w:firstLine="720"/>
        <w:rPr>
          <w:vertAlign w:val="superscript"/>
        </w:rPr>
      </w:pPr>
      <w:r>
        <w:t>In public health emergencies</w:t>
      </w:r>
      <w:r w:rsidR="00FE0B05">
        <w:t xml:space="preserve"> like</w:t>
      </w:r>
      <w:r>
        <w:t xml:space="preserve"> the COVID-19 pandemic, crisis or risk communication needs to be disseminated through social media channels such as Twitter in a timely manner.  While crisis communication can take many </w:t>
      </w:r>
      <w:r w:rsidR="00D0652C">
        <w:t xml:space="preserve">forms, messaging will </w:t>
      </w:r>
      <w:r w:rsidR="00C62999">
        <w:t xml:space="preserve">include </w:t>
      </w:r>
      <w:r w:rsidR="00D0652C">
        <w:t>an “expressive component</w:t>
      </w:r>
      <w:r w:rsidR="00AF3541">
        <w:t>,</w:t>
      </w:r>
      <w:r w:rsidR="00D0652C">
        <w:t>” which needs to directly communicate key information</w:t>
      </w:r>
      <w:r w:rsidR="009F17FE">
        <w:t xml:space="preserve"> (Quinn, 2018)</w:t>
      </w:r>
      <w:r w:rsidR="00D0652C">
        <w:t xml:space="preserve">.  The WHO </w:t>
      </w:r>
      <w:r w:rsidR="00D0652C">
        <w:lastRenderedPageBreak/>
        <w:t xml:space="preserve">further emphasizes the importance of risk communication integrated into a planned and coordinated approach to </w:t>
      </w:r>
      <w:r w:rsidR="00C62999">
        <w:t>communicate in an</w:t>
      </w:r>
      <w:r w:rsidR="00D0652C">
        <w:t xml:space="preserve"> efficient, effective, and transparent </w:t>
      </w:r>
      <w:r w:rsidR="00C62999">
        <w:t>manner</w:t>
      </w:r>
      <w:r w:rsidR="00A727ED">
        <w:t xml:space="preserve"> (WHO, 2020c)</w:t>
      </w:r>
      <w:r w:rsidR="00D0652C">
        <w:t xml:space="preserve">. While the four </w:t>
      </w:r>
      <w:r w:rsidR="00BE6763">
        <w:t>federal entities</w:t>
      </w:r>
      <w:r w:rsidR="00D0652C">
        <w:t xml:space="preserve"> selected for this content analysis had social media channels with relatively large followings at the onset of this pandemic, the responses from </w:t>
      </w:r>
      <w:r w:rsidR="00C62999">
        <w:t xml:space="preserve">each </w:t>
      </w:r>
      <w:r w:rsidR="00BE6763">
        <w:t>account</w:t>
      </w:r>
      <w:r w:rsidR="00D0652C">
        <w:t xml:space="preserve"> were not always consistent or coordinated.  The included </w:t>
      </w:r>
      <w:r w:rsidR="00E70159">
        <w:t>t</w:t>
      </w:r>
      <w:r w:rsidR="00D0652C">
        <w:t xml:space="preserve">weets on three key areas highlighted by the White House Task Force and the guidelines that governed American society for months in the immediate aftermath of the pandemic were </w:t>
      </w:r>
      <w:r w:rsidR="00AE65DF">
        <w:t>inconsistent in several ways.  Different messaging styles and framing, different utilization of hashtags and tagging</w:t>
      </w:r>
      <w:r w:rsidR="0027199F">
        <w:t>,</w:t>
      </w:r>
      <w:r w:rsidR="00AE65DF">
        <w:t xml:space="preserve"> and at times contradictory messaging </w:t>
      </w:r>
      <w:r w:rsidR="00A149E8">
        <w:t>were present within</w:t>
      </w:r>
      <w:r w:rsidR="00AE65DF">
        <w:t xml:space="preserve"> </w:t>
      </w:r>
      <w:r w:rsidR="00A149E8">
        <w:t xml:space="preserve">the </w:t>
      </w:r>
      <w:r w:rsidR="00AE65DF">
        <w:t>16-day</w:t>
      </w:r>
      <w:r w:rsidR="00A149E8">
        <w:t xml:space="preserve"> period of study</w:t>
      </w:r>
      <w:r w:rsidR="00C62999">
        <w:t xml:space="preserve">. </w:t>
      </w:r>
      <w:r w:rsidR="00F46992">
        <w:t xml:space="preserve"> </w:t>
      </w:r>
      <w:r w:rsidR="00C62999">
        <w:t xml:space="preserve">This </w:t>
      </w:r>
      <w:r w:rsidR="00D811F9">
        <w:t>occurred</w:t>
      </w:r>
      <w:r w:rsidR="00C62999">
        <w:t xml:space="preserve"> </w:t>
      </w:r>
      <w:r w:rsidR="00AE65DF">
        <w:t xml:space="preserve">during a critical </w:t>
      </w:r>
      <w:r w:rsidR="00A149E8">
        <w:t>time</w:t>
      </w:r>
      <w:r w:rsidR="00AE65DF">
        <w:t xml:space="preserve"> at the beginning of the pandemic where individuals were looking to establish trust and understand their risks in a clear and relatable way.  While several main ideas were re-iterated across the Twitter accounts (hand washing, staying home, protecting others), there was an overall lack of utilization of key Twitter features that are designed to engage audiences and would be ideal for a social media response intended to be relatable with the target audience.  The Surgeon General seemed most adept at tagging others and utilizing celebrity models and challenges (i</w:t>
      </w:r>
      <w:r w:rsidR="00F46992">
        <w:t>.</w:t>
      </w:r>
      <w:r w:rsidR="00AE65DF">
        <w:t>e</w:t>
      </w:r>
      <w:r w:rsidR="00F46992">
        <w:t>.,</w:t>
      </w:r>
      <w:r w:rsidR="00AE65DF">
        <w:t xml:space="preserve"> Safe Hands Challenge) to engage the audience, but even across this account, messaging was often muddled and confusing (particularly related to face masks).  While many of the </w:t>
      </w:r>
      <w:r w:rsidR="00E70159">
        <w:t>t</w:t>
      </w:r>
      <w:r w:rsidR="00AE65DF">
        <w:t xml:space="preserve">weets </w:t>
      </w:r>
      <w:r w:rsidR="00C62999">
        <w:t xml:space="preserve">across all accounts </w:t>
      </w:r>
      <w:r w:rsidR="00AE65DF">
        <w:t>were informative, a sizable portion were argumentative, telling Americans what they “must do,” sometimes in a polarizing way that could limit their effectiveness, particularly in a climate where many every</w:t>
      </w:r>
      <w:r w:rsidR="00F46992">
        <w:t>-</w:t>
      </w:r>
      <w:r w:rsidR="00AE65DF">
        <w:t xml:space="preserve">day freedoms were already being limited.  Further, while many </w:t>
      </w:r>
      <w:r w:rsidR="00E70159">
        <w:t>t</w:t>
      </w:r>
      <w:r w:rsidR="00AE65DF">
        <w:t>weets had gain</w:t>
      </w:r>
      <w:r w:rsidR="0027199F">
        <w:t>-</w:t>
      </w:r>
      <w:r w:rsidR="00AE65DF">
        <w:t>framed messaging that inspired hope and were empathetic in their appeal, many had messaging that instilled guilt and fear, or had mixed appeals that were meant to scare followers and then empathize or give hope second.</w:t>
      </w:r>
      <w:r w:rsidR="0069646B">
        <w:t xml:space="preserve">  </w:t>
      </w:r>
      <w:r w:rsidR="00F31460">
        <w:t xml:space="preserve">Theory </w:t>
      </w:r>
      <w:r w:rsidR="00F31460">
        <w:lastRenderedPageBreak/>
        <w:t xml:space="preserve">based evidence in line with the Extended Parallel Process Model suggests from other health emergencies that </w:t>
      </w:r>
      <w:r w:rsidR="00F46992">
        <w:t xml:space="preserve">messages </w:t>
      </w:r>
      <w:r w:rsidR="00F31460">
        <w:t>explaining the threat (induc</w:t>
      </w:r>
      <w:r w:rsidR="00A149E8">
        <w:t>ing</w:t>
      </w:r>
      <w:r w:rsidR="00F31460">
        <w:t xml:space="preserve"> fear) without providing actionable steps and establishing efficacy to take these actions are limited in their overall effectiveness</w:t>
      </w:r>
      <w:r w:rsidR="00A727ED">
        <w:t xml:space="preserve"> </w:t>
      </w:r>
      <w:r w:rsidR="00314DAE">
        <w:t>(Turner et al., 2013)</w:t>
      </w:r>
      <w:r w:rsidR="00F31460">
        <w:t xml:space="preserve">. </w:t>
      </w:r>
      <w:r w:rsidR="00F46992">
        <w:t xml:space="preserve"> </w:t>
      </w:r>
      <w:r w:rsidR="00F31460">
        <w:t>Further e</w:t>
      </w:r>
      <w:r w:rsidR="0069646B">
        <w:t xml:space="preserve">vidence on the effectiveness of gain versus loss-framed messages and </w:t>
      </w:r>
      <w:r w:rsidR="004E1264">
        <w:t>emotional appeals often depends on the audience, the behavior, the level of certainty of outcome</w:t>
      </w:r>
      <w:r w:rsidR="0027199F">
        <w:t xml:space="preserve"> and level of cognitive processing</w:t>
      </w:r>
      <w:r w:rsidR="00314DAE">
        <w:t xml:space="preserve"> (</w:t>
      </w:r>
      <w:proofErr w:type="spellStart"/>
      <w:r w:rsidR="00314DAE">
        <w:t>Wansink</w:t>
      </w:r>
      <w:proofErr w:type="spellEnd"/>
      <w:r w:rsidR="00314DAE">
        <w:t xml:space="preserve"> &amp; Pope, 2014)</w:t>
      </w:r>
      <w:r w:rsidR="004E1264">
        <w:t xml:space="preserve">. Gain frame messages are typically more effective when an audience has lower involvement and when the outcome </w:t>
      </w:r>
      <w:r w:rsidR="0027199F">
        <w:t xml:space="preserve">of a particular behavior </w:t>
      </w:r>
      <w:r w:rsidR="004E1264">
        <w:t>is more certain.  Since most people are not highly knowledgeable about COVID-19, loss frame messages may not be as effective.  With COVID-19, some health behaviors (such as hand washing) can more clearly reduce risk (i</w:t>
      </w:r>
      <w:r w:rsidR="00A149E8">
        <w:t>.</w:t>
      </w:r>
      <w:r w:rsidR="004E1264">
        <w:t>e</w:t>
      </w:r>
      <w:r w:rsidR="00A149E8">
        <w:t>.,</w:t>
      </w:r>
      <w:r w:rsidR="004E1264">
        <w:t xml:space="preserve"> high certainty), but many other behaviors have varying certainty (</w:t>
      </w:r>
      <w:r w:rsidR="00A149E8">
        <w:t xml:space="preserve">i.e., </w:t>
      </w:r>
      <w:r w:rsidR="004E1264">
        <w:t xml:space="preserve">face masks, test effectiveness) complicating the type of message which is more effective in this context.  Individual risk-aversion can also influence the effectiveness of certain appeals and whether </w:t>
      </w:r>
      <w:r w:rsidR="00F46992">
        <w:t xml:space="preserve">the public </w:t>
      </w:r>
      <w:r w:rsidR="004E1264">
        <w:t>will heed such health messaging (i</w:t>
      </w:r>
      <w:r w:rsidR="00A149E8">
        <w:t>.</w:t>
      </w:r>
      <w:r w:rsidR="004E1264">
        <w:t>e</w:t>
      </w:r>
      <w:r w:rsidR="00A149E8">
        <w:t>.,</w:t>
      </w:r>
      <w:r w:rsidR="004E1264">
        <w:t xml:space="preserve"> social distancing).  Finally, whether someone processes the information with high</w:t>
      </w:r>
      <w:r w:rsidR="00F43079">
        <w:t>-</w:t>
      </w:r>
      <w:r w:rsidR="004E1264">
        <w:t xml:space="preserve">level cognition versus more automatically can </w:t>
      </w:r>
      <w:r w:rsidR="0027199F">
        <w:t>a</w:t>
      </w:r>
      <w:r w:rsidR="004E1264">
        <w:t xml:space="preserve">ffect the utility of a gain or loss-framed message.  Those with </w:t>
      </w:r>
      <w:r w:rsidR="00F43079">
        <w:t xml:space="preserve">higher level </w:t>
      </w:r>
      <w:r w:rsidR="004E1264">
        <w:t xml:space="preserve">cognitive processing of the health messages (more common for a health audience less </w:t>
      </w:r>
      <w:r w:rsidR="0027199F">
        <w:t>familiar with</w:t>
      </w:r>
      <w:r w:rsidR="004E1264">
        <w:t xml:space="preserve"> this type of information) may benefit more from gain framed messages that do not induce fear and other negative emotional appeals</w:t>
      </w:r>
      <w:r w:rsidR="00314DAE">
        <w:t xml:space="preserve"> (</w:t>
      </w:r>
      <w:proofErr w:type="spellStart"/>
      <w:r w:rsidR="00314DAE">
        <w:t>Wansink</w:t>
      </w:r>
      <w:proofErr w:type="spellEnd"/>
      <w:r w:rsidR="00314DAE">
        <w:t xml:space="preserve"> &amp; Pope, 2014)</w:t>
      </w:r>
      <w:r w:rsidR="004E1264">
        <w:t xml:space="preserve">.  </w:t>
      </w:r>
      <w:r w:rsidR="00F31460">
        <w:t xml:space="preserve">Further, the (perceived) motive of an emotional appeal, like a guilt appeal, can have opposing impacts based on the source </w:t>
      </w:r>
      <w:r w:rsidR="00F43079">
        <w:t>origin</w:t>
      </w:r>
      <w:r w:rsidR="005F705F">
        <w:t xml:space="preserve"> (Turner et al., 2017)</w:t>
      </w:r>
      <w:r w:rsidR="00F31460">
        <w:t xml:space="preserve">. </w:t>
      </w:r>
      <w:r w:rsidR="00F46992">
        <w:t xml:space="preserve"> </w:t>
      </w:r>
      <w:r w:rsidR="000740DA">
        <w:t xml:space="preserve">Other research on </w:t>
      </w:r>
      <w:r w:rsidR="00F32C50">
        <w:t>empathy</w:t>
      </w:r>
      <w:r w:rsidR="000740DA">
        <w:t xml:space="preserve"> and pride appeals </w:t>
      </w:r>
      <w:r w:rsidR="00F32C50">
        <w:t xml:space="preserve">also found cultural differences in persuasiveness, based on collectivist versus individualist cultures and </w:t>
      </w:r>
      <w:r w:rsidR="00F32C50" w:rsidRPr="00F32C50">
        <w:t>perspectives</w:t>
      </w:r>
      <w:r w:rsidR="005F705F">
        <w:t xml:space="preserve"> (Aaker &amp; Williams, 1998).</w:t>
      </w:r>
      <w:r w:rsidR="00F32C50">
        <w:t xml:space="preserve"> </w:t>
      </w:r>
      <w:r w:rsidR="00F46992">
        <w:t xml:space="preserve"> </w:t>
      </w:r>
      <w:r w:rsidR="00111C36">
        <w:t xml:space="preserve">Recent research specific to COVID-19 health communication has encouraged </w:t>
      </w:r>
      <w:r w:rsidR="003C3384">
        <w:t xml:space="preserve">health professional to avoid fear appeals due </w:t>
      </w:r>
      <w:r w:rsidR="003C3384">
        <w:lastRenderedPageBreak/>
        <w:t>to the potential harmful and unintended consequences (</w:t>
      </w:r>
      <w:proofErr w:type="spellStart"/>
      <w:r w:rsidR="003C3384">
        <w:t>Stolow</w:t>
      </w:r>
      <w:proofErr w:type="spellEnd"/>
      <w:r w:rsidR="003C3384">
        <w:t xml:space="preserve"> et al., 2020).  </w:t>
      </w:r>
      <w:r w:rsidR="00F32C50">
        <w:t>F</w:t>
      </w:r>
      <w:r w:rsidR="00F43079">
        <w:t>inally</w:t>
      </w:r>
      <w:r w:rsidR="00F32C50">
        <w:t xml:space="preserve">, compared to negative or fear appeals, hope appeals improved cognitive processing and generated more support (versus countering) </w:t>
      </w:r>
      <w:r w:rsidR="005F6BEA">
        <w:t xml:space="preserve">for </w:t>
      </w:r>
      <w:r w:rsidR="00F32C50">
        <w:t>the recommendation and message</w:t>
      </w:r>
      <w:r w:rsidR="005F705F">
        <w:t xml:space="preserve"> (Underhill, 2012)</w:t>
      </w:r>
      <w:r w:rsidR="00F32C50">
        <w:t>.</w:t>
      </w:r>
    </w:p>
    <w:p w14:paraId="5CD37C10" w14:textId="4A5BF631" w:rsidR="00FC3D3B" w:rsidRDefault="004E1264" w:rsidP="00C62999">
      <w:pPr>
        <w:spacing w:line="480" w:lineRule="auto"/>
        <w:ind w:firstLine="720"/>
      </w:pPr>
      <w:r>
        <w:t xml:space="preserve">While it is not completely clear </w:t>
      </w:r>
      <w:r w:rsidR="005F6BEA">
        <w:t xml:space="preserve">which </w:t>
      </w:r>
      <w:r>
        <w:t xml:space="preserve">type of messaging may best benefit the general public (rather than specific </w:t>
      </w:r>
      <w:r w:rsidR="00C62999">
        <w:t>audiences</w:t>
      </w:r>
      <w:r>
        <w:t>)</w:t>
      </w:r>
      <w:r w:rsidR="00B97127">
        <w:t xml:space="preserve">, the variety of messaging utilized may not have had the intended or planned </w:t>
      </w:r>
      <w:r w:rsidR="005F6BEA">
        <w:t>e</w:t>
      </w:r>
      <w:r w:rsidR="00B97127">
        <w:t xml:space="preserve">ffect from these Twitter accounts.  </w:t>
      </w:r>
      <w:r w:rsidR="005F6BEA">
        <w:t xml:space="preserve">Although </w:t>
      </w:r>
      <w:r w:rsidR="00B97127">
        <w:t xml:space="preserve">a few specific audiences were directly targeted (youth, families, elderly), it is not clear that message communication </w:t>
      </w:r>
      <w:r w:rsidR="00C62999">
        <w:t>was tailored</w:t>
      </w:r>
      <w:r w:rsidR="00B97127">
        <w:t xml:space="preserve"> to best meet the diverse needs of these varying audiences.  Most messages were directed towards the general population</w:t>
      </w:r>
      <w:r w:rsidR="00C62999">
        <w:t xml:space="preserve"> at large,</w:t>
      </w:r>
      <w:r w:rsidR="00B97127">
        <w:t xml:space="preserve"> in which case it may be challenging to frame </w:t>
      </w:r>
      <w:r w:rsidR="00C62999">
        <w:t>the</w:t>
      </w:r>
      <w:r w:rsidR="00B97127">
        <w:t xml:space="preserve"> message in a way that is effective for everyone.</w:t>
      </w:r>
      <w:r w:rsidR="0027199F">
        <w:t xml:space="preserve">  </w:t>
      </w:r>
      <w:r w:rsidR="005F6BEA">
        <w:t xml:space="preserve">Additionally, </w:t>
      </w:r>
      <w:r w:rsidR="0027199F">
        <w:t>Twitter has the unique advantage of short, concise messaging</w:t>
      </w:r>
      <w:r w:rsidR="005F6BEA">
        <w:t>.  This can help</w:t>
      </w:r>
      <w:r w:rsidR="0027199F">
        <w:t xml:space="preserve"> with the comprehensi</w:t>
      </w:r>
      <w:r w:rsidR="00C62999">
        <w:t>on</w:t>
      </w:r>
      <w:r w:rsidR="0027199F">
        <w:t xml:space="preserve"> of simple messages, when articulated well.  The high frequency of messaging </w:t>
      </w:r>
      <w:r w:rsidR="005F6BEA">
        <w:t xml:space="preserve">typical of </w:t>
      </w:r>
      <w:r w:rsidR="0027199F">
        <w:t xml:space="preserve">this social media channel </w:t>
      </w:r>
      <w:r w:rsidR="00C62999">
        <w:t>allowed for the</w:t>
      </w:r>
      <w:r w:rsidR="0027199F">
        <w:t xml:space="preserve"> re-</w:t>
      </w:r>
      <w:r w:rsidR="00F43079">
        <w:t>iteration</w:t>
      </w:r>
      <w:r w:rsidR="00C62999">
        <w:t xml:space="preserve"> of</w:t>
      </w:r>
      <w:r w:rsidR="0027199F">
        <w:t xml:space="preserve"> key health messages, but also </w:t>
      </w:r>
      <w:r w:rsidR="00F43079">
        <w:t>left</w:t>
      </w:r>
      <w:r w:rsidR="0027199F">
        <w:t xml:space="preserve"> more room for error and inconsistencies.</w:t>
      </w:r>
    </w:p>
    <w:p w14:paraId="384B60EF" w14:textId="30F57376" w:rsidR="0027199F" w:rsidRDefault="0027199F" w:rsidP="0006659E">
      <w:pPr>
        <w:spacing w:line="480" w:lineRule="auto"/>
      </w:pPr>
      <w:r>
        <w:tab/>
        <w:t xml:space="preserve">While the </w:t>
      </w:r>
      <w:r w:rsidR="00E70159">
        <w:t>t</w:t>
      </w:r>
      <w:r>
        <w:t xml:space="preserve">weets analyzed herein only included a small subset of the total </w:t>
      </w:r>
      <w:r w:rsidR="00E70159">
        <w:t>t</w:t>
      </w:r>
      <w:r>
        <w:t xml:space="preserve">weets from each of these accounts and only a sample of all the </w:t>
      </w:r>
      <w:r w:rsidR="00BE6763">
        <w:t>groups</w:t>
      </w:r>
      <w:r>
        <w:t xml:space="preserve"> involved in the pandemic response (on a variety of media channels and platforms)</w:t>
      </w:r>
      <w:r w:rsidR="00B34542">
        <w:t xml:space="preserve">, the content does begin to illustrate both </w:t>
      </w:r>
      <w:r w:rsidR="005F6BEA">
        <w:t xml:space="preserve">the </w:t>
      </w:r>
      <w:r w:rsidR="00B34542">
        <w:t xml:space="preserve">benefits and problems </w:t>
      </w:r>
      <w:r w:rsidR="00C62999">
        <w:t>of</w:t>
      </w:r>
      <w:r w:rsidR="00B34542">
        <w:t xml:space="preserve"> Twitter-based COVID-19 risk communication.  The time period reviewed is only a brief snapshot of </w:t>
      </w:r>
      <w:r w:rsidR="005F6BEA">
        <w:t>the events during the</w:t>
      </w:r>
      <w:r w:rsidR="00B34542">
        <w:t xml:space="preserve"> past several months, but a focus on early response efforts </w:t>
      </w:r>
      <w:r w:rsidR="000646FC">
        <w:t>is</w:t>
      </w:r>
      <w:r w:rsidR="00B34542">
        <w:t xml:space="preserve"> informative for future communication in this ongoing pandemic.  The analysis of </w:t>
      </w:r>
      <w:r w:rsidR="00E70159">
        <w:t>t</w:t>
      </w:r>
      <w:r w:rsidR="00B34542">
        <w:t>weets included here was also strictly limited to text-based responses and d</w:t>
      </w:r>
      <w:r w:rsidR="00C62999">
        <w:t>id</w:t>
      </w:r>
      <w:r w:rsidR="00B34542">
        <w:t xml:space="preserve"> not include </w:t>
      </w:r>
      <w:r w:rsidR="00C62999">
        <w:t xml:space="preserve">analysis of </w:t>
      </w:r>
      <w:r w:rsidR="00B34542">
        <w:t>any additional messaging content that may be communicated through visuals, media or links associated with the messages</w:t>
      </w:r>
      <w:r w:rsidR="00F43079">
        <w:t>, which may be an area for future research</w:t>
      </w:r>
      <w:r w:rsidR="00B34542">
        <w:t>.</w:t>
      </w:r>
    </w:p>
    <w:p w14:paraId="1A0E2773" w14:textId="384110AD" w:rsidR="00B34542" w:rsidRDefault="00B34542" w:rsidP="0006659E">
      <w:pPr>
        <w:spacing w:line="480" w:lineRule="auto"/>
      </w:pPr>
      <w:r>
        <w:lastRenderedPageBreak/>
        <w:tab/>
        <w:t xml:space="preserve">As the world struggles to discern the best next steps in the COVID-19 response, it is the duty of our nation’s leaders, particularly those involved in our public health and emergency responses to provide the public with clear, direct and effective communication to better understand risks and protect our lives and our health.  However, in a rapidly evolving context marked with uncertainty, it is understandable that risk communication takes on an additional level of complexity.  The four </w:t>
      </w:r>
      <w:r w:rsidR="00D40F76">
        <w:t>organizations</w:t>
      </w:r>
      <w:r>
        <w:t xml:space="preserve"> highlighted may benefit from reviewing guidance on risk and crisis communication from previous public health emergencies and engage communication professionals in the construction of appropriate Twitter content so that lessons learned can inform a consistent and coordinated response moving forward.  The analysis herein reveals many layers of framing, audience-targeting, emotional appeals and messaging tones that may not be readily apparent to the leaders informing the American people of their COVID-related risks and related essential health information.  Studying health communication, </w:t>
      </w:r>
      <w:r w:rsidR="00F43079">
        <w:t xml:space="preserve">and </w:t>
      </w:r>
      <w:r>
        <w:t xml:space="preserve">in particular its effects on key audience segments, is imperative to best promoting health and saving lives during this current public health emergency.  Future research should continue to review health messaging and share </w:t>
      </w:r>
      <w:r w:rsidR="00F43079">
        <w:t xml:space="preserve">results related to communication efficacy </w:t>
      </w:r>
      <w:r>
        <w:t xml:space="preserve">and </w:t>
      </w:r>
      <w:r w:rsidR="00F43079">
        <w:t>message</w:t>
      </w:r>
      <w:r>
        <w:t xml:space="preserve"> effectiveness with leaders who disseminate this critical information to the population at large</w:t>
      </w:r>
      <w:r w:rsidR="00C62999">
        <w:t xml:space="preserve"> </w:t>
      </w:r>
      <w:r w:rsidR="00F43079">
        <w:t>in order to</w:t>
      </w:r>
      <w:r w:rsidR="00C62999">
        <w:t xml:space="preserve"> ensure everyone has equitable access to critical risk and health information</w:t>
      </w:r>
      <w:r>
        <w:t>.</w:t>
      </w:r>
    </w:p>
    <w:p w14:paraId="591BBFAD" w14:textId="77777777" w:rsidR="00EF0DC4" w:rsidRDefault="00EF0DC4" w:rsidP="0006659E">
      <w:pPr>
        <w:spacing w:line="480" w:lineRule="auto"/>
      </w:pPr>
    </w:p>
    <w:p w14:paraId="2FCE7B32" w14:textId="3ADE00FD" w:rsidR="00EF0DC4" w:rsidRDefault="00EF0DC4" w:rsidP="0006659E">
      <w:pPr>
        <w:spacing w:line="480" w:lineRule="auto"/>
      </w:pPr>
    </w:p>
    <w:p w14:paraId="71D8CD56" w14:textId="254A5DDF" w:rsidR="00A33D68" w:rsidRDefault="00A33D68" w:rsidP="0006659E">
      <w:pPr>
        <w:spacing w:line="480" w:lineRule="auto"/>
      </w:pPr>
    </w:p>
    <w:p w14:paraId="30FFF0C8" w14:textId="65C4E80B" w:rsidR="00A33D68" w:rsidRDefault="00A33D68" w:rsidP="0006659E">
      <w:pPr>
        <w:spacing w:line="480" w:lineRule="auto"/>
      </w:pPr>
    </w:p>
    <w:p w14:paraId="4E06E176" w14:textId="7904422E" w:rsidR="00A33D68" w:rsidRDefault="00A33D68" w:rsidP="0006659E">
      <w:pPr>
        <w:spacing w:line="480" w:lineRule="auto"/>
      </w:pPr>
    </w:p>
    <w:p w14:paraId="70D243C5" w14:textId="77777777" w:rsidR="00A33D68" w:rsidRDefault="00A33D68" w:rsidP="0006659E">
      <w:pPr>
        <w:spacing w:line="480" w:lineRule="auto"/>
      </w:pPr>
    </w:p>
    <w:p w14:paraId="21927B3C" w14:textId="77777777" w:rsidR="00287DA6" w:rsidRPr="00A33D68" w:rsidRDefault="0006659E" w:rsidP="00287DA6">
      <w:pPr>
        <w:spacing w:line="480" w:lineRule="auto"/>
        <w:rPr>
          <w:b/>
        </w:rPr>
      </w:pPr>
      <w:r w:rsidRPr="00A33D68">
        <w:rPr>
          <w:b/>
        </w:rPr>
        <w:lastRenderedPageBreak/>
        <w:t xml:space="preserve">References: </w:t>
      </w:r>
    </w:p>
    <w:p w14:paraId="7221174E" w14:textId="77777777" w:rsidR="00287DA6" w:rsidRDefault="00287DA6" w:rsidP="00287DA6">
      <w:r w:rsidRPr="00A41965">
        <w:t>Aaker</w:t>
      </w:r>
      <w:r>
        <w:t xml:space="preserve">, J.L. &amp; </w:t>
      </w:r>
      <w:r w:rsidRPr="00A41965">
        <w:t>Williams</w:t>
      </w:r>
      <w:r>
        <w:t xml:space="preserve"> P. (1998). </w:t>
      </w:r>
      <w:r w:rsidRPr="00A41965">
        <w:t>Empathy versus pride: The influence</w:t>
      </w:r>
      <w:r>
        <w:t xml:space="preserve"> </w:t>
      </w:r>
      <w:r w:rsidRPr="00A41965">
        <w:t xml:space="preserve">of emotional appeals </w:t>
      </w:r>
    </w:p>
    <w:p w14:paraId="06724A35" w14:textId="7A0CCEB5" w:rsidR="00287DA6" w:rsidRDefault="00287DA6" w:rsidP="00287DA6">
      <w:pPr>
        <w:ind w:firstLine="360"/>
      </w:pPr>
      <w:r w:rsidRPr="00A41965">
        <w:t xml:space="preserve">across cultures. </w:t>
      </w:r>
      <w:r w:rsidRPr="00287DA6">
        <w:rPr>
          <w:i/>
        </w:rPr>
        <w:t>Journal of Consumer Research, 25</w:t>
      </w:r>
      <w:r w:rsidRPr="00A41965">
        <w:t>(3)</w:t>
      </w:r>
      <w:r>
        <w:t xml:space="preserve">, </w:t>
      </w:r>
      <w:r w:rsidRPr="00A41965">
        <w:t>241–261.</w:t>
      </w:r>
    </w:p>
    <w:p w14:paraId="5862FB6D" w14:textId="77777777" w:rsidR="00287DA6" w:rsidRDefault="00287DA6" w:rsidP="00287DA6">
      <w:pPr>
        <w:ind w:firstLine="360"/>
      </w:pPr>
    </w:p>
    <w:p w14:paraId="4BF86BDE" w14:textId="77777777" w:rsidR="00287DA6" w:rsidRDefault="00287DA6" w:rsidP="00287DA6">
      <w:pPr>
        <w:rPr>
          <w:i/>
        </w:rPr>
      </w:pPr>
      <w:r>
        <w:t xml:space="preserve">Centers for Disease Control and Prevention [CDC] (2020, March 15). </w:t>
      </w:r>
      <w:r w:rsidRPr="00287DA6">
        <w:rPr>
          <w:i/>
        </w:rPr>
        <w:t xml:space="preserve">Get Your Mass Gatherings </w:t>
      </w:r>
    </w:p>
    <w:p w14:paraId="38C66EE6" w14:textId="77777777" w:rsidR="00287DA6" w:rsidRDefault="00287DA6" w:rsidP="00287DA6">
      <w:pPr>
        <w:ind w:firstLine="720"/>
        <w:rPr>
          <w:i/>
        </w:rPr>
      </w:pPr>
      <w:r w:rsidRPr="00287DA6">
        <w:rPr>
          <w:i/>
        </w:rPr>
        <w:t xml:space="preserve">or Large Community Events Ready: Interim Guidance for Coronavirus Disease 2019 </w:t>
      </w:r>
    </w:p>
    <w:p w14:paraId="226DA397" w14:textId="190E770C" w:rsidR="00287DA6" w:rsidRDefault="00287DA6" w:rsidP="00287DA6">
      <w:pPr>
        <w:ind w:left="720"/>
      </w:pPr>
      <w:r w:rsidRPr="00287DA6">
        <w:rPr>
          <w:i/>
        </w:rPr>
        <w:t>(COVID-19)</w:t>
      </w:r>
      <w:r>
        <w:t xml:space="preserve">. </w:t>
      </w:r>
      <w:hyperlink r:id="rId8" w:history="1">
        <w:r w:rsidRPr="00AD2EB9">
          <w:rPr>
            <w:rStyle w:val="Hyperlink"/>
          </w:rPr>
          <w:t>https://www.cdc.gov/coronavirus/2019-ncov/community/large-events/mass-gatherings-ready-for-covid-19.html</w:t>
        </w:r>
      </w:hyperlink>
      <w:r>
        <w:t xml:space="preserve">. </w:t>
      </w:r>
    </w:p>
    <w:p w14:paraId="1DA6C8AF" w14:textId="77777777" w:rsidR="00287DA6" w:rsidRDefault="00287DA6" w:rsidP="00287DA6"/>
    <w:p w14:paraId="39D25581" w14:textId="7BF268AE" w:rsidR="00287DA6" w:rsidRDefault="00464E89" w:rsidP="00287DA6">
      <w:r>
        <w:t>Chalfant</w:t>
      </w:r>
      <w:r w:rsidR="005F705F">
        <w:t>,</w:t>
      </w:r>
      <w:r>
        <w:t xml:space="preserve"> M</w:t>
      </w:r>
      <w:r w:rsidR="005F705F">
        <w:t>. &amp;</w:t>
      </w:r>
      <w:r>
        <w:t xml:space="preserve"> Samuels</w:t>
      </w:r>
      <w:r w:rsidR="005F705F">
        <w:t>,</w:t>
      </w:r>
      <w:r>
        <w:t xml:space="preserve"> B.</w:t>
      </w:r>
      <w:r w:rsidR="005F705F">
        <w:t xml:space="preserve"> (2020, March 23).</w:t>
      </w:r>
      <w:r>
        <w:t xml:space="preserve"> White House Grapples with the Coronavirus </w:t>
      </w:r>
    </w:p>
    <w:p w14:paraId="6A93DC09" w14:textId="662A2651" w:rsidR="00464E89" w:rsidRDefault="00464E89" w:rsidP="00287DA6">
      <w:pPr>
        <w:ind w:left="360"/>
      </w:pPr>
      <w:r>
        <w:t xml:space="preserve">Outbreak: A timeline. </w:t>
      </w:r>
      <w:r w:rsidRPr="00287DA6">
        <w:rPr>
          <w:i/>
        </w:rPr>
        <w:t>The Hill</w:t>
      </w:r>
      <w:r>
        <w:t xml:space="preserve">. </w:t>
      </w:r>
      <w:hyperlink r:id="rId9" w:history="1">
        <w:r w:rsidR="00287DA6" w:rsidRPr="00AD2EB9">
          <w:rPr>
            <w:rStyle w:val="Hyperlink"/>
          </w:rPr>
          <w:t>https://thehill.com/homenews/news/488942-white-house-grapples-with-the-coronavirus-outbreak-a-timeline</w:t>
        </w:r>
      </w:hyperlink>
      <w:r>
        <w:t xml:space="preserve">. </w:t>
      </w:r>
    </w:p>
    <w:p w14:paraId="57C8B018" w14:textId="77777777" w:rsidR="00287DA6" w:rsidRPr="009C45E1" w:rsidRDefault="00287DA6" w:rsidP="00287DA6">
      <w:pPr>
        <w:ind w:firstLine="360"/>
      </w:pPr>
    </w:p>
    <w:p w14:paraId="27772B68" w14:textId="77777777" w:rsidR="00287DA6" w:rsidRDefault="00287DA6" w:rsidP="00287DA6">
      <w:proofErr w:type="spellStart"/>
      <w:r w:rsidRPr="00A41965">
        <w:t>Hatchard</w:t>
      </w:r>
      <w:proofErr w:type="spellEnd"/>
      <w:r>
        <w:t>,</w:t>
      </w:r>
      <w:r w:rsidRPr="00A41965">
        <w:t xml:space="preserve"> J</w:t>
      </w:r>
      <w:r>
        <w:t>.</w:t>
      </w:r>
      <w:r w:rsidRPr="00A41965">
        <w:t>L</w:t>
      </w:r>
      <w:r>
        <w:t>.</w:t>
      </w:r>
      <w:r w:rsidRPr="00A41965">
        <w:t xml:space="preserve">, </w:t>
      </w:r>
      <w:proofErr w:type="spellStart"/>
      <w:r w:rsidRPr="00A41965">
        <w:t>Quariguasi</w:t>
      </w:r>
      <w:proofErr w:type="spellEnd"/>
      <w:r>
        <w:t>,</w:t>
      </w:r>
      <w:r w:rsidRPr="00A41965">
        <w:t xml:space="preserve"> J</w:t>
      </w:r>
      <w:r>
        <w:t>.</w:t>
      </w:r>
      <w:r w:rsidRPr="00A41965">
        <w:t>, Neto</w:t>
      </w:r>
      <w:r>
        <w:t>,</w:t>
      </w:r>
      <w:r w:rsidRPr="00A41965">
        <w:t xml:space="preserve"> F</w:t>
      </w:r>
      <w:r>
        <w:t>.</w:t>
      </w:r>
      <w:r w:rsidRPr="00A41965">
        <w:t xml:space="preserve">, </w:t>
      </w:r>
      <w:proofErr w:type="spellStart"/>
      <w:r w:rsidRPr="00A41965">
        <w:t>Vasilakis</w:t>
      </w:r>
      <w:proofErr w:type="spellEnd"/>
      <w:r>
        <w:t>,</w:t>
      </w:r>
      <w:r w:rsidRPr="00A41965">
        <w:t xml:space="preserve"> C</w:t>
      </w:r>
      <w:r>
        <w:t>.</w:t>
      </w:r>
      <w:r w:rsidRPr="00A41965">
        <w:t>, Evans</w:t>
      </w:r>
      <w:r>
        <w:t>,</w:t>
      </w:r>
      <w:r w:rsidRPr="00A41965">
        <w:t xml:space="preserve"> K</w:t>
      </w:r>
      <w:r>
        <w:t>.</w:t>
      </w:r>
      <w:r w:rsidRPr="00A41965">
        <w:t>A.</w:t>
      </w:r>
      <w:r>
        <w:t xml:space="preserve"> (2019).</w:t>
      </w:r>
      <w:r w:rsidRPr="00A41965">
        <w:t xml:space="preserve"> Tweeting about public</w:t>
      </w:r>
    </w:p>
    <w:p w14:paraId="21C8EEA1" w14:textId="77777777" w:rsidR="00287DA6" w:rsidRDefault="00287DA6" w:rsidP="00287DA6">
      <w:pPr>
        <w:ind w:firstLine="720"/>
      </w:pPr>
      <w:r w:rsidRPr="00A41965">
        <w:t xml:space="preserve"> health</w:t>
      </w:r>
      <w:r>
        <w:t xml:space="preserve"> </w:t>
      </w:r>
      <w:r w:rsidRPr="00A41965">
        <w:t xml:space="preserve">policy: Social media response to the UK Government’s announcement of a </w:t>
      </w:r>
    </w:p>
    <w:p w14:paraId="347752A8" w14:textId="77777777" w:rsidR="00287DA6" w:rsidRDefault="00287DA6" w:rsidP="00287DA6">
      <w:pPr>
        <w:ind w:firstLine="720"/>
      </w:pPr>
      <w:r w:rsidRPr="00A41965">
        <w:t xml:space="preserve">Parliamentary vote on draft </w:t>
      </w:r>
      <w:proofErr w:type="spellStart"/>
      <w:r w:rsidRPr="00A41965">
        <w:t>standardised</w:t>
      </w:r>
      <w:proofErr w:type="spellEnd"/>
      <w:r w:rsidRPr="00A41965">
        <w:t xml:space="preserve"> packaging regulations. </w:t>
      </w:r>
      <w:proofErr w:type="spellStart"/>
      <w:r w:rsidRPr="00287DA6">
        <w:rPr>
          <w:i/>
        </w:rPr>
        <w:t>PLoS</w:t>
      </w:r>
      <w:proofErr w:type="spellEnd"/>
      <w:r w:rsidRPr="00287DA6">
        <w:rPr>
          <w:i/>
        </w:rPr>
        <w:t xml:space="preserve"> One, 14</w:t>
      </w:r>
      <w:r>
        <w:t xml:space="preserve">(2), </w:t>
      </w:r>
      <w:r w:rsidRPr="00A41965">
        <w:t>1-16.</w:t>
      </w:r>
    </w:p>
    <w:p w14:paraId="2F81F3EA" w14:textId="77777777" w:rsidR="00287DA6" w:rsidRDefault="00287DA6" w:rsidP="00287DA6"/>
    <w:p w14:paraId="42704628" w14:textId="680C00A7" w:rsidR="00287DA6" w:rsidRDefault="00287DA6" w:rsidP="00287DA6">
      <w:pPr>
        <w:rPr>
          <w:i/>
        </w:rPr>
      </w:pPr>
      <w:r>
        <w:t xml:space="preserve">Hughes, A., Shah, S., Smith, A. (2020, April 2). </w:t>
      </w:r>
      <w:r w:rsidRPr="00287DA6">
        <w:rPr>
          <w:i/>
        </w:rPr>
        <w:t xml:space="preserve">Tweets by members of Congress tell the story of </w:t>
      </w:r>
    </w:p>
    <w:p w14:paraId="68404000" w14:textId="77777777" w:rsidR="00287DA6" w:rsidRPr="004D505E" w:rsidRDefault="00287DA6" w:rsidP="00287DA6">
      <w:pPr>
        <w:ind w:left="360"/>
      </w:pPr>
      <w:r w:rsidRPr="00287DA6">
        <w:rPr>
          <w:i/>
        </w:rPr>
        <w:t>an escalating COVID-19 crisis.</w:t>
      </w:r>
      <w:r>
        <w:t xml:space="preserve"> PewResearch.org. </w:t>
      </w:r>
      <w:hyperlink r:id="rId10" w:history="1">
        <w:r w:rsidRPr="00AD2EB9">
          <w:rPr>
            <w:rStyle w:val="Hyperlink"/>
          </w:rPr>
          <w:t>https://www.pewresearch.org/fact-tank/2020/04/02/tweets-by-members-of-congress-tell-the-story-of-an-escalating-covid-19-crisis/</w:t>
        </w:r>
      </w:hyperlink>
      <w:r>
        <w:t xml:space="preserve">. </w:t>
      </w:r>
    </w:p>
    <w:p w14:paraId="48C82CEC" w14:textId="77777777" w:rsidR="00287DA6" w:rsidRDefault="00287DA6" w:rsidP="00287DA6"/>
    <w:p w14:paraId="530AC4BF" w14:textId="58F1A15C" w:rsidR="00287DA6" w:rsidRDefault="00287DA6" w:rsidP="00287DA6">
      <w:pPr>
        <w:rPr>
          <w:i/>
        </w:rPr>
      </w:pPr>
      <w:r>
        <w:t xml:space="preserve">Iwai, Y. (2020, April 7). Harnessing Social Media for the COVID-19 Pandemic. </w:t>
      </w:r>
      <w:r w:rsidRPr="00287DA6">
        <w:rPr>
          <w:i/>
        </w:rPr>
        <w:t xml:space="preserve">Scientific </w:t>
      </w:r>
    </w:p>
    <w:p w14:paraId="5F2AA847" w14:textId="77777777" w:rsidR="00287DA6" w:rsidRDefault="00287DA6" w:rsidP="00287DA6">
      <w:pPr>
        <w:ind w:left="360"/>
      </w:pPr>
      <w:r w:rsidRPr="00287DA6">
        <w:rPr>
          <w:i/>
        </w:rPr>
        <w:t>American.</w:t>
      </w:r>
      <w:r>
        <w:t xml:space="preserve"> </w:t>
      </w:r>
      <w:hyperlink r:id="rId11" w:history="1">
        <w:r w:rsidRPr="00AD2EB9">
          <w:rPr>
            <w:rStyle w:val="Hyperlink"/>
          </w:rPr>
          <w:t>https://blogs.scientificamerican.com/observations/harnessing-social-media-for-the-covid-19-pandemic/</w:t>
        </w:r>
      </w:hyperlink>
      <w:r>
        <w:t xml:space="preserve">. </w:t>
      </w:r>
    </w:p>
    <w:p w14:paraId="5FBF902C" w14:textId="77777777" w:rsidR="00287DA6" w:rsidRDefault="00287DA6" w:rsidP="00287DA6"/>
    <w:p w14:paraId="16C788BB" w14:textId="77777777" w:rsidR="00287DA6" w:rsidRDefault="00287DA6" w:rsidP="00287DA6">
      <w:r>
        <w:t>Kahneman, D. &amp;Tversky, A. (1979). Prospect theory: An analysis of decision under risk.</w:t>
      </w:r>
    </w:p>
    <w:p w14:paraId="7FD519C3" w14:textId="77777777" w:rsidR="00287DA6" w:rsidRDefault="00287DA6" w:rsidP="00287DA6">
      <w:pPr>
        <w:ind w:firstLine="720"/>
      </w:pPr>
      <w:r>
        <w:t xml:space="preserve"> </w:t>
      </w:r>
      <w:proofErr w:type="spellStart"/>
      <w:r w:rsidRPr="00287DA6">
        <w:rPr>
          <w:i/>
        </w:rPr>
        <w:t>Econometrica</w:t>
      </w:r>
      <w:proofErr w:type="spellEnd"/>
      <w:r w:rsidRPr="00287DA6">
        <w:rPr>
          <w:i/>
        </w:rPr>
        <w:t>, 47</w:t>
      </w:r>
      <w:r>
        <w:t xml:space="preserve">, 263-291. </w:t>
      </w:r>
    </w:p>
    <w:p w14:paraId="2D4A5802" w14:textId="77777777" w:rsidR="00287DA6" w:rsidRDefault="00287DA6" w:rsidP="00287DA6"/>
    <w:p w14:paraId="181F1C78" w14:textId="77777777" w:rsidR="00287DA6" w:rsidRDefault="00287DA6" w:rsidP="00287DA6">
      <w:r>
        <w:t xml:space="preserve">Kahneman, D. &amp; Tversky, A. (1982). The psychology of preferences. </w:t>
      </w:r>
      <w:r w:rsidRPr="00287DA6">
        <w:rPr>
          <w:i/>
        </w:rPr>
        <w:t>Scientific American, 246</w:t>
      </w:r>
      <w:r>
        <w:t>,</w:t>
      </w:r>
    </w:p>
    <w:p w14:paraId="7C93F5F7" w14:textId="77777777" w:rsidR="00287DA6" w:rsidRDefault="00287DA6" w:rsidP="00287DA6">
      <w:pPr>
        <w:ind w:firstLine="720"/>
      </w:pPr>
      <w:r>
        <w:t xml:space="preserve"> 160-173.</w:t>
      </w:r>
    </w:p>
    <w:p w14:paraId="574BECC8" w14:textId="77777777" w:rsidR="00287DA6" w:rsidRDefault="00287DA6" w:rsidP="00287DA6"/>
    <w:p w14:paraId="631E98F5" w14:textId="77777777" w:rsidR="000E4155" w:rsidRDefault="000E4155" w:rsidP="000E4155">
      <w:pPr>
        <w:rPr>
          <w:i/>
        </w:rPr>
      </w:pPr>
      <w:r w:rsidRPr="00A41965">
        <w:t>Nabi</w:t>
      </w:r>
      <w:r>
        <w:t xml:space="preserve">, </w:t>
      </w:r>
      <w:r w:rsidRPr="00A41965">
        <w:t>R</w:t>
      </w:r>
      <w:r>
        <w:t>.</w:t>
      </w:r>
      <w:r w:rsidRPr="00A41965">
        <w:t>L</w:t>
      </w:r>
      <w:r>
        <w:t>.</w:t>
      </w:r>
      <w:r w:rsidRPr="00A41965">
        <w:t xml:space="preserve"> (2002). Discrete emotions and persuasion. </w:t>
      </w:r>
      <w:r>
        <w:t xml:space="preserve">In Dillard JP, Pfau, M. (Ed.), </w:t>
      </w:r>
      <w:r w:rsidRPr="00287DA6">
        <w:rPr>
          <w:i/>
        </w:rPr>
        <w:t xml:space="preserve">The </w:t>
      </w:r>
    </w:p>
    <w:p w14:paraId="27DEE372" w14:textId="77777777" w:rsidR="000E4155" w:rsidRDefault="000E4155" w:rsidP="000E4155">
      <w:pPr>
        <w:ind w:firstLine="720"/>
      </w:pPr>
      <w:r w:rsidRPr="00287DA6">
        <w:rPr>
          <w:i/>
        </w:rPr>
        <w:t>persuasion handbook: Developments in theory and practice</w:t>
      </w:r>
      <w:r>
        <w:t xml:space="preserve"> (pp. 308).</w:t>
      </w:r>
      <w:r w:rsidRPr="00A41965">
        <w:t xml:space="preserve"> Sage Publications.</w:t>
      </w:r>
    </w:p>
    <w:p w14:paraId="3A5B7EDC" w14:textId="77777777" w:rsidR="000E4155" w:rsidRDefault="000E4155" w:rsidP="00287DA6"/>
    <w:p w14:paraId="760DFD11" w14:textId="2E98E37A" w:rsidR="00287DA6" w:rsidRDefault="00287DA6" w:rsidP="00287DA6">
      <w:pPr>
        <w:rPr>
          <w:iCs/>
        </w:rPr>
      </w:pPr>
      <w:r w:rsidRPr="00272670">
        <w:t>Quinn</w:t>
      </w:r>
      <w:r>
        <w:t>,</w:t>
      </w:r>
      <w:r w:rsidRPr="00272670">
        <w:t xml:space="preserve"> P.</w:t>
      </w:r>
      <w:r>
        <w:t xml:space="preserve"> (2018).</w:t>
      </w:r>
      <w:r w:rsidRPr="00272670">
        <w:t xml:space="preserve"> </w:t>
      </w:r>
      <w:r w:rsidRPr="00287DA6">
        <w:rPr>
          <w:iCs/>
        </w:rPr>
        <w:t xml:space="preserve">Crisis Communication in Public Health Emergencies: The Limits of ‘Legal </w:t>
      </w:r>
    </w:p>
    <w:p w14:paraId="11B2711C" w14:textId="77777777" w:rsidR="00287DA6" w:rsidRDefault="00287DA6" w:rsidP="00287DA6">
      <w:pPr>
        <w:ind w:firstLine="720"/>
        <w:rPr>
          <w:i/>
        </w:rPr>
      </w:pPr>
      <w:r w:rsidRPr="00287DA6">
        <w:rPr>
          <w:iCs/>
        </w:rPr>
        <w:t>Control’ and the Risks for Harmful Outcomes in a Digital Age</w:t>
      </w:r>
      <w:r w:rsidRPr="00272670">
        <w:t xml:space="preserve">. </w:t>
      </w:r>
      <w:r w:rsidRPr="00287DA6">
        <w:rPr>
          <w:i/>
        </w:rPr>
        <w:t xml:space="preserve">Life Sciences, Society and </w:t>
      </w:r>
    </w:p>
    <w:p w14:paraId="05AA036F" w14:textId="77777777" w:rsidR="00287DA6" w:rsidRDefault="00287DA6" w:rsidP="00287DA6">
      <w:pPr>
        <w:ind w:firstLine="720"/>
      </w:pPr>
      <w:r w:rsidRPr="00287DA6">
        <w:rPr>
          <w:i/>
        </w:rPr>
        <w:t>Policy</w:t>
      </w:r>
      <w:r>
        <w:t xml:space="preserve">, </w:t>
      </w:r>
      <w:r w:rsidRPr="00287DA6">
        <w:rPr>
          <w:i/>
        </w:rPr>
        <w:t>14</w:t>
      </w:r>
      <w:r>
        <w:t>,</w:t>
      </w:r>
      <w:r w:rsidRPr="00272670">
        <w:t xml:space="preserve"> 4-44. doi:10.1186/s40504-018-0067-0</w:t>
      </w:r>
      <w:r>
        <w:t xml:space="preserve"> </w:t>
      </w:r>
    </w:p>
    <w:p w14:paraId="4FE09702" w14:textId="77777777" w:rsidR="00287DA6" w:rsidRDefault="00287DA6" w:rsidP="00287DA6"/>
    <w:p w14:paraId="0D1EE380" w14:textId="77777777" w:rsidR="000E4155" w:rsidRDefault="000E4155" w:rsidP="000E4155">
      <w:r w:rsidRPr="00F17395">
        <w:t>Schindler</w:t>
      </w:r>
      <w:r>
        <w:t>-</w:t>
      </w:r>
      <w:proofErr w:type="spellStart"/>
      <w:r>
        <w:t>Ruwisch</w:t>
      </w:r>
      <w:proofErr w:type="spellEnd"/>
      <w:r>
        <w:t>,</w:t>
      </w:r>
      <w:r w:rsidRPr="00F17395">
        <w:t xml:space="preserve"> J</w:t>
      </w:r>
      <w:r>
        <w:t>.</w:t>
      </w:r>
      <w:r w:rsidRPr="00F17395">
        <w:t>M</w:t>
      </w:r>
      <w:r>
        <w:t>.</w:t>
      </w:r>
      <w:r w:rsidRPr="00F17395">
        <w:t>, Leavitt</w:t>
      </w:r>
      <w:r>
        <w:t>,</w:t>
      </w:r>
      <w:r w:rsidRPr="00F17395">
        <w:t xml:space="preserve"> L</w:t>
      </w:r>
      <w:r>
        <w:t>.</w:t>
      </w:r>
      <w:r w:rsidRPr="00F17395">
        <w:t>E</w:t>
      </w:r>
      <w:r>
        <w:t>.</w:t>
      </w:r>
      <w:r w:rsidRPr="00F17395">
        <w:t xml:space="preserve">, </w:t>
      </w:r>
      <w:proofErr w:type="spellStart"/>
      <w:r w:rsidRPr="00F17395">
        <w:t>Macherelli</w:t>
      </w:r>
      <w:proofErr w:type="spellEnd"/>
      <w:r>
        <w:t>,</w:t>
      </w:r>
      <w:r w:rsidRPr="00F17395">
        <w:t xml:space="preserve"> L</w:t>
      </w:r>
      <w:r>
        <w:t>.</w:t>
      </w:r>
      <w:r w:rsidRPr="00F17395">
        <w:t>E</w:t>
      </w:r>
      <w:r>
        <w:t>.</w:t>
      </w:r>
      <w:r w:rsidRPr="00F17395">
        <w:t>, Turner</w:t>
      </w:r>
      <w:r>
        <w:t>,</w:t>
      </w:r>
      <w:r w:rsidRPr="00F17395">
        <w:t xml:space="preserve"> M</w:t>
      </w:r>
      <w:r>
        <w:t>.</w:t>
      </w:r>
      <w:r w:rsidRPr="00F17395">
        <w:t>M</w:t>
      </w:r>
      <w:r>
        <w:t>.</w:t>
      </w:r>
      <w:r w:rsidRPr="00F17395">
        <w:t xml:space="preserve">, </w:t>
      </w:r>
      <w:proofErr w:type="spellStart"/>
      <w:r w:rsidRPr="00F17395">
        <w:t>Abroms</w:t>
      </w:r>
      <w:proofErr w:type="spellEnd"/>
      <w:r>
        <w:t>,</w:t>
      </w:r>
      <w:r w:rsidRPr="00F17395">
        <w:t xml:space="preserve"> L</w:t>
      </w:r>
      <w:r>
        <w:t>.</w:t>
      </w:r>
      <w:r w:rsidRPr="00F17395">
        <w:t xml:space="preserve">C. </w:t>
      </w:r>
      <w:r>
        <w:t xml:space="preserve">(2018). </w:t>
      </w:r>
    </w:p>
    <w:p w14:paraId="750A6CD4" w14:textId="77777777" w:rsidR="000E4155" w:rsidRDefault="000E4155" w:rsidP="000E4155">
      <w:pPr>
        <w:ind w:firstLine="720"/>
      </w:pPr>
      <w:r w:rsidRPr="00F17395">
        <w:t xml:space="preserve">Motivating Smoking Cessation Text Messages: Perspectives from Pregnant Smokers. </w:t>
      </w:r>
    </w:p>
    <w:p w14:paraId="2BFDFE39" w14:textId="77777777" w:rsidR="000E4155" w:rsidRDefault="000E4155" w:rsidP="000E4155">
      <w:pPr>
        <w:ind w:left="720"/>
      </w:pPr>
      <w:r w:rsidRPr="00287DA6">
        <w:rPr>
          <w:i/>
        </w:rPr>
        <w:t>Maternal Child Health Journal, 22</w:t>
      </w:r>
      <w:r>
        <w:t xml:space="preserve">, </w:t>
      </w:r>
      <w:r w:rsidRPr="00F17395">
        <w:t>822-829.</w:t>
      </w:r>
    </w:p>
    <w:p w14:paraId="118742EB" w14:textId="77777777" w:rsidR="000E4155" w:rsidRDefault="000E4155" w:rsidP="00287DA6"/>
    <w:p w14:paraId="43CF24D5" w14:textId="77777777" w:rsidR="003C3384" w:rsidRDefault="003C3384" w:rsidP="003C3384">
      <w:proofErr w:type="spellStart"/>
      <w:r>
        <w:t>Stolow</w:t>
      </w:r>
      <w:proofErr w:type="spellEnd"/>
      <w:r>
        <w:t xml:space="preserve">, J.A., Moses, L.A., Lederer, A.M. &amp; Carter, R. (2020). How fear appeal approaches in </w:t>
      </w:r>
    </w:p>
    <w:p w14:paraId="27272702" w14:textId="77777777" w:rsidR="003C3384" w:rsidRDefault="003C3384" w:rsidP="003C3384">
      <w:pPr>
        <w:ind w:firstLine="720"/>
        <w:rPr>
          <w:i/>
        </w:rPr>
      </w:pPr>
      <w:r>
        <w:t xml:space="preserve">COVID-19 health communication may be harming the global community. </w:t>
      </w:r>
      <w:r>
        <w:rPr>
          <w:i/>
        </w:rPr>
        <w:t xml:space="preserve">Health </w:t>
      </w:r>
    </w:p>
    <w:p w14:paraId="67EA11EC" w14:textId="7CC4DB8A" w:rsidR="003C3384" w:rsidRPr="003C3384" w:rsidRDefault="003C3384" w:rsidP="003C3384">
      <w:pPr>
        <w:ind w:firstLine="720"/>
      </w:pPr>
      <w:r>
        <w:rPr>
          <w:i/>
        </w:rPr>
        <w:lastRenderedPageBreak/>
        <w:t xml:space="preserve">Education &amp; Behavior, </w:t>
      </w:r>
      <w:r>
        <w:t>[</w:t>
      </w:r>
      <w:proofErr w:type="spellStart"/>
      <w:r>
        <w:t>epub</w:t>
      </w:r>
      <w:proofErr w:type="spellEnd"/>
      <w:r>
        <w:t xml:space="preserve"> ahead of print]. </w:t>
      </w:r>
      <w:hyperlink r:id="rId12" w:history="1">
        <w:r w:rsidRPr="003C3384">
          <w:rPr>
            <w:rStyle w:val="Hyperlink"/>
          </w:rPr>
          <w:t>https://doi.org/10.1177/1090198120935073</w:t>
        </w:r>
      </w:hyperlink>
    </w:p>
    <w:p w14:paraId="6FB1A697" w14:textId="1CED7B75" w:rsidR="003C3384" w:rsidRPr="003C3384" w:rsidRDefault="003C3384" w:rsidP="00287DA6"/>
    <w:p w14:paraId="2378B2C0" w14:textId="27B1EBD9" w:rsidR="00287DA6" w:rsidRDefault="00464E89" w:rsidP="00287DA6">
      <w:pPr>
        <w:rPr>
          <w:i/>
        </w:rPr>
      </w:pPr>
      <w:r>
        <w:t>Taylor</w:t>
      </w:r>
      <w:r w:rsidR="005F705F">
        <w:t>,</w:t>
      </w:r>
      <w:r>
        <w:t xml:space="preserve"> D</w:t>
      </w:r>
      <w:r w:rsidR="005F705F">
        <w:t>.</w:t>
      </w:r>
      <w:r>
        <w:t>B.</w:t>
      </w:r>
      <w:r w:rsidR="005F705F">
        <w:t xml:space="preserve"> (2020, May 26).</w:t>
      </w:r>
      <w:r>
        <w:t xml:space="preserve"> How the Coronavirus Pandemic Unfolded: A Timeline. </w:t>
      </w:r>
      <w:r w:rsidRPr="00287DA6">
        <w:rPr>
          <w:i/>
        </w:rPr>
        <w:t>The New</w:t>
      </w:r>
    </w:p>
    <w:p w14:paraId="456D476C" w14:textId="686E3402" w:rsidR="009C45E1" w:rsidRDefault="00464E89" w:rsidP="00287DA6">
      <w:pPr>
        <w:ind w:firstLine="360"/>
      </w:pPr>
      <w:r w:rsidRPr="00287DA6">
        <w:rPr>
          <w:i/>
        </w:rPr>
        <w:t xml:space="preserve"> York Times</w:t>
      </w:r>
      <w:r>
        <w:t xml:space="preserve">. </w:t>
      </w:r>
      <w:hyperlink r:id="rId13" w:history="1">
        <w:r w:rsidRPr="00C17A07">
          <w:rPr>
            <w:rStyle w:val="Hyperlink"/>
          </w:rPr>
          <w:t>https://www.nytimes.com/article/coronavirus-timeline.html</w:t>
        </w:r>
      </w:hyperlink>
      <w:r>
        <w:t xml:space="preserve">. </w:t>
      </w:r>
    </w:p>
    <w:p w14:paraId="66CE1CC5" w14:textId="77777777" w:rsidR="00287DA6" w:rsidRPr="009C45E1" w:rsidRDefault="00287DA6" w:rsidP="00287DA6">
      <w:pPr>
        <w:ind w:firstLine="360"/>
      </w:pPr>
    </w:p>
    <w:p w14:paraId="3D050335" w14:textId="77777777" w:rsidR="00287DA6" w:rsidRDefault="00287DA6" w:rsidP="00287DA6">
      <w:pPr>
        <w:rPr>
          <w:i/>
        </w:rPr>
      </w:pPr>
      <w:r>
        <w:t xml:space="preserve">Trump, D.J. (2020, March 13). </w:t>
      </w:r>
      <w:r w:rsidRPr="00287DA6">
        <w:rPr>
          <w:i/>
        </w:rPr>
        <w:t>Message to the Congress on Declaring a National Emergency</w:t>
      </w:r>
    </w:p>
    <w:p w14:paraId="0458EE89" w14:textId="77777777" w:rsidR="00287DA6" w:rsidRDefault="00287DA6" w:rsidP="00287DA6">
      <w:pPr>
        <w:ind w:firstLine="360"/>
      </w:pPr>
      <w:r w:rsidRPr="00287DA6">
        <w:rPr>
          <w:i/>
        </w:rPr>
        <w:t xml:space="preserve"> Concerning the Novel Coronavirus Disease (COVID-19) Outbreak</w:t>
      </w:r>
      <w:r>
        <w:t xml:space="preserve">. WhiteHouse.gov. </w:t>
      </w:r>
    </w:p>
    <w:p w14:paraId="62C3AEEC" w14:textId="77777777" w:rsidR="00287DA6" w:rsidRDefault="0093567A" w:rsidP="00287DA6">
      <w:pPr>
        <w:ind w:left="360"/>
      </w:pPr>
      <w:hyperlink r:id="rId14" w:history="1">
        <w:r w:rsidR="00287DA6" w:rsidRPr="00AD2EB9">
          <w:rPr>
            <w:rStyle w:val="Hyperlink"/>
          </w:rPr>
          <w:t>https://www.whitehouse.gov/briefings-statements/message-congress-declaring-national-emergency-concerning-novel-coronavirus-disease-covid-19-outbreak/</w:t>
        </w:r>
      </w:hyperlink>
      <w:r w:rsidR="00287DA6">
        <w:t xml:space="preserve">. </w:t>
      </w:r>
    </w:p>
    <w:p w14:paraId="59E18DAD" w14:textId="77777777" w:rsidR="00287DA6" w:rsidRDefault="00287DA6" w:rsidP="00287DA6"/>
    <w:p w14:paraId="5014EE7D" w14:textId="77777777" w:rsidR="000E4155" w:rsidRDefault="000E4155" w:rsidP="000E4155">
      <w:pPr>
        <w:autoSpaceDE w:val="0"/>
        <w:autoSpaceDN w:val="0"/>
        <w:adjustRightInd w:val="0"/>
        <w:rPr>
          <w:rFonts w:eastAsiaTheme="minorHAnsi"/>
          <w:color w:val="000000"/>
        </w:rPr>
      </w:pPr>
      <w:r w:rsidRPr="00287DA6">
        <w:rPr>
          <w:rFonts w:eastAsiaTheme="minorHAnsi"/>
          <w:color w:val="000000"/>
        </w:rPr>
        <w:t xml:space="preserve">Turner, M.M., Mabry-Flynn, A., Shen, H., Jiang, H., </w:t>
      </w:r>
      <w:proofErr w:type="spellStart"/>
      <w:r w:rsidRPr="00287DA6">
        <w:rPr>
          <w:rFonts w:eastAsiaTheme="minorHAnsi"/>
          <w:color w:val="000000"/>
        </w:rPr>
        <w:t>Boudewyns</w:t>
      </w:r>
      <w:proofErr w:type="spellEnd"/>
      <w:r w:rsidRPr="00287DA6">
        <w:rPr>
          <w:rFonts w:eastAsiaTheme="minorHAnsi"/>
          <w:color w:val="000000"/>
        </w:rPr>
        <w:t xml:space="preserve">, V., Payne, D. (2017). The </w:t>
      </w:r>
    </w:p>
    <w:p w14:paraId="4E0DFFA2" w14:textId="77777777" w:rsidR="000E4155" w:rsidRDefault="000E4155" w:rsidP="000E4155">
      <w:pPr>
        <w:autoSpaceDE w:val="0"/>
        <w:autoSpaceDN w:val="0"/>
        <w:adjustRightInd w:val="0"/>
        <w:ind w:firstLine="720"/>
        <w:rPr>
          <w:rFonts w:eastAsiaTheme="minorHAnsi"/>
          <w:color w:val="000000"/>
        </w:rPr>
      </w:pPr>
      <w:r w:rsidRPr="00287DA6">
        <w:rPr>
          <w:rFonts w:eastAsiaTheme="minorHAnsi"/>
          <w:color w:val="000000"/>
        </w:rPr>
        <w:t xml:space="preserve">effects of guilt appeal intensity on persuasive and emotional outcomes: The moderating </w:t>
      </w:r>
    </w:p>
    <w:p w14:paraId="0A14DBF9" w14:textId="77777777" w:rsidR="000E4155" w:rsidRDefault="000E4155" w:rsidP="000E4155">
      <w:pPr>
        <w:autoSpaceDE w:val="0"/>
        <w:autoSpaceDN w:val="0"/>
        <w:adjustRightInd w:val="0"/>
        <w:ind w:firstLine="720"/>
        <w:rPr>
          <w:rFonts w:eastAsiaTheme="minorHAnsi"/>
          <w:color w:val="000000"/>
        </w:rPr>
      </w:pPr>
      <w:r w:rsidRPr="00287DA6">
        <w:rPr>
          <w:rFonts w:eastAsiaTheme="minorHAnsi"/>
          <w:color w:val="000000"/>
        </w:rPr>
        <w:t xml:space="preserve">role of sponsor motive. </w:t>
      </w:r>
      <w:r w:rsidRPr="00287DA6">
        <w:rPr>
          <w:rFonts w:eastAsiaTheme="minorHAnsi"/>
          <w:i/>
          <w:color w:val="000000"/>
        </w:rPr>
        <w:t>Journal of Nonprofit &amp; Public Sector Marketing</w:t>
      </w:r>
      <w:r w:rsidRPr="00287DA6">
        <w:rPr>
          <w:rFonts w:eastAsiaTheme="minorHAnsi"/>
          <w:color w:val="000000"/>
        </w:rPr>
        <w:t xml:space="preserve">, </w:t>
      </w:r>
      <w:r w:rsidRPr="00287DA6">
        <w:rPr>
          <w:rFonts w:eastAsiaTheme="minorHAnsi"/>
          <w:i/>
          <w:color w:val="000000"/>
        </w:rPr>
        <w:t>30</w:t>
      </w:r>
      <w:r w:rsidRPr="00287DA6">
        <w:rPr>
          <w:rFonts w:eastAsiaTheme="minorHAnsi"/>
          <w:color w:val="000000"/>
        </w:rPr>
        <w:t>(2), 134-150.</w:t>
      </w:r>
    </w:p>
    <w:p w14:paraId="5D478512" w14:textId="77777777" w:rsidR="000E4155" w:rsidRPr="00287DA6" w:rsidRDefault="000E4155" w:rsidP="000E4155">
      <w:pPr>
        <w:autoSpaceDE w:val="0"/>
        <w:autoSpaceDN w:val="0"/>
        <w:adjustRightInd w:val="0"/>
        <w:rPr>
          <w:rFonts w:eastAsiaTheme="minorHAnsi"/>
          <w:color w:val="000000"/>
        </w:rPr>
      </w:pPr>
    </w:p>
    <w:p w14:paraId="1BC8E46D" w14:textId="77777777" w:rsidR="000E4155" w:rsidRDefault="000E4155" w:rsidP="000E4155">
      <w:pPr>
        <w:autoSpaceDE w:val="0"/>
        <w:autoSpaceDN w:val="0"/>
        <w:adjustRightInd w:val="0"/>
        <w:rPr>
          <w:rFonts w:eastAsiaTheme="minorHAnsi"/>
          <w:color w:val="000000"/>
        </w:rPr>
      </w:pPr>
      <w:r w:rsidRPr="00287DA6">
        <w:rPr>
          <w:rFonts w:eastAsiaTheme="minorHAnsi"/>
          <w:color w:val="000000"/>
        </w:rPr>
        <w:t xml:space="preserve">Turner, M.M., </w:t>
      </w:r>
      <w:proofErr w:type="spellStart"/>
      <w:r w:rsidRPr="00287DA6">
        <w:rPr>
          <w:rFonts w:eastAsiaTheme="minorHAnsi"/>
          <w:color w:val="000000"/>
        </w:rPr>
        <w:t>Boudewyns</w:t>
      </w:r>
      <w:proofErr w:type="spellEnd"/>
      <w:r w:rsidRPr="00287DA6">
        <w:rPr>
          <w:rFonts w:eastAsiaTheme="minorHAnsi"/>
          <w:color w:val="000000"/>
        </w:rPr>
        <w:t xml:space="preserve">, V., Kirby-Straker, R., Telfer, J. (2013). A double dose of fear: A </w:t>
      </w:r>
    </w:p>
    <w:p w14:paraId="04EFD7C2" w14:textId="77777777" w:rsidR="000E4155" w:rsidRDefault="000E4155" w:rsidP="000E4155">
      <w:pPr>
        <w:autoSpaceDE w:val="0"/>
        <w:autoSpaceDN w:val="0"/>
        <w:adjustRightInd w:val="0"/>
        <w:ind w:firstLine="720"/>
        <w:rPr>
          <w:rFonts w:eastAsiaTheme="minorHAnsi"/>
          <w:color w:val="000000"/>
        </w:rPr>
      </w:pPr>
      <w:r w:rsidRPr="00287DA6">
        <w:rPr>
          <w:rFonts w:eastAsiaTheme="minorHAnsi"/>
          <w:color w:val="000000"/>
        </w:rPr>
        <w:t xml:space="preserve">theory-based content analysis of news articles surrounding the 2006 cough syrup </w:t>
      </w:r>
    </w:p>
    <w:p w14:paraId="0034DCC3" w14:textId="77777777" w:rsidR="000E4155" w:rsidRDefault="000E4155" w:rsidP="000E4155">
      <w:pPr>
        <w:autoSpaceDE w:val="0"/>
        <w:autoSpaceDN w:val="0"/>
        <w:adjustRightInd w:val="0"/>
        <w:ind w:firstLine="720"/>
        <w:rPr>
          <w:rFonts w:eastAsiaTheme="minorHAnsi"/>
          <w:color w:val="000000"/>
        </w:rPr>
      </w:pPr>
      <w:r w:rsidRPr="00287DA6">
        <w:rPr>
          <w:rFonts w:eastAsiaTheme="minorHAnsi"/>
          <w:color w:val="000000"/>
        </w:rPr>
        <w:t xml:space="preserve">contamination crisis in Panama. </w:t>
      </w:r>
      <w:r w:rsidRPr="00287DA6">
        <w:rPr>
          <w:rFonts w:eastAsiaTheme="minorHAnsi"/>
          <w:i/>
          <w:color w:val="000000"/>
        </w:rPr>
        <w:t>Risk Management</w:t>
      </w:r>
      <w:r w:rsidRPr="00287DA6">
        <w:rPr>
          <w:rFonts w:eastAsiaTheme="minorHAnsi"/>
          <w:color w:val="000000"/>
        </w:rPr>
        <w:t xml:space="preserve">, </w:t>
      </w:r>
      <w:r w:rsidRPr="00287DA6">
        <w:rPr>
          <w:rFonts w:eastAsiaTheme="minorHAnsi"/>
          <w:i/>
          <w:color w:val="000000"/>
        </w:rPr>
        <w:t>15</w:t>
      </w:r>
      <w:r w:rsidRPr="00287DA6">
        <w:rPr>
          <w:rFonts w:eastAsiaTheme="minorHAnsi"/>
          <w:color w:val="000000"/>
        </w:rPr>
        <w:t xml:space="preserve">(2), 79–99. </w:t>
      </w:r>
      <w:r w:rsidRPr="00287DA6">
        <w:rPr>
          <w:rFonts w:eastAsiaTheme="minorHAnsi"/>
          <w:color w:val="0000FF"/>
        </w:rPr>
        <w:t xml:space="preserve">https </w:t>
      </w:r>
      <w:r>
        <w:rPr>
          <w:rFonts w:eastAsiaTheme="minorHAnsi"/>
          <w:color w:val="0000FF"/>
        </w:rPr>
        <w:tab/>
      </w:r>
      <w:r w:rsidRPr="00287DA6">
        <w:rPr>
          <w:rFonts w:eastAsiaTheme="minorHAnsi"/>
          <w:color w:val="0000FF"/>
        </w:rPr>
        <w:t>://doi.org/10.1057/rm.2012.13</w:t>
      </w:r>
      <w:r w:rsidRPr="00287DA6">
        <w:rPr>
          <w:rFonts w:eastAsiaTheme="minorHAnsi"/>
          <w:color w:val="000000"/>
        </w:rPr>
        <w:t>.</w:t>
      </w:r>
    </w:p>
    <w:p w14:paraId="0705C98F" w14:textId="77777777" w:rsidR="000E4155" w:rsidRPr="00287DA6" w:rsidRDefault="000E4155" w:rsidP="000E4155">
      <w:pPr>
        <w:autoSpaceDE w:val="0"/>
        <w:autoSpaceDN w:val="0"/>
        <w:adjustRightInd w:val="0"/>
        <w:rPr>
          <w:rFonts w:eastAsiaTheme="minorHAnsi"/>
          <w:color w:val="000000"/>
        </w:rPr>
      </w:pPr>
    </w:p>
    <w:p w14:paraId="04122695" w14:textId="77777777" w:rsidR="000E4155" w:rsidRDefault="000E4155" w:rsidP="000E4155">
      <w:pPr>
        <w:autoSpaceDE w:val="0"/>
        <w:autoSpaceDN w:val="0"/>
        <w:adjustRightInd w:val="0"/>
        <w:rPr>
          <w:rFonts w:eastAsiaTheme="minorHAnsi"/>
          <w:i/>
          <w:color w:val="000000"/>
        </w:rPr>
      </w:pPr>
      <w:r w:rsidRPr="00287DA6">
        <w:rPr>
          <w:rFonts w:eastAsiaTheme="minorHAnsi"/>
          <w:color w:val="000000"/>
        </w:rPr>
        <w:t xml:space="preserve">Turner, M.M. (2018). Shame and guilt. In R. Parrott, (Ed.), </w:t>
      </w:r>
      <w:r w:rsidRPr="00287DA6">
        <w:rPr>
          <w:rFonts w:eastAsiaTheme="minorHAnsi"/>
          <w:i/>
          <w:color w:val="000000"/>
        </w:rPr>
        <w:t>Oxford Research Encyclopedia of</w:t>
      </w:r>
    </w:p>
    <w:p w14:paraId="475EC363" w14:textId="77777777" w:rsidR="000E4155" w:rsidRDefault="000E4155" w:rsidP="000E4155">
      <w:pPr>
        <w:autoSpaceDE w:val="0"/>
        <w:autoSpaceDN w:val="0"/>
        <w:adjustRightInd w:val="0"/>
        <w:ind w:firstLine="720"/>
        <w:rPr>
          <w:rFonts w:eastAsiaTheme="minorHAnsi"/>
          <w:color w:val="000000"/>
        </w:rPr>
      </w:pPr>
      <w:r w:rsidRPr="00287DA6">
        <w:rPr>
          <w:rFonts w:eastAsiaTheme="minorHAnsi"/>
          <w:i/>
          <w:color w:val="000000"/>
        </w:rPr>
        <w:t>Communication</w:t>
      </w:r>
      <w:r w:rsidRPr="00287DA6">
        <w:rPr>
          <w:rFonts w:eastAsiaTheme="minorHAnsi"/>
          <w:color w:val="000000"/>
        </w:rPr>
        <w:t>. Oxford University Press.</w:t>
      </w:r>
      <w:r>
        <w:rPr>
          <w:rFonts w:eastAsiaTheme="minorHAnsi"/>
          <w:color w:val="000000"/>
        </w:rPr>
        <w:t xml:space="preserve"> </w:t>
      </w:r>
      <w:r w:rsidRPr="00287DA6">
        <w:rPr>
          <w:rFonts w:eastAsiaTheme="minorHAnsi"/>
          <w:color w:val="000000"/>
        </w:rPr>
        <w:t>Doi:10.1093/</w:t>
      </w:r>
      <w:proofErr w:type="spellStart"/>
      <w:r w:rsidRPr="00287DA6">
        <w:rPr>
          <w:rFonts w:eastAsiaTheme="minorHAnsi"/>
          <w:color w:val="000000"/>
        </w:rPr>
        <w:t>acrefore</w:t>
      </w:r>
      <w:proofErr w:type="spellEnd"/>
      <w:r w:rsidRPr="00287DA6">
        <w:rPr>
          <w:rFonts w:eastAsiaTheme="minorHAnsi"/>
          <w:color w:val="000000"/>
        </w:rPr>
        <w:t>/9780190228613.013.267</w:t>
      </w:r>
    </w:p>
    <w:p w14:paraId="197A906D" w14:textId="77777777" w:rsidR="000E4155" w:rsidRPr="00287DA6" w:rsidRDefault="000E4155" w:rsidP="000E4155">
      <w:pPr>
        <w:autoSpaceDE w:val="0"/>
        <w:autoSpaceDN w:val="0"/>
        <w:adjustRightInd w:val="0"/>
        <w:rPr>
          <w:rFonts w:eastAsiaTheme="minorHAnsi"/>
          <w:i/>
          <w:color w:val="000000"/>
        </w:rPr>
      </w:pPr>
    </w:p>
    <w:p w14:paraId="7A894009" w14:textId="77777777" w:rsidR="000E4155" w:rsidRDefault="000E4155" w:rsidP="000E4155">
      <w:pPr>
        <w:jc w:val="both"/>
        <w:rPr>
          <w:color w:val="222222"/>
        </w:rPr>
      </w:pPr>
      <w:r w:rsidRPr="00287DA6">
        <w:rPr>
          <w:color w:val="222222"/>
        </w:rPr>
        <w:t>Tversky, A. &amp; Kahneman, D. (1981). The framing of decisions and the psychology of choice.</w:t>
      </w:r>
    </w:p>
    <w:p w14:paraId="7E6A8144" w14:textId="77777777" w:rsidR="000E4155" w:rsidRDefault="000E4155" w:rsidP="000E4155">
      <w:pPr>
        <w:ind w:firstLine="720"/>
        <w:jc w:val="both"/>
        <w:rPr>
          <w:color w:val="222222"/>
        </w:rPr>
      </w:pPr>
      <w:r w:rsidRPr="00287DA6">
        <w:rPr>
          <w:color w:val="222222"/>
        </w:rPr>
        <w:t xml:space="preserve"> </w:t>
      </w:r>
      <w:r w:rsidRPr="00287DA6">
        <w:rPr>
          <w:i/>
          <w:color w:val="222222"/>
        </w:rPr>
        <w:t>Science</w:t>
      </w:r>
      <w:r w:rsidRPr="00287DA6">
        <w:rPr>
          <w:color w:val="222222"/>
        </w:rPr>
        <w:t xml:space="preserve">, </w:t>
      </w:r>
      <w:r w:rsidRPr="00287DA6">
        <w:rPr>
          <w:i/>
          <w:color w:val="222222"/>
        </w:rPr>
        <w:t>211</w:t>
      </w:r>
      <w:r w:rsidRPr="00287DA6">
        <w:rPr>
          <w:color w:val="222222"/>
        </w:rPr>
        <w:t>, 453-458.</w:t>
      </w:r>
    </w:p>
    <w:p w14:paraId="3D0B6E0A" w14:textId="77777777" w:rsidR="000E4155" w:rsidRDefault="000E4155" w:rsidP="000E4155">
      <w:pPr>
        <w:autoSpaceDE w:val="0"/>
        <w:autoSpaceDN w:val="0"/>
        <w:adjustRightInd w:val="0"/>
        <w:rPr>
          <w:rFonts w:eastAsiaTheme="minorHAnsi"/>
          <w:color w:val="000000"/>
        </w:rPr>
      </w:pPr>
    </w:p>
    <w:p w14:paraId="0E0361EB" w14:textId="45829142" w:rsidR="000E4155" w:rsidRDefault="000E4155" w:rsidP="000E4155">
      <w:pPr>
        <w:autoSpaceDE w:val="0"/>
        <w:autoSpaceDN w:val="0"/>
        <w:adjustRightInd w:val="0"/>
        <w:rPr>
          <w:rFonts w:eastAsiaTheme="minorHAnsi"/>
          <w:color w:val="000000"/>
        </w:rPr>
      </w:pPr>
      <w:r w:rsidRPr="00287DA6">
        <w:rPr>
          <w:rFonts w:eastAsiaTheme="minorHAnsi"/>
          <w:color w:val="000000"/>
        </w:rPr>
        <w:t xml:space="preserve">Underhill, J.C. (2012). Examining the effects of hope and fear appeals on cognitive processing </w:t>
      </w:r>
    </w:p>
    <w:p w14:paraId="0644C746" w14:textId="179D7158" w:rsidR="000E4155" w:rsidRDefault="000E4155" w:rsidP="000E4155">
      <w:pPr>
        <w:autoSpaceDE w:val="0"/>
        <w:autoSpaceDN w:val="0"/>
        <w:adjustRightInd w:val="0"/>
        <w:ind w:firstLine="720"/>
        <w:rPr>
          <w:rFonts w:eastAsiaTheme="minorHAnsi"/>
          <w:color w:val="000000"/>
        </w:rPr>
      </w:pPr>
      <w:r w:rsidRPr="00287DA6">
        <w:rPr>
          <w:rFonts w:eastAsiaTheme="minorHAnsi"/>
          <w:color w:val="000000"/>
        </w:rPr>
        <w:t xml:space="preserve">[Doctoral dissertation, University of Maryland]. Semantic Scholar. </w:t>
      </w:r>
    </w:p>
    <w:p w14:paraId="60EBC5ED" w14:textId="3755D3CE" w:rsidR="000E4155" w:rsidRDefault="0093567A" w:rsidP="000E4155">
      <w:pPr>
        <w:ind w:left="720"/>
        <w:jc w:val="both"/>
        <w:rPr>
          <w:color w:val="222222"/>
        </w:rPr>
      </w:pPr>
      <w:hyperlink r:id="rId15" w:history="1">
        <w:r w:rsidR="000E4155" w:rsidRPr="00AD2EB9">
          <w:rPr>
            <w:rStyle w:val="Hyperlink"/>
            <w:rFonts w:eastAsiaTheme="minorHAnsi"/>
          </w:rPr>
          <w:t>https://www.semanticscholar.org/paper/EXAMINING-THE-EFFECTS-OF-HOPE-AND-FEAR-APPEALS-ON-Underhill/c1d96e835ba33a8006377c689daa151cc0a69401</w:t>
        </w:r>
      </w:hyperlink>
    </w:p>
    <w:p w14:paraId="047BBC53" w14:textId="77777777" w:rsidR="000E4155" w:rsidRDefault="000E4155" w:rsidP="00287DA6"/>
    <w:p w14:paraId="60B36C24" w14:textId="77777777" w:rsidR="000E4155" w:rsidRDefault="000E4155" w:rsidP="000E4155">
      <w:proofErr w:type="spellStart"/>
      <w:r w:rsidRPr="00272670">
        <w:t>Wansink</w:t>
      </w:r>
      <w:proofErr w:type="spellEnd"/>
      <w:r>
        <w:t>,</w:t>
      </w:r>
      <w:r w:rsidRPr="00272670">
        <w:t xml:space="preserve"> B</w:t>
      </w:r>
      <w:r>
        <w:t>. &amp;</w:t>
      </w:r>
      <w:r w:rsidRPr="00272670">
        <w:t xml:space="preserve"> Pope</w:t>
      </w:r>
      <w:r>
        <w:t>,</w:t>
      </w:r>
      <w:r w:rsidRPr="00272670">
        <w:t xml:space="preserve"> L.</w:t>
      </w:r>
      <w:r>
        <w:t xml:space="preserve"> (2014).</w:t>
      </w:r>
      <w:r w:rsidRPr="00272670">
        <w:t xml:space="preserve"> When do gain-framed health messages work better than fear </w:t>
      </w:r>
    </w:p>
    <w:p w14:paraId="5E489045" w14:textId="77777777" w:rsidR="000E4155" w:rsidRPr="00272670" w:rsidRDefault="000E4155" w:rsidP="000E4155">
      <w:pPr>
        <w:ind w:firstLine="720"/>
      </w:pPr>
      <w:r w:rsidRPr="00272670">
        <w:t>appeals?</w:t>
      </w:r>
      <w:r>
        <w:t xml:space="preserve"> </w:t>
      </w:r>
      <w:r w:rsidRPr="00287DA6">
        <w:rPr>
          <w:i/>
        </w:rPr>
        <w:t xml:space="preserve">Nutrition Reviews, </w:t>
      </w:r>
      <w:r w:rsidRPr="00272670">
        <w:t>73(1)</w:t>
      </w:r>
      <w:r>
        <w:t xml:space="preserve">, </w:t>
      </w:r>
      <w:r w:rsidRPr="00272670">
        <w:t>4-11. doi:10.1093/</w:t>
      </w:r>
      <w:proofErr w:type="spellStart"/>
      <w:r w:rsidRPr="00272670">
        <w:t>nutrit</w:t>
      </w:r>
      <w:proofErr w:type="spellEnd"/>
      <w:r w:rsidRPr="00272670">
        <w:t>/nuu010</w:t>
      </w:r>
    </w:p>
    <w:p w14:paraId="1FF04C7F" w14:textId="77777777" w:rsidR="000E4155" w:rsidRDefault="000E4155" w:rsidP="00287DA6"/>
    <w:p w14:paraId="7C0AA243" w14:textId="0D2D5A5D" w:rsidR="00287DA6" w:rsidRDefault="005F705F" w:rsidP="00287DA6">
      <w:pPr>
        <w:rPr>
          <w:i/>
        </w:rPr>
      </w:pPr>
      <w:r>
        <w:t>White House (2020</w:t>
      </w:r>
      <w:r w:rsidR="004D266E">
        <w:t>a</w:t>
      </w:r>
      <w:r>
        <w:t xml:space="preserve">, March 1).  </w:t>
      </w:r>
      <w:r w:rsidR="0090070C" w:rsidRPr="00287DA6">
        <w:rPr>
          <w:i/>
        </w:rPr>
        <w:t>Vice President Pence and Secretary Azar Add Key</w:t>
      </w:r>
    </w:p>
    <w:p w14:paraId="7B316BC1" w14:textId="77777777" w:rsidR="00287DA6" w:rsidRDefault="0090070C" w:rsidP="00287DA6">
      <w:pPr>
        <w:ind w:firstLine="360"/>
      </w:pPr>
      <w:r w:rsidRPr="00287DA6">
        <w:rPr>
          <w:i/>
        </w:rPr>
        <w:t xml:space="preserve"> Administration Officials to the Coronavirus Task Force</w:t>
      </w:r>
      <w:r>
        <w:t xml:space="preserve">. </w:t>
      </w:r>
    </w:p>
    <w:p w14:paraId="0C59C145" w14:textId="582257C4" w:rsidR="0090070C" w:rsidRDefault="0093567A" w:rsidP="00287DA6">
      <w:pPr>
        <w:ind w:left="360"/>
      </w:pPr>
      <w:hyperlink r:id="rId16" w:history="1">
        <w:r w:rsidR="00287DA6" w:rsidRPr="00AD2EB9">
          <w:rPr>
            <w:rStyle w:val="Hyperlink"/>
          </w:rPr>
          <w:t>https://www.whitehouse.gov/briefings-statements/vice-president-pence-secretary-azar-add-key-administration-officials-coronavirus-task-force-2/</w:t>
        </w:r>
      </w:hyperlink>
      <w:r w:rsidR="0090070C">
        <w:t xml:space="preserve">. </w:t>
      </w:r>
    </w:p>
    <w:p w14:paraId="36905EB3" w14:textId="77777777" w:rsidR="00287DA6" w:rsidRDefault="00287DA6" w:rsidP="00287DA6">
      <w:pPr>
        <w:ind w:left="360"/>
      </w:pPr>
    </w:p>
    <w:p w14:paraId="5B8DD005" w14:textId="77777777" w:rsidR="00287DA6" w:rsidRDefault="00287DA6" w:rsidP="00287DA6">
      <w:pPr>
        <w:rPr>
          <w:i/>
        </w:rPr>
      </w:pPr>
      <w:r>
        <w:t xml:space="preserve">White House (2020b, March 16). </w:t>
      </w:r>
      <w:r w:rsidRPr="00287DA6">
        <w:rPr>
          <w:i/>
        </w:rPr>
        <w:t xml:space="preserve">The President’s Coronavirus Guidelines for America. </w:t>
      </w:r>
    </w:p>
    <w:p w14:paraId="6A72253B" w14:textId="77777777" w:rsidR="00287DA6" w:rsidRDefault="0093567A" w:rsidP="00287DA6">
      <w:pPr>
        <w:ind w:left="360" w:firstLine="60"/>
      </w:pPr>
      <w:hyperlink r:id="rId17" w:history="1">
        <w:r w:rsidR="00287DA6" w:rsidRPr="00AD2EB9">
          <w:rPr>
            <w:rStyle w:val="Hyperlink"/>
          </w:rPr>
          <w:t>https://www.whitehouse.gov/wp-content/uploads/2020/03/03.16.20_coronavirus-guidance_8.5x11_315PM.pdf</w:t>
        </w:r>
      </w:hyperlink>
      <w:r w:rsidR="00287DA6">
        <w:t xml:space="preserve">. </w:t>
      </w:r>
    </w:p>
    <w:p w14:paraId="6E66C804" w14:textId="77777777" w:rsidR="00287DA6" w:rsidRPr="009C45E1" w:rsidRDefault="00287DA6" w:rsidP="00287DA6"/>
    <w:p w14:paraId="3C3EF020" w14:textId="77777777" w:rsidR="00287DA6" w:rsidRDefault="00287DA6" w:rsidP="00287DA6">
      <w:pPr>
        <w:rPr>
          <w:i/>
        </w:rPr>
      </w:pPr>
      <w:r>
        <w:t xml:space="preserve">WHO (2017). </w:t>
      </w:r>
      <w:r w:rsidRPr="00287DA6">
        <w:rPr>
          <w:i/>
        </w:rPr>
        <w:t xml:space="preserve">Communicating risk in public health emergencies: a WHO guideline for </w:t>
      </w:r>
    </w:p>
    <w:p w14:paraId="558EC02F" w14:textId="77777777" w:rsidR="00287DA6" w:rsidRDefault="00287DA6" w:rsidP="00287DA6">
      <w:pPr>
        <w:ind w:firstLine="360"/>
      </w:pPr>
      <w:r w:rsidRPr="00287DA6">
        <w:rPr>
          <w:i/>
        </w:rPr>
        <w:t>emergency risk communication (ERC) policy and practice</w:t>
      </w:r>
      <w:r>
        <w:t xml:space="preserve">. </w:t>
      </w:r>
    </w:p>
    <w:p w14:paraId="606FACA1" w14:textId="77777777" w:rsidR="00287DA6" w:rsidRDefault="0093567A" w:rsidP="00287DA6">
      <w:pPr>
        <w:ind w:left="360"/>
      </w:pPr>
      <w:hyperlink r:id="rId18" w:history="1">
        <w:r w:rsidR="00287DA6" w:rsidRPr="00AD2EB9">
          <w:rPr>
            <w:rStyle w:val="Hyperlink"/>
          </w:rPr>
          <w:t>https://apps.who.int/iris/bitstream/handle/10665/259807/9789241550208-eng.pdf;jsessionid=BEDC74C73D5781710C6F7D32CB9E910A?sequence=2</w:t>
        </w:r>
      </w:hyperlink>
      <w:r w:rsidR="00287DA6">
        <w:t xml:space="preserve"> </w:t>
      </w:r>
    </w:p>
    <w:p w14:paraId="7355C3A1" w14:textId="77777777" w:rsidR="00287DA6" w:rsidRDefault="00287DA6" w:rsidP="00287DA6"/>
    <w:p w14:paraId="38E471CA" w14:textId="555685BF" w:rsidR="00287DA6" w:rsidRDefault="004D266E" w:rsidP="00287DA6">
      <w:r>
        <w:t xml:space="preserve">World Health Organization [WHO] (2020a, April 27).  </w:t>
      </w:r>
      <w:r w:rsidR="0090070C" w:rsidRPr="00287DA6">
        <w:rPr>
          <w:i/>
        </w:rPr>
        <w:t>WHO Timeline – COVID-19</w:t>
      </w:r>
      <w:r w:rsidR="0090070C">
        <w:t xml:space="preserve">. </w:t>
      </w:r>
    </w:p>
    <w:p w14:paraId="6A582F08" w14:textId="6F4C90EF" w:rsidR="009C45E1" w:rsidRDefault="0093567A" w:rsidP="00287DA6">
      <w:pPr>
        <w:ind w:firstLine="360"/>
      </w:pPr>
      <w:hyperlink r:id="rId19" w:history="1">
        <w:r w:rsidR="00287DA6" w:rsidRPr="00AD2EB9">
          <w:rPr>
            <w:rStyle w:val="Hyperlink"/>
          </w:rPr>
          <w:t>https://www.who.int/news-room/detail/27-04-2020-who-timeline---covid-19</w:t>
        </w:r>
      </w:hyperlink>
      <w:r w:rsidR="0090070C">
        <w:t xml:space="preserve">. </w:t>
      </w:r>
    </w:p>
    <w:p w14:paraId="0A6712EE" w14:textId="77777777" w:rsidR="00287DA6" w:rsidRDefault="00287DA6" w:rsidP="00287DA6"/>
    <w:p w14:paraId="3961BAEB" w14:textId="77777777" w:rsidR="00287DA6" w:rsidRDefault="004D266E" w:rsidP="00287DA6">
      <w:r>
        <w:t>WHO (2020b, February 2)</w:t>
      </w:r>
      <w:r w:rsidR="000C5709">
        <w:t xml:space="preserve">. </w:t>
      </w:r>
      <w:r w:rsidR="000C5709" w:rsidRPr="00287DA6">
        <w:rPr>
          <w:i/>
        </w:rPr>
        <w:t>Novel Coronavirus (2019-nCoV): Situation Report 13</w:t>
      </w:r>
      <w:r w:rsidR="000C5709">
        <w:t xml:space="preserve">. </w:t>
      </w:r>
    </w:p>
    <w:p w14:paraId="016EC756" w14:textId="50F8C3A2" w:rsidR="00B54156" w:rsidRDefault="0093567A" w:rsidP="00287DA6">
      <w:pPr>
        <w:ind w:left="360"/>
      </w:pPr>
      <w:hyperlink r:id="rId20" w:history="1">
        <w:r w:rsidR="00287DA6" w:rsidRPr="00AD2EB9">
          <w:rPr>
            <w:rStyle w:val="Hyperlink"/>
          </w:rPr>
          <w:t>https://www.who.int/docs/default-source/coronaviruse/situation-reports/20200202-sitrep-13-ncov-v3.pdf</w:t>
        </w:r>
      </w:hyperlink>
      <w:r w:rsidR="000C5709">
        <w:rPr>
          <w:rStyle w:val="Hyperlink"/>
        </w:rPr>
        <w:t>.</w:t>
      </w:r>
      <w:r w:rsidR="00B54156" w:rsidRPr="00B54156">
        <w:t xml:space="preserve"> </w:t>
      </w:r>
    </w:p>
    <w:p w14:paraId="7275F18B" w14:textId="77777777" w:rsidR="00287DA6" w:rsidRPr="00B54156" w:rsidRDefault="00287DA6" w:rsidP="00287DA6">
      <w:pPr>
        <w:ind w:left="360"/>
      </w:pPr>
    </w:p>
    <w:p w14:paraId="2D9DD85D" w14:textId="1AD48DA8" w:rsidR="00287DA6" w:rsidRPr="000E4155" w:rsidRDefault="00071E09" w:rsidP="000E4155">
      <w:pPr>
        <w:autoSpaceDE w:val="0"/>
        <w:autoSpaceDN w:val="0"/>
        <w:adjustRightInd w:val="0"/>
        <w:rPr>
          <w:rFonts w:eastAsiaTheme="minorHAnsi"/>
          <w:color w:val="000000"/>
        </w:rPr>
      </w:pPr>
      <w:r w:rsidRPr="00287DA6">
        <w:rPr>
          <w:rFonts w:eastAsiaTheme="minorHAnsi"/>
        </w:rPr>
        <w:t>Witte</w:t>
      </w:r>
      <w:r w:rsidR="00AB779B" w:rsidRPr="00287DA6">
        <w:rPr>
          <w:rFonts w:eastAsiaTheme="minorHAnsi"/>
        </w:rPr>
        <w:t>,</w:t>
      </w:r>
      <w:r w:rsidRPr="00287DA6">
        <w:rPr>
          <w:rFonts w:eastAsiaTheme="minorHAnsi"/>
        </w:rPr>
        <w:t xml:space="preserve"> K</w:t>
      </w:r>
      <w:r w:rsidR="00AB779B" w:rsidRPr="00287DA6">
        <w:rPr>
          <w:rFonts w:eastAsiaTheme="minorHAnsi"/>
        </w:rPr>
        <w:t>. &amp;</w:t>
      </w:r>
      <w:r w:rsidRPr="00287DA6">
        <w:rPr>
          <w:rFonts w:eastAsiaTheme="minorHAnsi"/>
        </w:rPr>
        <w:t xml:space="preserve"> Allen</w:t>
      </w:r>
      <w:r w:rsidR="00AB779B" w:rsidRPr="00287DA6">
        <w:rPr>
          <w:rFonts w:eastAsiaTheme="minorHAnsi"/>
        </w:rPr>
        <w:t>,</w:t>
      </w:r>
      <w:r w:rsidRPr="00287DA6">
        <w:rPr>
          <w:rFonts w:eastAsiaTheme="minorHAnsi"/>
        </w:rPr>
        <w:t xml:space="preserve"> M.</w:t>
      </w:r>
      <w:r w:rsidR="00AB779B" w:rsidRPr="00287DA6">
        <w:rPr>
          <w:rFonts w:eastAsiaTheme="minorHAnsi"/>
        </w:rPr>
        <w:t xml:space="preserve"> (2000).</w:t>
      </w:r>
      <w:r w:rsidRPr="00287DA6">
        <w:rPr>
          <w:rFonts w:eastAsiaTheme="minorHAnsi"/>
        </w:rPr>
        <w:t xml:space="preserve"> A meta-analysis of fear appeals: Implications for effective public</w:t>
      </w:r>
    </w:p>
    <w:p w14:paraId="18919DB3" w14:textId="7D0B17D2" w:rsidR="00071E09" w:rsidRDefault="00071E09" w:rsidP="00287DA6">
      <w:pPr>
        <w:autoSpaceDE w:val="0"/>
        <w:autoSpaceDN w:val="0"/>
        <w:adjustRightInd w:val="0"/>
        <w:ind w:firstLine="720"/>
        <w:rPr>
          <w:rFonts w:eastAsiaTheme="minorHAnsi"/>
        </w:rPr>
      </w:pPr>
      <w:r w:rsidRPr="00287DA6">
        <w:rPr>
          <w:rFonts w:eastAsiaTheme="minorHAnsi"/>
        </w:rPr>
        <w:t xml:space="preserve"> health campaigns. </w:t>
      </w:r>
      <w:r w:rsidRPr="00287DA6">
        <w:rPr>
          <w:rFonts w:eastAsiaTheme="minorHAnsi"/>
          <w:i/>
        </w:rPr>
        <w:t>Health Educ</w:t>
      </w:r>
      <w:r w:rsidR="00AB779B" w:rsidRPr="00287DA6">
        <w:rPr>
          <w:rFonts w:eastAsiaTheme="minorHAnsi"/>
          <w:i/>
        </w:rPr>
        <w:t>ation</w:t>
      </w:r>
      <w:r w:rsidRPr="00287DA6">
        <w:rPr>
          <w:rFonts w:eastAsiaTheme="minorHAnsi"/>
          <w:i/>
        </w:rPr>
        <w:t xml:space="preserve"> </w:t>
      </w:r>
      <w:r w:rsidR="00AB779B" w:rsidRPr="00287DA6">
        <w:rPr>
          <w:rFonts w:eastAsiaTheme="minorHAnsi"/>
          <w:i/>
        </w:rPr>
        <w:t xml:space="preserve">&amp; </w:t>
      </w:r>
      <w:r w:rsidRPr="00287DA6">
        <w:rPr>
          <w:rFonts w:eastAsiaTheme="minorHAnsi"/>
          <w:i/>
        </w:rPr>
        <w:t>Behav</w:t>
      </w:r>
      <w:r w:rsidR="00AB779B" w:rsidRPr="00287DA6">
        <w:rPr>
          <w:rFonts w:eastAsiaTheme="minorHAnsi"/>
          <w:i/>
        </w:rPr>
        <w:t>ior</w:t>
      </w:r>
      <w:r w:rsidR="00AB779B" w:rsidRPr="00287DA6">
        <w:rPr>
          <w:rFonts w:eastAsiaTheme="minorHAnsi"/>
        </w:rPr>
        <w:t>,</w:t>
      </w:r>
      <w:r w:rsidRPr="00287DA6">
        <w:rPr>
          <w:rFonts w:eastAsiaTheme="minorHAnsi"/>
        </w:rPr>
        <w:t xml:space="preserve"> </w:t>
      </w:r>
      <w:r w:rsidRPr="00287DA6">
        <w:rPr>
          <w:rFonts w:eastAsiaTheme="minorHAnsi"/>
          <w:i/>
        </w:rPr>
        <w:t>27</w:t>
      </w:r>
      <w:r w:rsidRPr="00287DA6">
        <w:rPr>
          <w:rFonts w:eastAsiaTheme="minorHAnsi"/>
        </w:rPr>
        <w:t>(5)</w:t>
      </w:r>
      <w:r w:rsidR="00AB779B" w:rsidRPr="00287DA6">
        <w:rPr>
          <w:rFonts w:eastAsiaTheme="minorHAnsi"/>
        </w:rPr>
        <w:t xml:space="preserve">, </w:t>
      </w:r>
      <w:r w:rsidRPr="00287DA6">
        <w:rPr>
          <w:rFonts w:eastAsiaTheme="minorHAnsi"/>
        </w:rPr>
        <w:t>591–615.</w:t>
      </w:r>
    </w:p>
    <w:p w14:paraId="4E7F07E0" w14:textId="77777777" w:rsidR="00F17395" w:rsidRDefault="00F17395" w:rsidP="00A41965"/>
    <w:p w14:paraId="4D03E318" w14:textId="22C63125" w:rsidR="00CC1F98" w:rsidRDefault="00CC1F98" w:rsidP="00CC1F98">
      <w:pPr>
        <w:spacing w:line="480" w:lineRule="auto"/>
      </w:pPr>
    </w:p>
    <w:p w14:paraId="4507B831" w14:textId="0AD663C2" w:rsidR="00CC1F98" w:rsidRDefault="00CC1F98" w:rsidP="00CC1F98">
      <w:pPr>
        <w:spacing w:line="480" w:lineRule="auto"/>
      </w:pPr>
    </w:p>
    <w:p w14:paraId="5412EBF6" w14:textId="0C689336" w:rsidR="00CC1F98" w:rsidRDefault="00CC1F98" w:rsidP="00CC1F98">
      <w:pPr>
        <w:spacing w:line="480" w:lineRule="auto"/>
      </w:pPr>
    </w:p>
    <w:p w14:paraId="01609222" w14:textId="527883F6" w:rsidR="00CC1F98" w:rsidRDefault="00CC1F98" w:rsidP="00CC1F98">
      <w:pPr>
        <w:spacing w:line="480" w:lineRule="auto"/>
      </w:pPr>
    </w:p>
    <w:p w14:paraId="1A520EE3" w14:textId="4E4B6BC0" w:rsidR="000646FC" w:rsidRDefault="000646FC" w:rsidP="00CC1F98">
      <w:pPr>
        <w:spacing w:line="480" w:lineRule="auto"/>
        <w:rPr>
          <w:i/>
        </w:rPr>
      </w:pPr>
    </w:p>
    <w:p w14:paraId="3E718C60" w14:textId="252320BC" w:rsidR="00A95E04" w:rsidRDefault="00A95E04" w:rsidP="00CC1F98">
      <w:pPr>
        <w:spacing w:line="480" w:lineRule="auto"/>
        <w:rPr>
          <w:i/>
        </w:rPr>
      </w:pPr>
    </w:p>
    <w:p w14:paraId="4FAB8850" w14:textId="029951DD" w:rsidR="00A95E04" w:rsidRDefault="00A95E04" w:rsidP="00CC1F98">
      <w:pPr>
        <w:spacing w:line="480" w:lineRule="auto"/>
        <w:rPr>
          <w:i/>
        </w:rPr>
      </w:pPr>
    </w:p>
    <w:p w14:paraId="4EE634DF" w14:textId="4D7EE2EA" w:rsidR="00A95E04" w:rsidRDefault="00A95E04" w:rsidP="00CC1F98">
      <w:pPr>
        <w:spacing w:line="480" w:lineRule="auto"/>
        <w:rPr>
          <w:i/>
        </w:rPr>
      </w:pPr>
    </w:p>
    <w:p w14:paraId="17D3F8B6" w14:textId="39F91F75" w:rsidR="00A33D68" w:rsidRDefault="00A33D68" w:rsidP="00CC1F98">
      <w:pPr>
        <w:spacing w:line="480" w:lineRule="auto"/>
        <w:rPr>
          <w:i/>
        </w:rPr>
      </w:pPr>
    </w:p>
    <w:p w14:paraId="25388DF8" w14:textId="05AB1AFF" w:rsidR="00A33D68" w:rsidRDefault="00A33D68" w:rsidP="00CC1F98">
      <w:pPr>
        <w:spacing w:line="480" w:lineRule="auto"/>
        <w:rPr>
          <w:i/>
        </w:rPr>
      </w:pPr>
    </w:p>
    <w:p w14:paraId="10374915" w14:textId="33FB770F" w:rsidR="00A33D68" w:rsidRDefault="00A33D68" w:rsidP="00CC1F98">
      <w:pPr>
        <w:spacing w:line="480" w:lineRule="auto"/>
        <w:rPr>
          <w:i/>
        </w:rPr>
      </w:pPr>
    </w:p>
    <w:p w14:paraId="5113386A" w14:textId="69681CA9" w:rsidR="00A33D68" w:rsidRDefault="00A33D68" w:rsidP="00CC1F98">
      <w:pPr>
        <w:spacing w:line="480" w:lineRule="auto"/>
        <w:rPr>
          <w:i/>
        </w:rPr>
      </w:pPr>
    </w:p>
    <w:p w14:paraId="5A207DA6" w14:textId="2B81259E" w:rsidR="00A33D68" w:rsidRDefault="00A33D68" w:rsidP="00CC1F98">
      <w:pPr>
        <w:spacing w:line="480" w:lineRule="auto"/>
        <w:rPr>
          <w:i/>
        </w:rPr>
      </w:pPr>
    </w:p>
    <w:p w14:paraId="148CEFD9" w14:textId="7DDA1C50" w:rsidR="00A33D68" w:rsidRDefault="00A33D68" w:rsidP="00CC1F98">
      <w:pPr>
        <w:spacing w:line="480" w:lineRule="auto"/>
        <w:rPr>
          <w:i/>
        </w:rPr>
      </w:pPr>
    </w:p>
    <w:p w14:paraId="337D2A04" w14:textId="63C1A628" w:rsidR="00A33D68" w:rsidRDefault="00A33D68" w:rsidP="00CC1F98">
      <w:pPr>
        <w:spacing w:line="480" w:lineRule="auto"/>
        <w:rPr>
          <w:i/>
        </w:rPr>
      </w:pPr>
    </w:p>
    <w:p w14:paraId="17102A0B" w14:textId="6229B5D8" w:rsidR="00A33D68" w:rsidRDefault="00A33D68" w:rsidP="00CC1F98">
      <w:pPr>
        <w:spacing w:line="480" w:lineRule="auto"/>
        <w:rPr>
          <w:i/>
        </w:rPr>
      </w:pPr>
    </w:p>
    <w:p w14:paraId="7532151A" w14:textId="1D608D65" w:rsidR="00A33D68" w:rsidRDefault="00A33D68" w:rsidP="00CC1F98">
      <w:pPr>
        <w:spacing w:line="480" w:lineRule="auto"/>
        <w:rPr>
          <w:i/>
        </w:rPr>
      </w:pPr>
    </w:p>
    <w:p w14:paraId="1C1D146A" w14:textId="22A4ED3E" w:rsidR="00A33D68" w:rsidRDefault="00A33D68" w:rsidP="00CC1F98">
      <w:pPr>
        <w:spacing w:line="480" w:lineRule="auto"/>
        <w:rPr>
          <w:i/>
        </w:rPr>
      </w:pPr>
    </w:p>
    <w:p w14:paraId="2C2E28FC" w14:textId="01E70DA3" w:rsidR="00A33D68" w:rsidRDefault="00A33D68" w:rsidP="00CC1F98">
      <w:pPr>
        <w:spacing w:line="480" w:lineRule="auto"/>
        <w:rPr>
          <w:i/>
        </w:rPr>
      </w:pPr>
    </w:p>
    <w:p w14:paraId="1802E1A3" w14:textId="77777777" w:rsidR="00A33D68" w:rsidRDefault="00A33D68" w:rsidP="00CC1F98">
      <w:pPr>
        <w:spacing w:line="480" w:lineRule="auto"/>
        <w:rPr>
          <w:i/>
        </w:rPr>
      </w:pPr>
    </w:p>
    <w:p w14:paraId="30D781A2" w14:textId="0B20486B" w:rsidR="000646FC" w:rsidRPr="004246CA" w:rsidRDefault="00A95E04" w:rsidP="00CC1F98">
      <w:pPr>
        <w:spacing w:line="480" w:lineRule="auto"/>
        <w:rPr>
          <w:i/>
        </w:rPr>
      </w:pPr>
      <w:r w:rsidRPr="00F42737">
        <w:rPr>
          <w:b/>
        </w:rPr>
        <w:t>Table 1</w:t>
      </w:r>
      <w:r>
        <w:t>.</w:t>
      </w:r>
      <w:r w:rsidRPr="002554A5">
        <w:t xml:space="preserve"> </w:t>
      </w:r>
      <w:r w:rsidRPr="004246CA">
        <w:t>Selected Tweets on Face Coverings from Surgeon General</w:t>
      </w:r>
      <w:r>
        <w:t>’s Twitter Account</w:t>
      </w:r>
    </w:p>
    <w:tbl>
      <w:tblPr>
        <w:tblStyle w:val="TableGrid"/>
        <w:tblW w:w="0" w:type="auto"/>
        <w:tblLook w:val="04A0" w:firstRow="1" w:lastRow="0" w:firstColumn="1" w:lastColumn="0" w:noHBand="0" w:noVBand="1"/>
      </w:tblPr>
      <w:tblGrid>
        <w:gridCol w:w="5125"/>
        <w:gridCol w:w="1350"/>
        <w:gridCol w:w="2070"/>
      </w:tblGrid>
      <w:tr w:rsidR="00F42737" w14:paraId="3FB774C3" w14:textId="77777777" w:rsidTr="002554A5">
        <w:tc>
          <w:tcPr>
            <w:tcW w:w="5125" w:type="dxa"/>
            <w:tcBorders>
              <w:bottom w:val="single" w:sz="4" w:space="0" w:color="auto"/>
              <w:right w:val="nil"/>
            </w:tcBorders>
          </w:tcPr>
          <w:p w14:paraId="560A12E9" w14:textId="4E4B5F3B" w:rsidR="00F42737" w:rsidRPr="002756C5" w:rsidRDefault="00F42737" w:rsidP="00287DA6">
            <w:pPr>
              <w:spacing w:line="480" w:lineRule="auto"/>
              <w:rPr>
                <w:b/>
              </w:rPr>
            </w:pPr>
            <w:r w:rsidRPr="002756C5">
              <w:rPr>
                <w:b/>
              </w:rPr>
              <w:t>Tweet</w:t>
            </w:r>
          </w:p>
        </w:tc>
        <w:tc>
          <w:tcPr>
            <w:tcW w:w="1350" w:type="dxa"/>
            <w:tcBorders>
              <w:left w:val="nil"/>
              <w:bottom w:val="single" w:sz="4" w:space="0" w:color="auto"/>
              <w:right w:val="nil"/>
            </w:tcBorders>
          </w:tcPr>
          <w:p w14:paraId="5B8448A3" w14:textId="2E480DEA" w:rsidR="00F42737" w:rsidRPr="002756C5" w:rsidRDefault="00F42737" w:rsidP="00287DA6">
            <w:pPr>
              <w:spacing w:line="480" w:lineRule="auto"/>
              <w:rPr>
                <w:b/>
              </w:rPr>
            </w:pPr>
            <w:r w:rsidRPr="002756C5">
              <w:rPr>
                <w:b/>
              </w:rPr>
              <w:t>Date</w:t>
            </w:r>
          </w:p>
        </w:tc>
        <w:tc>
          <w:tcPr>
            <w:tcW w:w="2070" w:type="dxa"/>
            <w:tcBorders>
              <w:left w:val="nil"/>
              <w:bottom w:val="single" w:sz="4" w:space="0" w:color="auto"/>
            </w:tcBorders>
          </w:tcPr>
          <w:p w14:paraId="7CE386CE" w14:textId="7971790D" w:rsidR="00F42737" w:rsidRPr="002756C5" w:rsidRDefault="00F42737" w:rsidP="00287DA6">
            <w:pPr>
              <w:spacing w:line="480" w:lineRule="auto"/>
              <w:rPr>
                <w:b/>
              </w:rPr>
            </w:pPr>
            <w:r w:rsidRPr="002756C5">
              <w:rPr>
                <w:b/>
              </w:rPr>
              <w:t>Frame</w:t>
            </w:r>
          </w:p>
        </w:tc>
      </w:tr>
      <w:tr w:rsidR="00CC1F98" w14:paraId="2F37FFCF" w14:textId="77777777" w:rsidTr="002554A5">
        <w:tc>
          <w:tcPr>
            <w:tcW w:w="5125" w:type="dxa"/>
            <w:tcBorders>
              <w:bottom w:val="nil"/>
              <w:right w:val="nil"/>
            </w:tcBorders>
          </w:tcPr>
          <w:p w14:paraId="5F2E73EE" w14:textId="77777777" w:rsidR="00CC1F98" w:rsidRDefault="00CC1F98" w:rsidP="00287DA6">
            <w:r w:rsidRPr="002756C5">
              <w:t xml:space="preserve">"If you have coronavirus or are caring for someone with COVID19, both </w:t>
            </w:r>
            <w:proofErr w:type="spellStart"/>
            <w:r w:rsidRPr="002756C5">
              <w:t>CDCgov</w:t>
            </w:r>
            <w:proofErr w:type="spellEnd"/>
            <w:r w:rsidRPr="002756C5">
              <w:t xml:space="preserve"> and WHO advise you to wear a mask around others, so YOU don't spread disease to THEM. There may be other recommendations for wearing masks at the discretion of your health provider or employer."</w:t>
            </w:r>
          </w:p>
          <w:p w14:paraId="492ADC19" w14:textId="219EABB8" w:rsidR="002554A5" w:rsidRDefault="002554A5" w:rsidP="00287DA6"/>
        </w:tc>
        <w:tc>
          <w:tcPr>
            <w:tcW w:w="1350" w:type="dxa"/>
            <w:tcBorders>
              <w:left w:val="nil"/>
              <w:bottom w:val="nil"/>
              <w:right w:val="nil"/>
            </w:tcBorders>
          </w:tcPr>
          <w:p w14:paraId="0C4A7A36" w14:textId="77777777" w:rsidR="00CC1F98" w:rsidRDefault="00CC1F98" w:rsidP="00287DA6">
            <w:pPr>
              <w:spacing w:line="480" w:lineRule="auto"/>
            </w:pPr>
            <w:r>
              <w:t>3/28/20</w:t>
            </w:r>
          </w:p>
        </w:tc>
        <w:tc>
          <w:tcPr>
            <w:tcW w:w="2070" w:type="dxa"/>
            <w:tcBorders>
              <w:left w:val="nil"/>
              <w:bottom w:val="nil"/>
            </w:tcBorders>
          </w:tcPr>
          <w:p w14:paraId="203F15E7" w14:textId="77777777" w:rsidR="00CC1F98" w:rsidRDefault="00CC1F98" w:rsidP="00287DA6">
            <w:pPr>
              <w:spacing w:line="480" w:lineRule="auto"/>
            </w:pPr>
            <w:r>
              <w:t>Loss Frame</w:t>
            </w:r>
          </w:p>
        </w:tc>
      </w:tr>
      <w:tr w:rsidR="00CC1F98" w14:paraId="491E6D34" w14:textId="77777777" w:rsidTr="002554A5">
        <w:tc>
          <w:tcPr>
            <w:tcW w:w="5125" w:type="dxa"/>
            <w:tcBorders>
              <w:top w:val="nil"/>
              <w:bottom w:val="nil"/>
              <w:right w:val="nil"/>
            </w:tcBorders>
          </w:tcPr>
          <w:p w14:paraId="3BDD4C94" w14:textId="77777777" w:rsidR="00CC1F98" w:rsidRDefault="00CC1F98" w:rsidP="00287DA6">
            <w:r w:rsidRPr="002756C5">
              <w:t xml:space="preserve">"My office, </w:t>
            </w:r>
            <w:proofErr w:type="spellStart"/>
            <w:r w:rsidRPr="002756C5">
              <w:t>CDCgov</w:t>
            </w:r>
            <w:proofErr w:type="spellEnd"/>
            <w:r w:rsidRPr="002756C5">
              <w:t>, and WHO constantly review emerging data and studies regarding COVID19, and will adjust recommendations accor</w:t>
            </w:r>
            <w:r>
              <w:t>d</w:t>
            </w:r>
            <w:r w:rsidRPr="002756C5">
              <w:t>ing to new data as the evidence warrants. CDC does not have new guidance scheduled to come out on this topic at this time."</w:t>
            </w:r>
          </w:p>
          <w:p w14:paraId="125D6738" w14:textId="12F77F5A" w:rsidR="002554A5" w:rsidRDefault="002554A5" w:rsidP="00287DA6"/>
        </w:tc>
        <w:tc>
          <w:tcPr>
            <w:tcW w:w="1350" w:type="dxa"/>
            <w:tcBorders>
              <w:top w:val="nil"/>
              <w:left w:val="nil"/>
              <w:bottom w:val="nil"/>
              <w:right w:val="nil"/>
            </w:tcBorders>
          </w:tcPr>
          <w:p w14:paraId="244D799B" w14:textId="77777777" w:rsidR="00CC1F98" w:rsidRDefault="00CC1F98" w:rsidP="00287DA6">
            <w:pPr>
              <w:spacing w:line="480" w:lineRule="auto"/>
            </w:pPr>
            <w:r>
              <w:t>3/28/20</w:t>
            </w:r>
          </w:p>
        </w:tc>
        <w:tc>
          <w:tcPr>
            <w:tcW w:w="2070" w:type="dxa"/>
            <w:tcBorders>
              <w:top w:val="nil"/>
              <w:left w:val="nil"/>
              <w:bottom w:val="nil"/>
            </w:tcBorders>
          </w:tcPr>
          <w:p w14:paraId="4B3EF3DE" w14:textId="77777777" w:rsidR="00CC1F98" w:rsidRDefault="00CC1F98" w:rsidP="00287DA6">
            <w:pPr>
              <w:spacing w:line="480" w:lineRule="auto"/>
            </w:pPr>
            <w:r>
              <w:t>NA</w:t>
            </w:r>
          </w:p>
        </w:tc>
      </w:tr>
      <w:tr w:rsidR="00CC1F98" w14:paraId="5DD11BC1" w14:textId="77777777" w:rsidTr="002554A5">
        <w:tc>
          <w:tcPr>
            <w:tcW w:w="5125" w:type="dxa"/>
            <w:tcBorders>
              <w:top w:val="nil"/>
              <w:bottom w:val="nil"/>
              <w:right w:val="nil"/>
            </w:tcBorders>
          </w:tcPr>
          <w:p w14:paraId="7828BC21" w14:textId="77777777" w:rsidR="00CC1F98" w:rsidRDefault="00CC1F98" w:rsidP="00287DA6">
            <w:r>
              <w:t>“</w:t>
            </w:r>
            <w:r w:rsidRPr="002756C5">
              <w:t xml:space="preserve">WHO </w:t>
            </w:r>
            <w:proofErr w:type="spellStart"/>
            <w:r w:rsidRPr="002756C5">
              <w:t>CDCgov</w:t>
            </w:r>
            <w:proofErr w:type="spellEnd"/>
            <w:r w:rsidRPr="002756C5">
              <w:t xml:space="preserve"> &amp; my office have consis</w:t>
            </w:r>
            <w:r>
              <w:t>t</w:t>
            </w:r>
            <w:r w:rsidRPr="002756C5">
              <w:t>ently recommended against the general public wearing masks as there is scant or conflicting evidence they benefit individual wearers in a meanin</w:t>
            </w:r>
            <w:r>
              <w:t>g</w:t>
            </w:r>
            <w:r w:rsidRPr="002756C5">
              <w:t>ful way, but real concerns about pulling from the healthcare worker supply…"</w:t>
            </w:r>
          </w:p>
          <w:p w14:paraId="2F5050C3" w14:textId="5509E87C" w:rsidR="002554A5" w:rsidRDefault="002554A5" w:rsidP="00287DA6"/>
        </w:tc>
        <w:tc>
          <w:tcPr>
            <w:tcW w:w="1350" w:type="dxa"/>
            <w:tcBorders>
              <w:top w:val="nil"/>
              <w:left w:val="nil"/>
              <w:bottom w:val="nil"/>
              <w:right w:val="nil"/>
            </w:tcBorders>
          </w:tcPr>
          <w:p w14:paraId="37371FC2" w14:textId="77777777" w:rsidR="00CC1F98" w:rsidRDefault="00CC1F98" w:rsidP="00287DA6">
            <w:pPr>
              <w:spacing w:line="480" w:lineRule="auto"/>
            </w:pPr>
            <w:r>
              <w:t>3/28/20</w:t>
            </w:r>
          </w:p>
        </w:tc>
        <w:tc>
          <w:tcPr>
            <w:tcW w:w="2070" w:type="dxa"/>
            <w:tcBorders>
              <w:top w:val="nil"/>
              <w:left w:val="nil"/>
              <w:bottom w:val="nil"/>
            </w:tcBorders>
          </w:tcPr>
          <w:p w14:paraId="58CA23ED" w14:textId="77777777" w:rsidR="00CC1F98" w:rsidRDefault="00CC1F98" w:rsidP="00287DA6">
            <w:pPr>
              <w:spacing w:line="480" w:lineRule="auto"/>
            </w:pPr>
            <w:r>
              <w:t>Loss Frame</w:t>
            </w:r>
          </w:p>
        </w:tc>
      </w:tr>
      <w:tr w:rsidR="00CC1F98" w14:paraId="489F8537" w14:textId="77777777" w:rsidTr="002554A5">
        <w:tc>
          <w:tcPr>
            <w:tcW w:w="5125" w:type="dxa"/>
            <w:tcBorders>
              <w:top w:val="nil"/>
              <w:bottom w:val="nil"/>
              <w:right w:val="nil"/>
            </w:tcBorders>
          </w:tcPr>
          <w:p w14:paraId="466FB073" w14:textId="77777777" w:rsidR="00CC1F98" w:rsidRDefault="00CC1F98" w:rsidP="00287DA6">
            <w:r w:rsidRPr="002756C5">
              <w:t>"WHO stands by recommendation to not wear masks if you are not sick or not caring for someone who is sick-CNN"</w:t>
            </w:r>
          </w:p>
          <w:p w14:paraId="3A22A117" w14:textId="4DC62B15" w:rsidR="002554A5" w:rsidRDefault="002554A5" w:rsidP="00287DA6"/>
        </w:tc>
        <w:tc>
          <w:tcPr>
            <w:tcW w:w="1350" w:type="dxa"/>
            <w:tcBorders>
              <w:top w:val="nil"/>
              <w:left w:val="nil"/>
              <w:bottom w:val="nil"/>
              <w:right w:val="nil"/>
            </w:tcBorders>
          </w:tcPr>
          <w:p w14:paraId="5D8AD15C" w14:textId="77777777" w:rsidR="00CC1F98" w:rsidRDefault="00CC1F98" w:rsidP="00287DA6">
            <w:pPr>
              <w:spacing w:line="480" w:lineRule="auto"/>
            </w:pPr>
            <w:r>
              <w:t>3/30/20</w:t>
            </w:r>
          </w:p>
        </w:tc>
        <w:tc>
          <w:tcPr>
            <w:tcW w:w="2070" w:type="dxa"/>
            <w:tcBorders>
              <w:top w:val="nil"/>
              <w:left w:val="nil"/>
              <w:bottom w:val="nil"/>
            </w:tcBorders>
          </w:tcPr>
          <w:p w14:paraId="318EA6BE" w14:textId="77777777" w:rsidR="00CC1F98" w:rsidRDefault="00CC1F98" w:rsidP="00287DA6">
            <w:pPr>
              <w:spacing w:line="480" w:lineRule="auto"/>
            </w:pPr>
            <w:r>
              <w:t>Loss Frame</w:t>
            </w:r>
          </w:p>
        </w:tc>
      </w:tr>
      <w:tr w:rsidR="00CC1F98" w14:paraId="58A91EF7" w14:textId="77777777" w:rsidTr="002554A5">
        <w:tc>
          <w:tcPr>
            <w:tcW w:w="5125" w:type="dxa"/>
            <w:tcBorders>
              <w:top w:val="nil"/>
              <w:bottom w:val="nil"/>
              <w:right w:val="nil"/>
            </w:tcBorders>
          </w:tcPr>
          <w:p w14:paraId="7EC18749" w14:textId="77777777" w:rsidR="00CC1F98" w:rsidRDefault="00CC1F98" w:rsidP="00287DA6">
            <w:r w:rsidRPr="002756C5">
              <w:t>"IF you choose to wear a face covering: wash your hands well before and after, &amp; don't touch your face while wearing please save the N95 ma</w:t>
            </w:r>
            <w:r>
              <w:t>s</w:t>
            </w:r>
            <w:r w:rsidRPr="002756C5">
              <w:t>ks for heal</w:t>
            </w:r>
            <w:r>
              <w:t>t</w:t>
            </w:r>
            <w:r w:rsidRPr="002756C5">
              <w:t>hcare/</w:t>
            </w:r>
            <w:r>
              <w:t xml:space="preserve"> </w:t>
            </w:r>
            <w:r w:rsidRPr="002756C5">
              <w:t>frontline workers, remember it is not a replacement for social distancing. Your best bet is still to stay home."</w:t>
            </w:r>
          </w:p>
          <w:p w14:paraId="2AC65FAE" w14:textId="1B073679" w:rsidR="002554A5" w:rsidRDefault="002554A5" w:rsidP="00287DA6"/>
        </w:tc>
        <w:tc>
          <w:tcPr>
            <w:tcW w:w="1350" w:type="dxa"/>
            <w:tcBorders>
              <w:top w:val="nil"/>
              <w:left w:val="nil"/>
              <w:bottom w:val="nil"/>
              <w:right w:val="nil"/>
            </w:tcBorders>
          </w:tcPr>
          <w:p w14:paraId="175161BE" w14:textId="77777777" w:rsidR="00CC1F98" w:rsidRDefault="00CC1F98" w:rsidP="00287DA6">
            <w:pPr>
              <w:spacing w:line="480" w:lineRule="auto"/>
            </w:pPr>
            <w:r>
              <w:t>4/2/20</w:t>
            </w:r>
          </w:p>
        </w:tc>
        <w:tc>
          <w:tcPr>
            <w:tcW w:w="2070" w:type="dxa"/>
            <w:tcBorders>
              <w:top w:val="nil"/>
              <w:left w:val="nil"/>
              <w:bottom w:val="nil"/>
            </w:tcBorders>
          </w:tcPr>
          <w:p w14:paraId="281F6D19" w14:textId="77777777" w:rsidR="00CC1F98" w:rsidRDefault="00CC1F98" w:rsidP="00287DA6">
            <w:pPr>
              <w:spacing w:line="480" w:lineRule="auto"/>
            </w:pPr>
            <w:r>
              <w:t>Loss Frame</w:t>
            </w:r>
          </w:p>
        </w:tc>
      </w:tr>
      <w:tr w:rsidR="00CC1F98" w14:paraId="2902C137" w14:textId="77777777" w:rsidTr="002554A5">
        <w:tc>
          <w:tcPr>
            <w:tcW w:w="5125" w:type="dxa"/>
            <w:tcBorders>
              <w:top w:val="nil"/>
              <w:bottom w:val="nil"/>
              <w:right w:val="nil"/>
            </w:tcBorders>
          </w:tcPr>
          <w:p w14:paraId="07DFB1DE" w14:textId="77777777" w:rsidR="00CC1F98" w:rsidRDefault="00CC1F98" w:rsidP="00287DA6">
            <w:r w:rsidRPr="002756C5">
              <w:t xml:space="preserve">"There remains scant evidence wearing a mask- especially improperly-provides much benefit to a healthy wearer. However, emerging data suggests facial coverings may prevent asymptomatic disease transmission to others. We always follow and react to the data </w:t>
            </w:r>
            <w:proofErr w:type="spellStart"/>
            <w:r w:rsidRPr="002756C5">
              <w:t>CDCgov</w:t>
            </w:r>
            <w:proofErr w:type="spellEnd"/>
            <w:r w:rsidRPr="002756C5">
              <w:t xml:space="preserve"> is studying"</w:t>
            </w:r>
          </w:p>
          <w:p w14:paraId="6B15BD20" w14:textId="2239362A" w:rsidR="002554A5" w:rsidRDefault="002554A5" w:rsidP="00287DA6"/>
        </w:tc>
        <w:tc>
          <w:tcPr>
            <w:tcW w:w="1350" w:type="dxa"/>
            <w:tcBorders>
              <w:top w:val="nil"/>
              <w:left w:val="nil"/>
              <w:bottom w:val="nil"/>
              <w:right w:val="nil"/>
            </w:tcBorders>
          </w:tcPr>
          <w:p w14:paraId="3C0554D5" w14:textId="77777777" w:rsidR="00CC1F98" w:rsidRDefault="00CC1F98" w:rsidP="00287DA6">
            <w:pPr>
              <w:spacing w:line="480" w:lineRule="auto"/>
            </w:pPr>
            <w:r>
              <w:lastRenderedPageBreak/>
              <w:t>4/2/20</w:t>
            </w:r>
          </w:p>
        </w:tc>
        <w:tc>
          <w:tcPr>
            <w:tcW w:w="2070" w:type="dxa"/>
            <w:tcBorders>
              <w:top w:val="nil"/>
              <w:left w:val="nil"/>
              <w:bottom w:val="nil"/>
            </w:tcBorders>
          </w:tcPr>
          <w:p w14:paraId="339451E9" w14:textId="77777777" w:rsidR="00CC1F98" w:rsidRDefault="00CC1F98" w:rsidP="00287DA6">
            <w:r>
              <w:t>Mixed</w:t>
            </w:r>
          </w:p>
          <w:p w14:paraId="5C172C03" w14:textId="77777777" w:rsidR="00CC1F98" w:rsidRDefault="00CC1F98" w:rsidP="00287DA6">
            <w:r>
              <w:t>Loss frame- first sentence</w:t>
            </w:r>
          </w:p>
          <w:p w14:paraId="00005D2A" w14:textId="77777777" w:rsidR="00CC1F98" w:rsidRDefault="00CC1F98" w:rsidP="00287DA6">
            <w:r>
              <w:t>Gain Frame-second sentence</w:t>
            </w:r>
          </w:p>
        </w:tc>
      </w:tr>
      <w:tr w:rsidR="00CC1F98" w14:paraId="3168EDF6" w14:textId="77777777" w:rsidTr="002554A5">
        <w:tc>
          <w:tcPr>
            <w:tcW w:w="5125" w:type="dxa"/>
            <w:tcBorders>
              <w:top w:val="nil"/>
              <w:bottom w:val="nil"/>
              <w:right w:val="nil"/>
            </w:tcBorders>
          </w:tcPr>
          <w:p w14:paraId="70967A47" w14:textId="77777777" w:rsidR="00CC1F98" w:rsidRDefault="00CC1F98" w:rsidP="00287DA6">
            <w:r w:rsidRPr="002756C5">
              <w:t xml:space="preserve">"In light of new evidence, </w:t>
            </w:r>
            <w:proofErr w:type="spellStart"/>
            <w:r w:rsidRPr="002756C5">
              <w:t>CDCgov</w:t>
            </w:r>
            <w:proofErr w:type="spellEnd"/>
            <w:r w:rsidRPr="002756C5">
              <w:t xml:space="preserve"> recommends wearing cloth face coverings in public settings where social dista</w:t>
            </w:r>
            <w:r>
              <w:t>nc</w:t>
            </w:r>
            <w:r w:rsidRPr="002756C5">
              <w:t>ing measures are difficult to maintain (g</w:t>
            </w:r>
            <w:r>
              <w:t>ro</w:t>
            </w:r>
            <w:r w:rsidRPr="002756C5">
              <w:t xml:space="preserve">cery stores, pharmacies </w:t>
            </w:r>
            <w:proofErr w:type="spellStart"/>
            <w:r w:rsidRPr="002756C5">
              <w:t>etc</w:t>
            </w:r>
            <w:proofErr w:type="spellEnd"/>
            <w:r w:rsidRPr="002756C5">
              <w:t>) especially in areas of significant community-based transmission"</w:t>
            </w:r>
          </w:p>
          <w:p w14:paraId="69BB3438" w14:textId="259C19CC" w:rsidR="002554A5" w:rsidRPr="002756C5" w:rsidRDefault="002554A5" w:rsidP="00287DA6"/>
        </w:tc>
        <w:tc>
          <w:tcPr>
            <w:tcW w:w="1350" w:type="dxa"/>
            <w:tcBorders>
              <w:top w:val="nil"/>
              <w:left w:val="nil"/>
              <w:bottom w:val="nil"/>
              <w:right w:val="nil"/>
            </w:tcBorders>
          </w:tcPr>
          <w:p w14:paraId="4DCF3CC8" w14:textId="77777777" w:rsidR="00CC1F98" w:rsidRDefault="00CC1F98" w:rsidP="00287DA6">
            <w:pPr>
              <w:spacing w:line="480" w:lineRule="auto"/>
            </w:pPr>
            <w:r>
              <w:t>4/3/20</w:t>
            </w:r>
          </w:p>
        </w:tc>
        <w:tc>
          <w:tcPr>
            <w:tcW w:w="2070" w:type="dxa"/>
            <w:tcBorders>
              <w:top w:val="nil"/>
              <w:left w:val="nil"/>
              <w:bottom w:val="nil"/>
            </w:tcBorders>
          </w:tcPr>
          <w:p w14:paraId="225BA8D6" w14:textId="77777777" w:rsidR="00CC1F98" w:rsidRDefault="00CC1F98" w:rsidP="00287DA6">
            <w:pPr>
              <w:spacing w:line="480" w:lineRule="auto"/>
            </w:pPr>
            <w:r>
              <w:t>NA</w:t>
            </w:r>
          </w:p>
        </w:tc>
      </w:tr>
      <w:tr w:rsidR="00CC1F98" w14:paraId="750505BD" w14:textId="77777777" w:rsidTr="002554A5">
        <w:tc>
          <w:tcPr>
            <w:tcW w:w="5125" w:type="dxa"/>
            <w:tcBorders>
              <w:top w:val="nil"/>
              <w:right w:val="nil"/>
            </w:tcBorders>
          </w:tcPr>
          <w:p w14:paraId="217DD681" w14:textId="77777777" w:rsidR="00CC1F98" w:rsidRPr="002756C5" w:rsidRDefault="00CC1F98" w:rsidP="00287DA6">
            <w:r w:rsidRPr="002756C5">
              <w:t>"As myself and other members of POTUS's COVID19 Task Force have said in the past, our response is data driven and we will continue to update our response and guidance based on the data."</w:t>
            </w:r>
          </w:p>
        </w:tc>
        <w:tc>
          <w:tcPr>
            <w:tcW w:w="1350" w:type="dxa"/>
            <w:tcBorders>
              <w:top w:val="nil"/>
              <w:left w:val="nil"/>
              <w:right w:val="nil"/>
            </w:tcBorders>
          </w:tcPr>
          <w:p w14:paraId="739AC80F" w14:textId="77777777" w:rsidR="00CC1F98" w:rsidRDefault="00CC1F98" w:rsidP="00287DA6">
            <w:pPr>
              <w:spacing w:line="480" w:lineRule="auto"/>
            </w:pPr>
            <w:r>
              <w:t>4/3/20</w:t>
            </w:r>
          </w:p>
        </w:tc>
        <w:tc>
          <w:tcPr>
            <w:tcW w:w="2070" w:type="dxa"/>
            <w:tcBorders>
              <w:top w:val="nil"/>
              <w:left w:val="nil"/>
            </w:tcBorders>
          </w:tcPr>
          <w:p w14:paraId="13F9E64E" w14:textId="77777777" w:rsidR="00CC1F98" w:rsidRDefault="00CC1F98" w:rsidP="00287DA6">
            <w:pPr>
              <w:spacing w:line="480" w:lineRule="auto"/>
            </w:pPr>
            <w:r>
              <w:t>NA</w:t>
            </w:r>
          </w:p>
        </w:tc>
      </w:tr>
    </w:tbl>
    <w:p w14:paraId="6AF54238" w14:textId="285825B2" w:rsidR="002554A5" w:rsidRDefault="002554A5" w:rsidP="00CC1F98">
      <w:pPr>
        <w:spacing w:line="480" w:lineRule="auto"/>
      </w:pPr>
    </w:p>
    <w:p w14:paraId="58AADB8E" w14:textId="2DB5B1C6" w:rsidR="00EF0DC4" w:rsidRDefault="00EF0DC4" w:rsidP="00CC1F98">
      <w:pPr>
        <w:spacing w:line="480" w:lineRule="auto"/>
      </w:pPr>
    </w:p>
    <w:p w14:paraId="2E71D4F1" w14:textId="6002FD7C" w:rsidR="00EF0DC4" w:rsidRDefault="00EF0DC4" w:rsidP="00CC1F98">
      <w:pPr>
        <w:spacing w:line="480" w:lineRule="auto"/>
      </w:pPr>
    </w:p>
    <w:p w14:paraId="6DC37960" w14:textId="7F145753" w:rsidR="00EF0DC4" w:rsidRDefault="00EF0DC4" w:rsidP="00CC1F98">
      <w:pPr>
        <w:spacing w:line="480" w:lineRule="auto"/>
      </w:pPr>
    </w:p>
    <w:p w14:paraId="4A670A4E" w14:textId="6E03359D" w:rsidR="00EF0DC4" w:rsidRDefault="00EF0DC4" w:rsidP="00CC1F98">
      <w:pPr>
        <w:spacing w:line="480" w:lineRule="auto"/>
      </w:pPr>
    </w:p>
    <w:p w14:paraId="0C2CBBBA" w14:textId="2B2A936E" w:rsidR="00EF0DC4" w:rsidRDefault="00EF0DC4" w:rsidP="00CC1F98">
      <w:pPr>
        <w:spacing w:line="480" w:lineRule="auto"/>
      </w:pPr>
    </w:p>
    <w:p w14:paraId="1B66BA08" w14:textId="4EFB7AEE" w:rsidR="00EF0DC4" w:rsidRDefault="00EF0DC4" w:rsidP="00CC1F98">
      <w:pPr>
        <w:spacing w:line="480" w:lineRule="auto"/>
      </w:pPr>
    </w:p>
    <w:p w14:paraId="20A7D4E1" w14:textId="619E7C1A" w:rsidR="00EF0DC4" w:rsidRDefault="00EF0DC4" w:rsidP="00CC1F98">
      <w:pPr>
        <w:spacing w:line="480" w:lineRule="auto"/>
      </w:pPr>
    </w:p>
    <w:p w14:paraId="180BCC69" w14:textId="17AD9F41" w:rsidR="00EF0DC4" w:rsidRDefault="00EF0DC4" w:rsidP="00CC1F98">
      <w:pPr>
        <w:spacing w:line="480" w:lineRule="auto"/>
      </w:pPr>
    </w:p>
    <w:p w14:paraId="7AC3428C" w14:textId="2FDCEF12" w:rsidR="00EF0DC4" w:rsidRDefault="00EF0DC4" w:rsidP="00CC1F98">
      <w:pPr>
        <w:spacing w:line="480" w:lineRule="auto"/>
      </w:pPr>
    </w:p>
    <w:p w14:paraId="49CC42E8" w14:textId="3C2F8F0E" w:rsidR="00EF0DC4" w:rsidRDefault="00EF0DC4" w:rsidP="00CC1F98">
      <w:pPr>
        <w:spacing w:line="480" w:lineRule="auto"/>
      </w:pPr>
    </w:p>
    <w:p w14:paraId="078FDE96" w14:textId="355AD372" w:rsidR="00EF0DC4" w:rsidRDefault="00EF0DC4" w:rsidP="00CC1F98">
      <w:pPr>
        <w:spacing w:line="480" w:lineRule="auto"/>
      </w:pPr>
    </w:p>
    <w:p w14:paraId="786E83AB" w14:textId="42BE2D5C" w:rsidR="00EF0DC4" w:rsidRDefault="00EF0DC4" w:rsidP="00CC1F98">
      <w:pPr>
        <w:spacing w:line="480" w:lineRule="auto"/>
      </w:pPr>
    </w:p>
    <w:p w14:paraId="14DEEE2D" w14:textId="47640053" w:rsidR="00EF0DC4" w:rsidRDefault="00EF0DC4" w:rsidP="00CC1F98">
      <w:pPr>
        <w:spacing w:line="480" w:lineRule="auto"/>
      </w:pPr>
    </w:p>
    <w:p w14:paraId="626D5108" w14:textId="16CA9ACB" w:rsidR="00EF0DC4" w:rsidRDefault="00EF0DC4" w:rsidP="00CC1F98">
      <w:pPr>
        <w:spacing w:line="480" w:lineRule="auto"/>
      </w:pPr>
    </w:p>
    <w:p w14:paraId="75A10D06" w14:textId="65A8B3E4" w:rsidR="00EF0DC4" w:rsidRDefault="00EF0DC4" w:rsidP="00CC1F98">
      <w:pPr>
        <w:spacing w:line="480" w:lineRule="auto"/>
      </w:pPr>
    </w:p>
    <w:p w14:paraId="140A2991" w14:textId="7086EAF0" w:rsidR="00A95E04" w:rsidRDefault="00A95E04" w:rsidP="00CC1F98">
      <w:pPr>
        <w:spacing w:line="480" w:lineRule="auto"/>
      </w:pPr>
    </w:p>
    <w:p w14:paraId="02EFF0A1" w14:textId="49EEF248" w:rsidR="00A95E04" w:rsidRDefault="00A95E04" w:rsidP="00CC1F98">
      <w:pPr>
        <w:spacing w:line="480" w:lineRule="auto"/>
      </w:pPr>
    </w:p>
    <w:p w14:paraId="6ED18AEC" w14:textId="77777777" w:rsidR="00A95E04" w:rsidRDefault="00A95E04" w:rsidP="00CC1F98">
      <w:pPr>
        <w:spacing w:line="480" w:lineRule="auto"/>
      </w:pPr>
    </w:p>
    <w:p w14:paraId="61155074" w14:textId="67A8FF82" w:rsidR="00CC1F98" w:rsidRPr="002F7E4F" w:rsidRDefault="00A95E04" w:rsidP="00CC1F98">
      <w:pPr>
        <w:spacing w:line="480" w:lineRule="auto"/>
      </w:pPr>
      <w:r w:rsidRPr="002554A5">
        <w:rPr>
          <w:b/>
        </w:rPr>
        <w:t>Table 2</w:t>
      </w:r>
      <w:r>
        <w:rPr>
          <w:b/>
        </w:rPr>
        <w:t>.</w:t>
      </w:r>
      <w:r w:rsidRPr="002554A5">
        <w:t xml:space="preserve"> </w:t>
      </w:r>
      <w:r w:rsidRPr="002F7E4F">
        <w:t xml:space="preserve">Overall Tweet Characteristics and </w:t>
      </w:r>
      <w:r>
        <w:t>Account</w:t>
      </w:r>
      <w:r w:rsidRPr="002F7E4F">
        <w:t xml:space="preserve"> Specific Frequency</w:t>
      </w:r>
    </w:p>
    <w:tbl>
      <w:tblPr>
        <w:tblStyle w:val="TableGrid"/>
        <w:tblW w:w="0" w:type="auto"/>
        <w:tblLook w:val="04A0" w:firstRow="1" w:lastRow="0" w:firstColumn="1" w:lastColumn="0" w:noHBand="0" w:noVBand="1"/>
      </w:tblPr>
      <w:tblGrid>
        <w:gridCol w:w="2337"/>
        <w:gridCol w:w="3238"/>
      </w:tblGrid>
      <w:tr w:rsidR="002554A5" w14:paraId="19390AC4" w14:textId="77777777" w:rsidTr="002554A5">
        <w:tc>
          <w:tcPr>
            <w:tcW w:w="2337" w:type="dxa"/>
            <w:tcBorders>
              <w:bottom w:val="single" w:sz="4" w:space="0" w:color="auto"/>
              <w:right w:val="nil"/>
            </w:tcBorders>
          </w:tcPr>
          <w:p w14:paraId="5044EAA8" w14:textId="4DE44101" w:rsidR="002554A5" w:rsidRPr="00AA5F93" w:rsidRDefault="002554A5" w:rsidP="002554A5">
            <w:pPr>
              <w:rPr>
                <w:b/>
              </w:rPr>
            </w:pPr>
            <w:r w:rsidRPr="00AA5F93">
              <w:rPr>
                <w:b/>
              </w:rPr>
              <w:t>Tweet Characteristic</w:t>
            </w:r>
          </w:p>
        </w:tc>
        <w:tc>
          <w:tcPr>
            <w:tcW w:w="3238" w:type="dxa"/>
            <w:tcBorders>
              <w:left w:val="nil"/>
              <w:bottom w:val="single" w:sz="4" w:space="0" w:color="auto"/>
            </w:tcBorders>
          </w:tcPr>
          <w:p w14:paraId="7EEB0558" w14:textId="489EAD63" w:rsidR="002554A5" w:rsidRDefault="002554A5" w:rsidP="002554A5">
            <w:pPr>
              <w:rPr>
                <w:b/>
              </w:rPr>
            </w:pPr>
            <w:r>
              <w:rPr>
                <w:b/>
              </w:rPr>
              <w:t>%(</w:t>
            </w:r>
            <w:r w:rsidRPr="00AA5F93">
              <w:rPr>
                <w:b/>
              </w:rPr>
              <w:t>N</w:t>
            </w:r>
            <w:r>
              <w:rPr>
                <w:b/>
              </w:rPr>
              <w:t>)</w:t>
            </w:r>
            <w:r w:rsidRPr="00AA5F93">
              <w:rPr>
                <w:b/>
              </w:rPr>
              <w:t xml:space="preserve"> from </w:t>
            </w:r>
            <w:r>
              <w:rPr>
                <w:b/>
              </w:rPr>
              <w:t>e</w:t>
            </w:r>
            <w:r w:rsidRPr="00AA5F93">
              <w:rPr>
                <w:b/>
              </w:rPr>
              <w:t xml:space="preserve">ach </w:t>
            </w:r>
            <w:r>
              <w:rPr>
                <w:b/>
              </w:rPr>
              <w:t>Twitter Account</w:t>
            </w:r>
          </w:p>
        </w:tc>
      </w:tr>
      <w:tr w:rsidR="00CC1F98" w14:paraId="15715DBE" w14:textId="77777777" w:rsidTr="002554A5">
        <w:tc>
          <w:tcPr>
            <w:tcW w:w="2337" w:type="dxa"/>
            <w:tcBorders>
              <w:top w:val="single" w:sz="4" w:space="0" w:color="auto"/>
              <w:bottom w:val="nil"/>
              <w:right w:val="nil"/>
            </w:tcBorders>
          </w:tcPr>
          <w:p w14:paraId="0898AF23" w14:textId="77777777" w:rsidR="00CC1F98" w:rsidRDefault="00CC1F98" w:rsidP="00287DA6">
            <w:pPr>
              <w:spacing w:line="480" w:lineRule="auto"/>
            </w:pPr>
            <w:r>
              <w:t>Included Visuals</w:t>
            </w:r>
          </w:p>
        </w:tc>
        <w:tc>
          <w:tcPr>
            <w:tcW w:w="3238" w:type="dxa"/>
            <w:tcBorders>
              <w:top w:val="single" w:sz="4" w:space="0" w:color="auto"/>
              <w:left w:val="nil"/>
              <w:bottom w:val="nil"/>
            </w:tcBorders>
          </w:tcPr>
          <w:p w14:paraId="6483912D" w14:textId="77777777" w:rsidR="00CC1F98" w:rsidRDefault="00CC1F98" w:rsidP="00287DA6">
            <w:r>
              <w:t>White House: 97.5% (47)</w:t>
            </w:r>
          </w:p>
          <w:p w14:paraId="266565C8" w14:textId="77777777" w:rsidR="00CC1F98" w:rsidRDefault="00CC1F98" w:rsidP="00287DA6">
            <w:r>
              <w:t>Surgeon General: 86% (43)</w:t>
            </w:r>
          </w:p>
          <w:p w14:paraId="1AFE7BDB" w14:textId="77777777" w:rsidR="00CC1F98" w:rsidRDefault="00CC1F98" w:rsidP="00287DA6">
            <w:r>
              <w:t>CDC: 95% (38)</w:t>
            </w:r>
          </w:p>
          <w:p w14:paraId="246308ED" w14:textId="77777777" w:rsidR="00CC1F98" w:rsidRDefault="00CC1F98" w:rsidP="00287DA6">
            <w:r>
              <w:t>HHS: 100% (10)</w:t>
            </w:r>
          </w:p>
          <w:p w14:paraId="2FE23E00" w14:textId="062068D9" w:rsidR="002554A5" w:rsidRDefault="002554A5" w:rsidP="00287DA6"/>
        </w:tc>
      </w:tr>
      <w:tr w:rsidR="00CC1F98" w14:paraId="0A320FEC" w14:textId="77777777" w:rsidTr="002554A5">
        <w:tc>
          <w:tcPr>
            <w:tcW w:w="2337" w:type="dxa"/>
            <w:tcBorders>
              <w:top w:val="nil"/>
              <w:bottom w:val="nil"/>
              <w:right w:val="nil"/>
            </w:tcBorders>
          </w:tcPr>
          <w:p w14:paraId="39261066" w14:textId="77777777" w:rsidR="00CC1F98" w:rsidRDefault="00CC1F98" w:rsidP="00287DA6">
            <w:pPr>
              <w:spacing w:line="480" w:lineRule="auto"/>
            </w:pPr>
            <w:r>
              <w:t>External Links</w:t>
            </w:r>
          </w:p>
        </w:tc>
        <w:tc>
          <w:tcPr>
            <w:tcW w:w="3238" w:type="dxa"/>
            <w:tcBorders>
              <w:top w:val="nil"/>
              <w:left w:val="nil"/>
              <w:bottom w:val="nil"/>
            </w:tcBorders>
          </w:tcPr>
          <w:p w14:paraId="044FF2BF" w14:textId="77777777" w:rsidR="00CC1F98" w:rsidRDefault="00CC1F98" w:rsidP="00287DA6">
            <w:r>
              <w:t>White House: 25% (12)</w:t>
            </w:r>
          </w:p>
          <w:p w14:paraId="0A204D20" w14:textId="77777777" w:rsidR="00CC1F98" w:rsidRDefault="00CC1F98" w:rsidP="00287DA6">
            <w:r>
              <w:t>Surgeon General: 44% (22)</w:t>
            </w:r>
          </w:p>
          <w:p w14:paraId="143B7FE5" w14:textId="77777777" w:rsidR="00CC1F98" w:rsidRDefault="00CC1F98" w:rsidP="00287DA6">
            <w:r>
              <w:t>CDC: 85% (34)</w:t>
            </w:r>
          </w:p>
          <w:p w14:paraId="0BDF5063" w14:textId="77777777" w:rsidR="00CC1F98" w:rsidRDefault="00CC1F98" w:rsidP="00287DA6">
            <w:r>
              <w:t>HHS: 10% (1)</w:t>
            </w:r>
          </w:p>
          <w:p w14:paraId="49A641AB" w14:textId="3DE817A1" w:rsidR="002554A5" w:rsidRDefault="002554A5" w:rsidP="00287DA6"/>
        </w:tc>
      </w:tr>
      <w:tr w:rsidR="00CC1F98" w14:paraId="218E97C1" w14:textId="77777777" w:rsidTr="002554A5">
        <w:tc>
          <w:tcPr>
            <w:tcW w:w="2337" w:type="dxa"/>
            <w:tcBorders>
              <w:top w:val="nil"/>
              <w:bottom w:val="nil"/>
              <w:right w:val="nil"/>
            </w:tcBorders>
          </w:tcPr>
          <w:p w14:paraId="3D997932" w14:textId="77777777" w:rsidR="00CC1F98" w:rsidRDefault="00CC1F98" w:rsidP="00287DA6">
            <w:pPr>
              <w:spacing w:line="480" w:lineRule="auto"/>
            </w:pPr>
            <w:r>
              <w:t>Retweets</w:t>
            </w:r>
          </w:p>
        </w:tc>
        <w:tc>
          <w:tcPr>
            <w:tcW w:w="3238" w:type="dxa"/>
            <w:tcBorders>
              <w:top w:val="nil"/>
              <w:left w:val="nil"/>
              <w:bottom w:val="nil"/>
            </w:tcBorders>
          </w:tcPr>
          <w:p w14:paraId="43CB504D" w14:textId="77777777" w:rsidR="00CC1F98" w:rsidRDefault="00CC1F98" w:rsidP="00287DA6">
            <w:r>
              <w:t>White House: 0% (0)</w:t>
            </w:r>
          </w:p>
          <w:p w14:paraId="69D46B58" w14:textId="77777777" w:rsidR="00CC1F98" w:rsidRDefault="00CC1F98" w:rsidP="00287DA6">
            <w:r>
              <w:t>Surgeon General: 16% (8)</w:t>
            </w:r>
          </w:p>
          <w:p w14:paraId="1526F2DA" w14:textId="77777777" w:rsidR="00CC1F98" w:rsidRDefault="00CC1F98" w:rsidP="00287DA6">
            <w:r>
              <w:t>CDC: 0% (0)</w:t>
            </w:r>
          </w:p>
          <w:p w14:paraId="76C2D8DB" w14:textId="77777777" w:rsidR="00CC1F98" w:rsidRDefault="00CC1F98" w:rsidP="00287DA6">
            <w:r>
              <w:t>HHS: 0% (0)</w:t>
            </w:r>
          </w:p>
          <w:p w14:paraId="123F4D8B" w14:textId="69B2430A" w:rsidR="002554A5" w:rsidRDefault="002554A5" w:rsidP="00287DA6"/>
        </w:tc>
      </w:tr>
      <w:tr w:rsidR="00CC1F98" w14:paraId="431BD99C" w14:textId="77777777" w:rsidTr="002554A5">
        <w:tc>
          <w:tcPr>
            <w:tcW w:w="2337" w:type="dxa"/>
            <w:tcBorders>
              <w:top w:val="nil"/>
              <w:bottom w:val="nil"/>
              <w:right w:val="nil"/>
            </w:tcBorders>
          </w:tcPr>
          <w:p w14:paraId="76607AD0" w14:textId="77777777" w:rsidR="00CC1F98" w:rsidRDefault="00CC1F98" w:rsidP="00287DA6">
            <w:pPr>
              <w:spacing w:line="480" w:lineRule="auto"/>
            </w:pPr>
            <w:r>
              <w:t>Tagged</w:t>
            </w:r>
          </w:p>
        </w:tc>
        <w:tc>
          <w:tcPr>
            <w:tcW w:w="3238" w:type="dxa"/>
            <w:tcBorders>
              <w:top w:val="nil"/>
              <w:left w:val="nil"/>
              <w:bottom w:val="nil"/>
            </w:tcBorders>
          </w:tcPr>
          <w:p w14:paraId="6E546423" w14:textId="77777777" w:rsidR="00CC1F98" w:rsidRDefault="00CC1F98" w:rsidP="00287DA6">
            <w:r>
              <w:t>White House: 22.9% (11)</w:t>
            </w:r>
          </w:p>
          <w:p w14:paraId="3692862E" w14:textId="77777777" w:rsidR="00CC1F98" w:rsidRDefault="00CC1F98" w:rsidP="00287DA6">
            <w:r>
              <w:t>Surgeon General: 50% (25)</w:t>
            </w:r>
          </w:p>
          <w:p w14:paraId="2E32691B" w14:textId="77777777" w:rsidR="00CC1F98" w:rsidRDefault="00CC1F98" w:rsidP="00287DA6">
            <w:r>
              <w:t>CDC: 12.5% (5)</w:t>
            </w:r>
          </w:p>
          <w:p w14:paraId="670B5FCC" w14:textId="77777777" w:rsidR="00CC1F98" w:rsidRDefault="00CC1F98" w:rsidP="00287DA6">
            <w:r>
              <w:t>HHS: 90% (9)</w:t>
            </w:r>
          </w:p>
          <w:p w14:paraId="5EF6F4D8" w14:textId="70D2EE42" w:rsidR="002554A5" w:rsidRDefault="002554A5" w:rsidP="00287DA6"/>
        </w:tc>
      </w:tr>
      <w:tr w:rsidR="00CC1F98" w14:paraId="78D39D91" w14:textId="77777777" w:rsidTr="002554A5">
        <w:tc>
          <w:tcPr>
            <w:tcW w:w="2337" w:type="dxa"/>
            <w:tcBorders>
              <w:top w:val="nil"/>
              <w:right w:val="nil"/>
            </w:tcBorders>
          </w:tcPr>
          <w:p w14:paraId="1E781907" w14:textId="77777777" w:rsidR="00CC1F98" w:rsidRDefault="00CC1F98" w:rsidP="00287DA6">
            <w:pPr>
              <w:spacing w:line="480" w:lineRule="auto"/>
            </w:pPr>
            <w:r>
              <w:t>Hashtags</w:t>
            </w:r>
          </w:p>
        </w:tc>
        <w:tc>
          <w:tcPr>
            <w:tcW w:w="3238" w:type="dxa"/>
            <w:tcBorders>
              <w:top w:val="nil"/>
              <w:left w:val="nil"/>
            </w:tcBorders>
          </w:tcPr>
          <w:p w14:paraId="0064F5D7" w14:textId="77777777" w:rsidR="00CC1F98" w:rsidRDefault="00CC1F98" w:rsidP="00287DA6">
            <w:r>
              <w:t>White House: 2.1% (1)</w:t>
            </w:r>
          </w:p>
          <w:p w14:paraId="3C37F9D8" w14:textId="77777777" w:rsidR="00CC1F98" w:rsidRDefault="00CC1F98" w:rsidP="00287DA6">
            <w:r>
              <w:t>Surgeon General: 68% (34)</w:t>
            </w:r>
          </w:p>
          <w:p w14:paraId="4A78AAE9" w14:textId="77777777" w:rsidR="00CC1F98" w:rsidRDefault="00CC1F98" w:rsidP="00287DA6">
            <w:r>
              <w:t>CDC: 95% (38)</w:t>
            </w:r>
          </w:p>
          <w:p w14:paraId="124193E6" w14:textId="77777777" w:rsidR="00CC1F98" w:rsidRDefault="00CC1F98" w:rsidP="00287DA6">
            <w:r>
              <w:t>HHS: 90% (9)</w:t>
            </w:r>
          </w:p>
        </w:tc>
      </w:tr>
    </w:tbl>
    <w:p w14:paraId="6950BAA9" w14:textId="77777777" w:rsidR="00CC1F98" w:rsidRDefault="00CC1F98" w:rsidP="00CC1F98">
      <w:pPr>
        <w:spacing w:line="480" w:lineRule="auto"/>
      </w:pPr>
    </w:p>
    <w:p w14:paraId="4BF31674" w14:textId="3E7D909F" w:rsidR="00CC1F98" w:rsidRDefault="00CC1F98" w:rsidP="00CC1F98">
      <w:pPr>
        <w:spacing w:line="480" w:lineRule="auto"/>
      </w:pPr>
    </w:p>
    <w:p w14:paraId="7221FDE6" w14:textId="1D164E1A" w:rsidR="00EF0DC4" w:rsidRDefault="00EF0DC4" w:rsidP="00CC1F98">
      <w:pPr>
        <w:spacing w:line="480" w:lineRule="auto"/>
      </w:pPr>
    </w:p>
    <w:p w14:paraId="7BBF047F" w14:textId="6A1C8028" w:rsidR="00EF0DC4" w:rsidRDefault="00EF0DC4" w:rsidP="00CC1F98">
      <w:pPr>
        <w:spacing w:line="480" w:lineRule="auto"/>
      </w:pPr>
    </w:p>
    <w:p w14:paraId="626D80D4" w14:textId="1DF4405A" w:rsidR="00EF0DC4" w:rsidRDefault="00EF0DC4" w:rsidP="00CC1F98">
      <w:pPr>
        <w:spacing w:line="480" w:lineRule="auto"/>
      </w:pPr>
    </w:p>
    <w:p w14:paraId="3E556F6C" w14:textId="6EA05AF2" w:rsidR="00EF0DC4" w:rsidRDefault="00EF0DC4" w:rsidP="00CC1F98">
      <w:pPr>
        <w:spacing w:line="480" w:lineRule="auto"/>
      </w:pPr>
    </w:p>
    <w:p w14:paraId="18CDF884" w14:textId="46C312B7" w:rsidR="00EF0DC4" w:rsidRDefault="00EF0DC4" w:rsidP="00CC1F98">
      <w:pPr>
        <w:spacing w:line="480" w:lineRule="auto"/>
      </w:pPr>
    </w:p>
    <w:p w14:paraId="44B1E36D" w14:textId="776EAA7B" w:rsidR="00A95E04" w:rsidRDefault="00A95E04" w:rsidP="00CC1F98">
      <w:pPr>
        <w:spacing w:line="480" w:lineRule="auto"/>
      </w:pPr>
    </w:p>
    <w:p w14:paraId="6B8F2160" w14:textId="77777777" w:rsidR="00A95E04" w:rsidRDefault="00A95E04" w:rsidP="00CC1F98">
      <w:pPr>
        <w:spacing w:line="480" w:lineRule="auto"/>
      </w:pPr>
    </w:p>
    <w:p w14:paraId="38A78B34" w14:textId="46A26417" w:rsidR="00EF0DC4" w:rsidRPr="00C62999" w:rsidRDefault="00A95E04" w:rsidP="00CC1F98">
      <w:pPr>
        <w:spacing w:line="480" w:lineRule="auto"/>
      </w:pPr>
      <w:r w:rsidRPr="00CE0389">
        <w:rPr>
          <w:b/>
        </w:rPr>
        <w:t>Table 3</w:t>
      </w:r>
      <w:r>
        <w:rPr>
          <w:b/>
        </w:rPr>
        <w:t>.</w:t>
      </w:r>
      <w:r>
        <w:rPr>
          <w:i/>
        </w:rPr>
        <w:t xml:space="preserve"> </w:t>
      </w:r>
      <w:r w:rsidRPr="00C62999">
        <w:t>Emotional Appeal Examples</w:t>
      </w:r>
    </w:p>
    <w:tbl>
      <w:tblPr>
        <w:tblStyle w:val="TableGrid"/>
        <w:tblW w:w="0" w:type="auto"/>
        <w:tblLook w:val="04A0" w:firstRow="1" w:lastRow="0" w:firstColumn="1" w:lastColumn="0" w:noHBand="0" w:noVBand="1"/>
      </w:tblPr>
      <w:tblGrid>
        <w:gridCol w:w="2337"/>
        <w:gridCol w:w="1348"/>
        <w:gridCol w:w="1440"/>
        <w:gridCol w:w="4225"/>
      </w:tblGrid>
      <w:tr w:rsidR="002554A5" w14:paraId="11AF0E79" w14:textId="77777777" w:rsidTr="002554A5">
        <w:tc>
          <w:tcPr>
            <w:tcW w:w="2337" w:type="dxa"/>
            <w:tcBorders>
              <w:bottom w:val="single" w:sz="4" w:space="0" w:color="auto"/>
              <w:right w:val="nil"/>
            </w:tcBorders>
          </w:tcPr>
          <w:p w14:paraId="3F49F4EF" w14:textId="12C84DF3" w:rsidR="002554A5" w:rsidRDefault="002554A5" w:rsidP="002554A5">
            <w:pPr>
              <w:spacing w:line="480" w:lineRule="auto"/>
              <w:rPr>
                <w:b/>
              </w:rPr>
            </w:pPr>
            <w:r>
              <w:rPr>
                <w:b/>
              </w:rPr>
              <w:t>Appeal</w:t>
            </w:r>
          </w:p>
        </w:tc>
        <w:tc>
          <w:tcPr>
            <w:tcW w:w="1348" w:type="dxa"/>
            <w:tcBorders>
              <w:left w:val="nil"/>
              <w:bottom w:val="single" w:sz="4" w:space="0" w:color="auto"/>
              <w:right w:val="nil"/>
            </w:tcBorders>
          </w:tcPr>
          <w:p w14:paraId="1346581B" w14:textId="2963310E" w:rsidR="002554A5" w:rsidRDefault="002554A5" w:rsidP="002554A5">
            <w:pPr>
              <w:spacing w:line="480" w:lineRule="auto"/>
              <w:rPr>
                <w:b/>
              </w:rPr>
            </w:pPr>
            <w:r>
              <w:rPr>
                <w:b/>
              </w:rPr>
              <w:t>Account</w:t>
            </w:r>
          </w:p>
        </w:tc>
        <w:tc>
          <w:tcPr>
            <w:tcW w:w="1440" w:type="dxa"/>
            <w:tcBorders>
              <w:left w:val="nil"/>
              <w:bottom w:val="single" w:sz="4" w:space="0" w:color="auto"/>
              <w:right w:val="nil"/>
            </w:tcBorders>
          </w:tcPr>
          <w:p w14:paraId="0CAED123" w14:textId="5D5DAE64" w:rsidR="002554A5" w:rsidRDefault="002554A5" w:rsidP="002554A5">
            <w:pPr>
              <w:spacing w:line="480" w:lineRule="auto"/>
              <w:rPr>
                <w:b/>
              </w:rPr>
            </w:pPr>
            <w:r>
              <w:rPr>
                <w:b/>
              </w:rPr>
              <w:t>Date</w:t>
            </w:r>
          </w:p>
        </w:tc>
        <w:tc>
          <w:tcPr>
            <w:tcW w:w="4225" w:type="dxa"/>
            <w:tcBorders>
              <w:left w:val="nil"/>
              <w:bottom w:val="single" w:sz="4" w:space="0" w:color="auto"/>
            </w:tcBorders>
          </w:tcPr>
          <w:p w14:paraId="2999F093" w14:textId="6DF81707" w:rsidR="002554A5" w:rsidRDefault="002554A5" w:rsidP="002554A5">
            <w:pPr>
              <w:spacing w:line="480" w:lineRule="auto"/>
              <w:rPr>
                <w:b/>
              </w:rPr>
            </w:pPr>
            <w:r>
              <w:rPr>
                <w:b/>
              </w:rPr>
              <w:t>Tweet</w:t>
            </w:r>
          </w:p>
        </w:tc>
      </w:tr>
      <w:tr w:rsidR="002554A5" w14:paraId="7249B8CF" w14:textId="77777777" w:rsidTr="002554A5">
        <w:tc>
          <w:tcPr>
            <w:tcW w:w="2337" w:type="dxa"/>
            <w:tcBorders>
              <w:bottom w:val="nil"/>
              <w:right w:val="nil"/>
            </w:tcBorders>
          </w:tcPr>
          <w:p w14:paraId="2E26103E" w14:textId="77777777" w:rsidR="002554A5" w:rsidRDefault="002554A5" w:rsidP="002554A5">
            <w:pPr>
              <w:spacing w:line="480" w:lineRule="auto"/>
            </w:pPr>
            <w:r>
              <w:t>Empathy (n=23)</w:t>
            </w:r>
          </w:p>
        </w:tc>
        <w:tc>
          <w:tcPr>
            <w:tcW w:w="1348" w:type="dxa"/>
            <w:tcBorders>
              <w:left w:val="nil"/>
              <w:bottom w:val="nil"/>
              <w:right w:val="nil"/>
            </w:tcBorders>
          </w:tcPr>
          <w:p w14:paraId="0549F424" w14:textId="77777777" w:rsidR="002554A5" w:rsidRDefault="002554A5" w:rsidP="002554A5">
            <w:pPr>
              <w:spacing w:line="480" w:lineRule="auto"/>
            </w:pPr>
            <w:r>
              <w:t>CDC</w:t>
            </w:r>
          </w:p>
        </w:tc>
        <w:tc>
          <w:tcPr>
            <w:tcW w:w="1440" w:type="dxa"/>
            <w:tcBorders>
              <w:left w:val="nil"/>
              <w:bottom w:val="nil"/>
              <w:right w:val="nil"/>
            </w:tcBorders>
          </w:tcPr>
          <w:p w14:paraId="0127C5D9" w14:textId="77777777" w:rsidR="002554A5" w:rsidRDefault="002554A5" w:rsidP="002554A5">
            <w:pPr>
              <w:spacing w:line="480" w:lineRule="auto"/>
            </w:pPr>
            <w:r>
              <w:t>3/29/20</w:t>
            </w:r>
          </w:p>
        </w:tc>
        <w:tc>
          <w:tcPr>
            <w:tcW w:w="4225" w:type="dxa"/>
            <w:tcBorders>
              <w:left w:val="nil"/>
              <w:bottom w:val="nil"/>
            </w:tcBorders>
          </w:tcPr>
          <w:p w14:paraId="7A4AC77F" w14:textId="77777777" w:rsidR="002554A5" w:rsidRDefault="002554A5" w:rsidP="002554A5">
            <w:r>
              <w:t xml:space="preserve"> “</w:t>
            </w:r>
            <w:r w:rsidRPr="00F17A91">
              <w:t>While #socialdistancing for #COVID19, take the time to check in on your friends and family to see how they are doing. Set up a daily phone or video call to touch base and share the best and most challenging parts of the day. #togetherapart bit.ly2Qj4ing</w:t>
            </w:r>
          </w:p>
          <w:p w14:paraId="6DDDD538" w14:textId="52EA1C41" w:rsidR="002554A5" w:rsidRDefault="002554A5" w:rsidP="002554A5"/>
        </w:tc>
      </w:tr>
      <w:tr w:rsidR="002554A5" w14:paraId="1CAEAFA9" w14:textId="77777777" w:rsidTr="002554A5">
        <w:tc>
          <w:tcPr>
            <w:tcW w:w="2337" w:type="dxa"/>
            <w:tcBorders>
              <w:top w:val="nil"/>
              <w:bottom w:val="nil"/>
              <w:right w:val="nil"/>
            </w:tcBorders>
          </w:tcPr>
          <w:p w14:paraId="1143BF22" w14:textId="77777777" w:rsidR="002554A5" w:rsidRDefault="002554A5" w:rsidP="002554A5">
            <w:pPr>
              <w:spacing w:line="480" w:lineRule="auto"/>
            </w:pPr>
            <w:r>
              <w:t>Hope (n=19)</w:t>
            </w:r>
          </w:p>
        </w:tc>
        <w:tc>
          <w:tcPr>
            <w:tcW w:w="1348" w:type="dxa"/>
            <w:tcBorders>
              <w:top w:val="nil"/>
              <w:left w:val="nil"/>
              <w:bottom w:val="nil"/>
              <w:right w:val="nil"/>
            </w:tcBorders>
          </w:tcPr>
          <w:p w14:paraId="6F083E69" w14:textId="77777777" w:rsidR="002554A5" w:rsidRDefault="002554A5" w:rsidP="002554A5">
            <w:pPr>
              <w:spacing w:line="480" w:lineRule="auto"/>
            </w:pPr>
            <w:r>
              <w:t>HHS</w:t>
            </w:r>
          </w:p>
        </w:tc>
        <w:tc>
          <w:tcPr>
            <w:tcW w:w="1440" w:type="dxa"/>
            <w:tcBorders>
              <w:top w:val="nil"/>
              <w:left w:val="nil"/>
              <w:bottom w:val="nil"/>
              <w:right w:val="nil"/>
            </w:tcBorders>
          </w:tcPr>
          <w:p w14:paraId="2A4F31CA" w14:textId="77777777" w:rsidR="002554A5" w:rsidRDefault="002554A5" w:rsidP="002554A5">
            <w:r>
              <w:t>3/18/20, 3/19/20, 3/23/20, 3/27/20, 4/1/20</w:t>
            </w:r>
          </w:p>
        </w:tc>
        <w:tc>
          <w:tcPr>
            <w:tcW w:w="4225" w:type="dxa"/>
            <w:tcBorders>
              <w:top w:val="nil"/>
              <w:left w:val="nil"/>
              <w:bottom w:val="nil"/>
            </w:tcBorders>
          </w:tcPr>
          <w:p w14:paraId="5D0A97D0" w14:textId="77777777" w:rsidR="002554A5" w:rsidRDefault="002554A5" w:rsidP="002554A5">
            <w:r>
              <w:t>“</w:t>
            </w:r>
            <w:r w:rsidRPr="00F17A91">
              <w:t>Together, we can stop the spread of #COVID19. Here are the most recent guidelines for American</w:t>
            </w:r>
            <w:r>
              <w:t>s</w:t>
            </w:r>
            <w:r w:rsidRPr="00F17A91">
              <w:t xml:space="preserve"> from the @whitehouse and @cdcgov. #coronavirus</w:t>
            </w:r>
            <w:r>
              <w:t>”</w:t>
            </w:r>
          </w:p>
          <w:p w14:paraId="3B35DEBC" w14:textId="673AFD0C" w:rsidR="002554A5" w:rsidRDefault="002554A5" w:rsidP="002554A5"/>
        </w:tc>
      </w:tr>
      <w:tr w:rsidR="002554A5" w14:paraId="5F0B4E28" w14:textId="77777777" w:rsidTr="002554A5">
        <w:tc>
          <w:tcPr>
            <w:tcW w:w="2337" w:type="dxa"/>
            <w:tcBorders>
              <w:top w:val="nil"/>
              <w:bottom w:val="nil"/>
              <w:right w:val="nil"/>
            </w:tcBorders>
          </w:tcPr>
          <w:p w14:paraId="7495A64E" w14:textId="77777777" w:rsidR="002554A5" w:rsidRDefault="002554A5" w:rsidP="002554A5">
            <w:pPr>
              <w:spacing w:line="480" w:lineRule="auto"/>
            </w:pPr>
            <w:r>
              <w:t>Guilt (n=15)</w:t>
            </w:r>
          </w:p>
        </w:tc>
        <w:tc>
          <w:tcPr>
            <w:tcW w:w="1348" w:type="dxa"/>
            <w:tcBorders>
              <w:top w:val="nil"/>
              <w:left w:val="nil"/>
              <w:bottom w:val="nil"/>
              <w:right w:val="nil"/>
            </w:tcBorders>
          </w:tcPr>
          <w:p w14:paraId="2C19FC38" w14:textId="77777777" w:rsidR="002554A5" w:rsidRDefault="002554A5" w:rsidP="002554A5">
            <w:r>
              <w:t>Surgeon General</w:t>
            </w:r>
          </w:p>
        </w:tc>
        <w:tc>
          <w:tcPr>
            <w:tcW w:w="1440" w:type="dxa"/>
            <w:tcBorders>
              <w:top w:val="nil"/>
              <w:left w:val="nil"/>
              <w:bottom w:val="nil"/>
              <w:right w:val="nil"/>
            </w:tcBorders>
          </w:tcPr>
          <w:p w14:paraId="7BEDA9CF" w14:textId="77777777" w:rsidR="002554A5" w:rsidRDefault="002554A5" w:rsidP="002554A5">
            <w:pPr>
              <w:spacing w:line="480" w:lineRule="auto"/>
            </w:pPr>
            <w:r>
              <w:t>4/2/20</w:t>
            </w:r>
          </w:p>
        </w:tc>
        <w:tc>
          <w:tcPr>
            <w:tcW w:w="4225" w:type="dxa"/>
            <w:tcBorders>
              <w:top w:val="nil"/>
              <w:left w:val="nil"/>
              <w:bottom w:val="nil"/>
            </w:tcBorders>
          </w:tcPr>
          <w:p w14:paraId="4D92E6EA" w14:textId="77777777" w:rsidR="002554A5" w:rsidRDefault="002554A5" w:rsidP="002554A5">
            <w:r>
              <w:t>“</w:t>
            </w:r>
            <w:r w:rsidRPr="00DE277A">
              <w:t>Even if you are young, or otherwise healthy, you are at risk and your activities can increase the risk of others. It is critical that you do your part to slow the spread of CO</w:t>
            </w:r>
            <w:r>
              <w:t>V</w:t>
            </w:r>
            <w:r w:rsidRPr="00DE277A">
              <w:t>ID19</w:t>
            </w:r>
            <w:r>
              <w:t>.”</w:t>
            </w:r>
          </w:p>
          <w:p w14:paraId="6798769D" w14:textId="0E863459" w:rsidR="002554A5" w:rsidRDefault="002554A5" w:rsidP="002554A5"/>
        </w:tc>
      </w:tr>
      <w:tr w:rsidR="002554A5" w14:paraId="6AAEFB5E" w14:textId="77777777" w:rsidTr="002554A5">
        <w:tc>
          <w:tcPr>
            <w:tcW w:w="2337" w:type="dxa"/>
            <w:tcBorders>
              <w:top w:val="nil"/>
              <w:bottom w:val="nil"/>
              <w:right w:val="nil"/>
            </w:tcBorders>
          </w:tcPr>
          <w:p w14:paraId="4FC24EAA" w14:textId="77777777" w:rsidR="002554A5" w:rsidRDefault="002554A5" w:rsidP="002554A5">
            <w:pPr>
              <w:spacing w:line="480" w:lineRule="auto"/>
            </w:pPr>
            <w:r>
              <w:t>Gratitude (n=10)</w:t>
            </w:r>
          </w:p>
        </w:tc>
        <w:tc>
          <w:tcPr>
            <w:tcW w:w="1348" w:type="dxa"/>
            <w:tcBorders>
              <w:top w:val="nil"/>
              <w:left w:val="nil"/>
              <w:bottom w:val="nil"/>
              <w:right w:val="nil"/>
            </w:tcBorders>
          </w:tcPr>
          <w:p w14:paraId="6C50AC71" w14:textId="77777777" w:rsidR="002554A5" w:rsidRDefault="002554A5" w:rsidP="002554A5">
            <w:r>
              <w:t>CDC</w:t>
            </w:r>
          </w:p>
        </w:tc>
        <w:tc>
          <w:tcPr>
            <w:tcW w:w="1440" w:type="dxa"/>
            <w:tcBorders>
              <w:top w:val="nil"/>
              <w:left w:val="nil"/>
              <w:bottom w:val="nil"/>
              <w:right w:val="nil"/>
            </w:tcBorders>
          </w:tcPr>
          <w:p w14:paraId="6DF45F56" w14:textId="77777777" w:rsidR="002554A5" w:rsidRDefault="002554A5" w:rsidP="002554A5">
            <w:r>
              <w:t>3/19/20</w:t>
            </w:r>
          </w:p>
        </w:tc>
        <w:tc>
          <w:tcPr>
            <w:tcW w:w="4225" w:type="dxa"/>
            <w:tcBorders>
              <w:top w:val="nil"/>
              <w:left w:val="nil"/>
              <w:bottom w:val="nil"/>
            </w:tcBorders>
          </w:tcPr>
          <w:p w14:paraId="2A05C5FE" w14:textId="77777777" w:rsidR="002554A5" w:rsidRDefault="002554A5" w:rsidP="002554A5">
            <w:r>
              <w:t>“</w:t>
            </w:r>
            <w:r w:rsidRPr="00DE277A">
              <w:t>Are you isolating at home because you have #covid19? Thank you for helping to stop the spread of the virus and protect others! See when you can stop home isolation: bit.ly/2wf7sS7</w:t>
            </w:r>
            <w:r>
              <w:t>”</w:t>
            </w:r>
          </w:p>
          <w:p w14:paraId="52FA62D9" w14:textId="0EE60977" w:rsidR="002554A5" w:rsidRDefault="002554A5" w:rsidP="002554A5"/>
        </w:tc>
      </w:tr>
      <w:tr w:rsidR="002554A5" w14:paraId="7F3FE4DE" w14:textId="77777777" w:rsidTr="002554A5">
        <w:tc>
          <w:tcPr>
            <w:tcW w:w="2337" w:type="dxa"/>
            <w:tcBorders>
              <w:top w:val="nil"/>
              <w:bottom w:val="nil"/>
              <w:right w:val="nil"/>
            </w:tcBorders>
          </w:tcPr>
          <w:p w14:paraId="55EE2B80" w14:textId="77777777" w:rsidR="002554A5" w:rsidRDefault="002554A5" w:rsidP="002554A5">
            <w:pPr>
              <w:spacing w:line="480" w:lineRule="auto"/>
            </w:pPr>
            <w:r>
              <w:t>Fear (n=6)</w:t>
            </w:r>
          </w:p>
        </w:tc>
        <w:tc>
          <w:tcPr>
            <w:tcW w:w="1348" w:type="dxa"/>
            <w:tcBorders>
              <w:top w:val="nil"/>
              <w:left w:val="nil"/>
              <w:bottom w:val="nil"/>
              <w:right w:val="nil"/>
            </w:tcBorders>
          </w:tcPr>
          <w:p w14:paraId="2D07ABFC" w14:textId="77777777" w:rsidR="002554A5" w:rsidRDefault="002554A5" w:rsidP="002554A5">
            <w:r>
              <w:t>White House</w:t>
            </w:r>
          </w:p>
        </w:tc>
        <w:tc>
          <w:tcPr>
            <w:tcW w:w="1440" w:type="dxa"/>
            <w:tcBorders>
              <w:top w:val="nil"/>
              <w:left w:val="nil"/>
              <w:bottom w:val="nil"/>
              <w:right w:val="nil"/>
            </w:tcBorders>
          </w:tcPr>
          <w:p w14:paraId="1A5DBE43" w14:textId="77777777" w:rsidR="002554A5" w:rsidRDefault="002554A5" w:rsidP="002554A5">
            <w:r>
              <w:t>3/29/20</w:t>
            </w:r>
          </w:p>
        </w:tc>
        <w:tc>
          <w:tcPr>
            <w:tcW w:w="4225" w:type="dxa"/>
            <w:tcBorders>
              <w:top w:val="nil"/>
              <w:left w:val="nil"/>
              <w:bottom w:val="nil"/>
            </w:tcBorders>
          </w:tcPr>
          <w:p w14:paraId="657A6340" w14:textId="77777777" w:rsidR="002554A5" w:rsidRDefault="002554A5" w:rsidP="002554A5">
            <w:r>
              <w:t>“</w:t>
            </w:r>
            <w:r w:rsidRPr="00DE277A">
              <w:t>The peak of this virus' death rate is likely to hit in two weeks. We MUST stay the course and keep following the guidelines.  Nothing would be worse than declaring victory before the victory is won.</w:t>
            </w:r>
            <w:r>
              <w:t>”</w:t>
            </w:r>
          </w:p>
          <w:p w14:paraId="1958D068" w14:textId="41F81640" w:rsidR="002554A5" w:rsidRDefault="002554A5" w:rsidP="002554A5"/>
        </w:tc>
      </w:tr>
      <w:tr w:rsidR="002554A5" w14:paraId="551761CE" w14:textId="77777777" w:rsidTr="002554A5">
        <w:tc>
          <w:tcPr>
            <w:tcW w:w="2337" w:type="dxa"/>
            <w:tcBorders>
              <w:top w:val="nil"/>
              <w:right w:val="nil"/>
            </w:tcBorders>
          </w:tcPr>
          <w:p w14:paraId="513C169A" w14:textId="77777777" w:rsidR="002554A5" w:rsidRDefault="002554A5" w:rsidP="002554A5">
            <w:r>
              <w:t>Pride (n=4)</w:t>
            </w:r>
          </w:p>
        </w:tc>
        <w:tc>
          <w:tcPr>
            <w:tcW w:w="1348" w:type="dxa"/>
            <w:tcBorders>
              <w:top w:val="nil"/>
              <w:left w:val="nil"/>
              <w:right w:val="nil"/>
            </w:tcBorders>
          </w:tcPr>
          <w:p w14:paraId="093BF8D3" w14:textId="77777777" w:rsidR="002554A5" w:rsidRDefault="002554A5" w:rsidP="002554A5">
            <w:r>
              <w:t>White House</w:t>
            </w:r>
          </w:p>
        </w:tc>
        <w:tc>
          <w:tcPr>
            <w:tcW w:w="1440" w:type="dxa"/>
            <w:tcBorders>
              <w:top w:val="nil"/>
              <w:left w:val="nil"/>
              <w:right w:val="nil"/>
            </w:tcBorders>
          </w:tcPr>
          <w:p w14:paraId="5CC57930" w14:textId="77777777" w:rsidR="002554A5" w:rsidRDefault="002554A5" w:rsidP="002554A5">
            <w:r>
              <w:t>4/3/20</w:t>
            </w:r>
          </w:p>
        </w:tc>
        <w:tc>
          <w:tcPr>
            <w:tcW w:w="4225" w:type="dxa"/>
            <w:tcBorders>
              <w:top w:val="nil"/>
              <w:left w:val="nil"/>
            </w:tcBorders>
          </w:tcPr>
          <w:p w14:paraId="1EC70BAB" w14:textId="77777777" w:rsidR="002554A5" w:rsidRDefault="002554A5" w:rsidP="002554A5">
            <w:r>
              <w:t>“</w:t>
            </w:r>
            <w:r w:rsidRPr="00DE277A">
              <w:t>In this time of need, I know that every American will do their patriotic duty and help us to achieve a total victory, President Trump says.</w:t>
            </w:r>
            <w:r>
              <w:t>”</w:t>
            </w:r>
          </w:p>
        </w:tc>
      </w:tr>
    </w:tbl>
    <w:p w14:paraId="5E1C4F74" w14:textId="0E940B28" w:rsidR="00E40D32" w:rsidRDefault="00E40D32" w:rsidP="0006659E">
      <w:pPr>
        <w:spacing w:line="480" w:lineRule="auto"/>
      </w:pPr>
    </w:p>
    <w:p w14:paraId="607CB906" w14:textId="2BD2FD90" w:rsidR="00EF0DC4" w:rsidRDefault="00EF0DC4" w:rsidP="0006659E">
      <w:pPr>
        <w:spacing w:line="480" w:lineRule="auto"/>
      </w:pPr>
    </w:p>
    <w:p w14:paraId="30A38594" w14:textId="186E4C15" w:rsidR="00A95E04" w:rsidRDefault="00A95E04" w:rsidP="0006659E">
      <w:pPr>
        <w:spacing w:line="480" w:lineRule="auto"/>
      </w:pPr>
    </w:p>
    <w:p w14:paraId="5A698510" w14:textId="1BB247C9" w:rsidR="00A95E04" w:rsidRDefault="00A95E04" w:rsidP="0006659E">
      <w:pPr>
        <w:spacing w:line="480" w:lineRule="auto"/>
      </w:pPr>
      <w:r>
        <w:rPr>
          <w:noProof/>
        </w:rPr>
        <mc:AlternateContent>
          <mc:Choice Requires="wps">
            <w:drawing>
              <wp:anchor distT="0" distB="0" distL="114300" distR="114300" simplePos="0" relativeHeight="251659264" behindDoc="0" locked="0" layoutInCell="1" allowOverlap="1" wp14:anchorId="21789C99" wp14:editId="2B1C645D">
                <wp:simplePos x="0" y="0"/>
                <wp:positionH relativeFrom="column">
                  <wp:posOffset>0</wp:posOffset>
                </wp:positionH>
                <wp:positionV relativeFrom="paragraph">
                  <wp:posOffset>-635</wp:posOffset>
                </wp:positionV>
                <wp:extent cx="5724144" cy="3355848"/>
                <wp:effectExtent l="0" t="0" r="16510" b="10160"/>
                <wp:wrapNone/>
                <wp:docPr id="2" name="Text Box 2"/>
                <wp:cNvGraphicFramePr/>
                <a:graphic xmlns:a="http://schemas.openxmlformats.org/drawingml/2006/main">
                  <a:graphicData uri="http://schemas.microsoft.com/office/word/2010/wordprocessingShape">
                    <wps:wsp>
                      <wps:cNvSpPr txBox="1"/>
                      <wps:spPr>
                        <a:xfrm>
                          <a:off x="0" y="0"/>
                          <a:ext cx="5724144" cy="3355848"/>
                        </a:xfrm>
                        <a:prstGeom prst="rect">
                          <a:avLst/>
                        </a:prstGeom>
                        <a:solidFill>
                          <a:schemeClr val="lt1"/>
                        </a:solidFill>
                        <a:ln w="6350">
                          <a:solidFill>
                            <a:prstClr val="black"/>
                          </a:solidFill>
                        </a:ln>
                      </wps:spPr>
                      <wps:txbx>
                        <w:txbxContent>
                          <w:p w14:paraId="2BE2F0F4" w14:textId="77777777" w:rsidR="00A95E04" w:rsidRDefault="00A95E04" w:rsidP="00A95E04"/>
                          <w:p w14:paraId="3C42947C" w14:textId="77777777" w:rsidR="00A95E04" w:rsidRDefault="00A95E04" w:rsidP="00A95E04">
                            <w:r>
                              <w:rPr>
                                <w:noProof/>
                              </w:rPr>
                              <w:drawing>
                                <wp:inline distT="0" distB="0" distL="0" distR="0" wp14:anchorId="61473CB3" wp14:editId="04F08F33">
                                  <wp:extent cx="5376672" cy="28503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6-03 at 8.40.05 PM.png"/>
                                          <pic:cNvPicPr/>
                                        </pic:nvPicPr>
                                        <pic:blipFill>
                                          <a:blip r:embed="rId21">
                                            <a:extLst>
                                              <a:ext uri="{28A0092B-C50C-407E-A947-70E740481C1C}">
                                                <a14:useLocalDpi xmlns:a14="http://schemas.microsoft.com/office/drawing/2010/main" val="0"/>
                                              </a:ext>
                                            </a:extLst>
                                          </a:blip>
                                          <a:stretch>
                                            <a:fillRect/>
                                          </a:stretch>
                                        </pic:blipFill>
                                        <pic:spPr>
                                          <a:xfrm>
                                            <a:off x="0" y="0"/>
                                            <a:ext cx="5400010" cy="2862697"/>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1789C99" id="_x0000_t202" coordsize="21600,21600" o:spt="202" path="m,l,21600r21600,l21600,xe">
                <v:stroke joinstyle="miter"/>
                <v:path gradientshapeok="t" o:connecttype="rect"/>
              </v:shapetype>
              <v:shape id="Text Box 2" o:spid="_x0000_s1026" type="#_x0000_t202" style="position:absolute;margin-left:0;margin-top:-.05pt;width:450.7pt;height:264.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" fillcolor="white [3201]" strokeweight=".5pt">
                <v:textbox>
                  <w:txbxContent>
                    <w:p w14:paraId="2BE2F0F4" w14:textId="77777777" w:rsidR="00A95E04" w:rsidRDefault="00A95E04" w:rsidP="00A95E04"/>
                    <w:p w14:paraId="3C42947C" w14:textId="77777777" w:rsidR="00A95E04" w:rsidRDefault="00A95E04" w:rsidP="00A95E04">
                      <w:r>
                        <w:rPr>
                          <w:noProof/>
                        </w:rPr>
                        <w:drawing>
                          <wp:inline distT="0" distB="0" distL="0" distR="0" wp14:anchorId="61473CB3" wp14:editId="04F08F33">
                            <wp:extent cx="5376672" cy="28503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6-03 at 8.40.05 PM.png"/>
                                    <pic:cNvPicPr/>
                                  </pic:nvPicPr>
                                  <pic:blipFill>
                                    <a:blip r:embed="rId22">
                                      <a:extLst>
                                        <a:ext uri="{28A0092B-C50C-407E-A947-70E740481C1C}">
                                          <a14:useLocalDpi xmlns:a14="http://schemas.microsoft.com/office/drawing/2010/main" val="0"/>
                                        </a:ext>
                                      </a:extLst>
                                    </a:blip>
                                    <a:stretch>
                                      <a:fillRect/>
                                    </a:stretch>
                                  </pic:blipFill>
                                  <pic:spPr>
                                    <a:xfrm>
                                      <a:off x="0" y="0"/>
                                      <a:ext cx="5400010" cy="2862697"/>
                                    </a:xfrm>
                                    <a:prstGeom prst="rect">
                                      <a:avLst/>
                                    </a:prstGeom>
                                  </pic:spPr>
                                </pic:pic>
                              </a:graphicData>
                            </a:graphic>
                          </wp:inline>
                        </w:drawing>
                      </w:r>
                    </w:p>
                  </w:txbxContent>
                </v:textbox>
              </v:shape>
            </w:pict>
          </mc:Fallback>
        </mc:AlternateContent>
      </w:r>
    </w:p>
    <w:p w14:paraId="3726E57B" w14:textId="6A3E6956" w:rsidR="00A95E04" w:rsidRDefault="00A95E04" w:rsidP="0006659E">
      <w:pPr>
        <w:spacing w:line="480" w:lineRule="auto"/>
      </w:pPr>
    </w:p>
    <w:p w14:paraId="775BF748" w14:textId="1E2A8CB4" w:rsidR="00A95E04" w:rsidRDefault="00A95E04" w:rsidP="0006659E">
      <w:pPr>
        <w:spacing w:line="480" w:lineRule="auto"/>
      </w:pPr>
    </w:p>
    <w:p w14:paraId="61649F7E" w14:textId="6C479743" w:rsidR="00A95E04" w:rsidRDefault="00A95E04" w:rsidP="0006659E">
      <w:pPr>
        <w:spacing w:line="480" w:lineRule="auto"/>
      </w:pPr>
    </w:p>
    <w:p w14:paraId="1182D429" w14:textId="6311F53F" w:rsidR="00A95E04" w:rsidRDefault="00A95E04" w:rsidP="0006659E">
      <w:pPr>
        <w:spacing w:line="480" w:lineRule="auto"/>
      </w:pPr>
    </w:p>
    <w:p w14:paraId="42FA4F3F" w14:textId="17BF0A2B" w:rsidR="00A95E04" w:rsidRDefault="00A95E04" w:rsidP="0006659E">
      <w:pPr>
        <w:spacing w:line="480" w:lineRule="auto"/>
      </w:pPr>
    </w:p>
    <w:p w14:paraId="16F5C4C7" w14:textId="6D8ABFC3" w:rsidR="00A95E04" w:rsidRDefault="00A95E04" w:rsidP="0006659E">
      <w:pPr>
        <w:spacing w:line="480" w:lineRule="auto"/>
      </w:pPr>
    </w:p>
    <w:p w14:paraId="7EEB81E4" w14:textId="77777777" w:rsidR="00A95E04" w:rsidRDefault="00A95E04" w:rsidP="0006659E">
      <w:pPr>
        <w:spacing w:line="480" w:lineRule="auto"/>
      </w:pPr>
    </w:p>
    <w:p w14:paraId="1B3DF857" w14:textId="336CDE13" w:rsidR="00A95E04" w:rsidRDefault="00A95E04" w:rsidP="0006659E">
      <w:pPr>
        <w:spacing w:line="480" w:lineRule="auto"/>
      </w:pPr>
    </w:p>
    <w:p w14:paraId="729048C7" w14:textId="77777777" w:rsidR="00A95E04" w:rsidRDefault="00A95E04" w:rsidP="0006659E">
      <w:pPr>
        <w:spacing w:line="480" w:lineRule="auto"/>
      </w:pPr>
    </w:p>
    <w:p w14:paraId="47C07619" w14:textId="77777777" w:rsidR="00A95E04" w:rsidRDefault="00A95E04" w:rsidP="00A95E04">
      <w:r w:rsidRPr="00574CE1">
        <w:rPr>
          <w:b/>
        </w:rPr>
        <w:t>Figure 1</w:t>
      </w:r>
      <w:r>
        <w:rPr>
          <w:b/>
        </w:rPr>
        <w:t>.</w:t>
      </w:r>
      <w:r>
        <w:rPr>
          <w:i/>
        </w:rPr>
        <w:t xml:space="preserve"> </w:t>
      </w:r>
      <w:r w:rsidRPr="004246CA">
        <w:t xml:space="preserve">Inclusion Criteria for Included Tweets by </w:t>
      </w:r>
      <w:r>
        <w:t xml:space="preserve">Account and </w:t>
      </w:r>
      <w:r w:rsidRPr="004246CA">
        <w:t>Theme</w:t>
      </w:r>
    </w:p>
    <w:p w14:paraId="27D2A3D1" w14:textId="5A4388F8" w:rsidR="00EF0DC4" w:rsidRPr="0006659E" w:rsidRDefault="00EF0DC4" w:rsidP="0006659E">
      <w:pPr>
        <w:spacing w:line="480" w:lineRule="auto"/>
      </w:pPr>
    </w:p>
    <w:sectPr w:rsidR="00EF0DC4" w:rsidRPr="0006659E" w:rsidSect="00D15D8A">
      <w:footerReference w:type="even" r:id="rId23"/>
      <w:foot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BA456A" w14:textId="77777777" w:rsidR="0093567A" w:rsidRDefault="0093567A" w:rsidP="00CC1F98">
      <w:r>
        <w:separator/>
      </w:r>
    </w:p>
  </w:endnote>
  <w:endnote w:type="continuationSeparator" w:id="0">
    <w:p w14:paraId="1F335A8A" w14:textId="77777777" w:rsidR="0093567A" w:rsidRDefault="0093567A" w:rsidP="00CC1F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491530859"/>
      <w:docPartObj>
        <w:docPartGallery w:val="Page Numbers (Bottom of Page)"/>
        <w:docPartUnique/>
      </w:docPartObj>
    </w:sdtPr>
    <w:sdtEndPr>
      <w:rPr>
        <w:rStyle w:val="PageNumber"/>
      </w:rPr>
    </w:sdtEndPr>
    <w:sdtContent>
      <w:p w14:paraId="7F7405AF" w14:textId="40361FA1" w:rsidR="00287DA6" w:rsidRDefault="00287DA6" w:rsidP="00287DA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C220058" w14:textId="77777777" w:rsidR="00287DA6" w:rsidRDefault="00287DA6" w:rsidP="00CC1F9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82657898"/>
      <w:docPartObj>
        <w:docPartGallery w:val="Page Numbers (Bottom of Page)"/>
        <w:docPartUnique/>
      </w:docPartObj>
    </w:sdtPr>
    <w:sdtEndPr>
      <w:rPr>
        <w:rStyle w:val="PageNumber"/>
      </w:rPr>
    </w:sdtEndPr>
    <w:sdtContent>
      <w:p w14:paraId="480A9A45" w14:textId="30DDF1AE" w:rsidR="00287DA6" w:rsidRDefault="00287DA6" w:rsidP="00287DA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F5697CE" w14:textId="77777777" w:rsidR="00287DA6" w:rsidRDefault="00287DA6" w:rsidP="00CC1F9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B025CA" w14:textId="77777777" w:rsidR="0093567A" w:rsidRDefault="0093567A" w:rsidP="00CC1F98">
      <w:r>
        <w:separator/>
      </w:r>
    </w:p>
  </w:footnote>
  <w:footnote w:type="continuationSeparator" w:id="0">
    <w:p w14:paraId="2C6FB8E9" w14:textId="77777777" w:rsidR="0093567A" w:rsidRDefault="0093567A" w:rsidP="00CC1F9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EC4EEF"/>
    <w:multiLevelType w:val="hybridMultilevel"/>
    <w:tmpl w:val="F6D4B9B8"/>
    <w:lvl w:ilvl="0" w:tplc="59EC1542">
      <w:start w:val="1"/>
      <w:numFmt w:val="decimal"/>
      <w:lvlText w:val="%1."/>
      <w:lvlJc w:val="left"/>
      <w:pPr>
        <w:ind w:left="720" w:hanging="360"/>
      </w:pPr>
      <w:rPr>
        <w:rFonts w:asciiTheme="minorHAnsi" w:hAnsiTheme="minorHAnsi"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B02254"/>
    <w:multiLevelType w:val="hybridMultilevel"/>
    <w:tmpl w:val="F6D4B9B8"/>
    <w:lvl w:ilvl="0" w:tplc="59EC1542">
      <w:start w:val="1"/>
      <w:numFmt w:val="decimal"/>
      <w:lvlText w:val="%1."/>
      <w:lvlJc w:val="left"/>
      <w:pPr>
        <w:ind w:left="720" w:hanging="360"/>
      </w:pPr>
      <w:rPr>
        <w:rFonts w:asciiTheme="minorHAnsi" w:hAnsiTheme="minorHAnsi"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D464C77"/>
    <w:multiLevelType w:val="multilevel"/>
    <w:tmpl w:val="610802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FD56ECC"/>
    <w:multiLevelType w:val="hybridMultilevel"/>
    <w:tmpl w:val="F6D4B9B8"/>
    <w:lvl w:ilvl="0" w:tplc="59EC1542">
      <w:start w:val="1"/>
      <w:numFmt w:val="decimal"/>
      <w:lvlText w:val="%1."/>
      <w:lvlJc w:val="left"/>
      <w:pPr>
        <w:ind w:left="720" w:hanging="360"/>
      </w:pPr>
      <w:rPr>
        <w:rFonts w:asciiTheme="minorHAnsi" w:hAnsiTheme="minorHAnsi"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659E"/>
    <w:rsid w:val="000078DA"/>
    <w:rsid w:val="0002023D"/>
    <w:rsid w:val="000646FC"/>
    <w:rsid w:val="0006659E"/>
    <w:rsid w:val="00071E09"/>
    <w:rsid w:val="000740DA"/>
    <w:rsid w:val="000C5709"/>
    <w:rsid w:val="000E4155"/>
    <w:rsid w:val="000E69A9"/>
    <w:rsid w:val="000F316A"/>
    <w:rsid w:val="000F3965"/>
    <w:rsid w:val="000F6F5B"/>
    <w:rsid w:val="00111C36"/>
    <w:rsid w:val="0013556A"/>
    <w:rsid w:val="0015439C"/>
    <w:rsid w:val="001A49F2"/>
    <w:rsid w:val="001B2A4B"/>
    <w:rsid w:val="001C6585"/>
    <w:rsid w:val="00207D88"/>
    <w:rsid w:val="00243369"/>
    <w:rsid w:val="002504B7"/>
    <w:rsid w:val="00252A17"/>
    <w:rsid w:val="002554A5"/>
    <w:rsid w:val="0027199F"/>
    <w:rsid w:val="00272670"/>
    <w:rsid w:val="002756C5"/>
    <w:rsid w:val="00281035"/>
    <w:rsid w:val="00287DA6"/>
    <w:rsid w:val="002C7A6D"/>
    <w:rsid w:val="002F167B"/>
    <w:rsid w:val="002F7E4F"/>
    <w:rsid w:val="00314DAE"/>
    <w:rsid w:val="00320703"/>
    <w:rsid w:val="003572A9"/>
    <w:rsid w:val="00363E2B"/>
    <w:rsid w:val="0038049A"/>
    <w:rsid w:val="00394F96"/>
    <w:rsid w:val="003C3384"/>
    <w:rsid w:val="003D0733"/>
    <w:rsid w:val="00405B2A"/>
    <w:rsid w:val="004246CA"/>
    <w:rsid w:val="00443EFA"/>
    <w:rsid w:val="004564EE"/>
    <w:rsid w:val="00464E89"/>
    <w:rsid w:val="004C3F83"/>
    <w:rsid w:val="004C4829"/>
    <w:rsid w:val="004D266E"/>
    <w:rsid w:val="004D505E"/>
    <w:rsid w:val="004D5315"/>
    <w:rsid w:val="004E1264"/>
    <w:rsid w:val="004E5860"/>
    <w:rsid w:val="004F4F7B"/>
    <w:rsid w:val="004F5785"/>
    <w:rsid w:val="0052155D"/>
    <w:rsid w:val="00541684"/>
    <w:rsid w:val="00560A13"/>
    <w:rsid w:val="00566C77"/>
    <w:rsid w:val="00574CE1"/>
    <w:rsid w:val="005B4DE8"/>
    <w:rsid w:val="005D4411"/>
    <w:rsid w:val="005F383C"/>
    <w:rsid w:val="005F6BEA"/>
    <w:rsid w:val="005F705F"/>
    <w:rsid w:val="00626BAD"/>
    <w:rsid w:val="006337BD"/>
    <w:rsid w:val="006623B8"/>
    <w:rsid w:val="006851AF"/>
    <w:rsid w:val="00693BCA"/>
    <w:rsid w:val="0069646B"/>
    <w:rsid w:val="006A6003"/>
    <w:rsid w:val="006A7B61"/>
    <w:rsid w:val="006B1053"/>
    <w:rsid w:val="006D6C1C"/>
    <w:rsid w:val="006D7A72"/>
    <w:rsid w:val="00774E41"/>
    <w:rsid w:val="007C2B63"/>
    <w:rsid w:val="007C78F1"/>
    <w:rsid w:val="00813FED"/>
    <w:rsid w:val="00817534"/>
    <w:rsid w:val="00857858"/>
    <w:rsid w:val="00880EDA"/>
    <w:rsid w:val="00887A27"/>
    <w:rsid w:val="008C4D32"/>
    <w:rsid w:val="008E1DA6"/>
    <w:rsid w:val="0090070C"/>
    <w:rsid w:val="00904BC9"/>
    <w:rsid w:val="0093567A"/>
    <w:rsid w:val="0095756B"/>
    <w:rsid w:val="009576B4"/>
    <w:rsid w:val="009854FD"/>
    <w:rsid w:val="00987BF4"/>
    <w:rsid w:val="009C45E1"/>
    <w:rsid w:val="009D035D"/>
    <w:rsid w:val="009F17FE"/>
    <w:rsid w:val="00A058FE"/>
    <w:rsid w:val="00A149E8"/>
    <w:rsid w:val="00A17101"/>
    <w:rsid w:val="00A33D68"/>
    <w:rsid w:val="00A33D75"/>
    <w:rsid w:val="00A41965"/>
    <w:rsid w:val="00A42B92"/>
    <w:rsid w:val="00A455E7"/>
    <w:rsid w:val="00A61BBC"/>
    <w:rsid w:val="00A626A2"/>
    <w:rsid w:val="00A63C18"/>
    <w:rsid w:val="00A727ED"/>
    <w:rsid w:val="00A95E04"/>
    <w:rsid w:val="00AA5F93"/>
    <w:rsid w:val="00AB779B"/>
    <w:rsid w:val="00AD2526"/>
    <w:rsid w:val="00AE65DF"/>
    <w:rsid w:val="00AE72F9"/>
    <w:rsid w:val="00AF3541"/>
    <w:rsid w:val="00B03A62"/>
    <w:rsid w:val="00B34542"/>
    <w:rsid w:val="00B35AC2"/>
    <w:rsid w:val="00B453E8"/>
    <w:rsid w:val="00B54156"/>
    <w:rsid w:val="00B645B4"/>
    <w:rsid w:val="00B73352"/>
    <w:rsid w:val="00B960B1"/>
    <w:rsid w:val="00B97127"/>
    <w:rsid w:val="00BC530B"/>
    <w:rsid w:val="00BE16AD"/>
    <w:rsid w:val="00BE6763"/>
    <w:rsid w:val="00BF71C4"/>
    <w:rsid w:val="00C040E6"/>
    <w:rsid w:val="00C203E5"/>
    <w:rsid w:val="00C256A7"/>
    <w:rsid w:val="00C26525"/>
    <w:rsid w:val="00C27105"/>
    <w:rsid w:val="00C30DB2"/>
    <w:rsid w:val="00C43DEC"/>
    <w:rsid w:val="00C5486F"/>
    <w:rsid w:val="00C56A5B"/>
    <w:rsid w:val="00C62999"/>
    <w:rsid w:val="00CC1F98"/>
    <w:rsid w:val="00CC33FE"/>
    <w:rsid w:val="00CE0389"/>
    <w:rsid w:val="00CE2C83"/>
    <w:rsid w:val="00CF2A64"/>
    <w:rsid w:val="00D0652C"/>
    <w:rsid w:val="00D15D8A"/>
    <w:rsid w:val="00D40F76"/>
    <w:rsid w:val="00D43124"/>
    <w:rsid w:val="00D61FB4"/>
    <w:rsid w:val="00D65643"/>
    <w:rsid w:val="00D811F9"/>
    <w:rsid w:val="00DA26C3"/>
    <w:rsid w:val="00DA37A3"/>
    <w:rsid w:val="00DE277A"/>
    <w:rsid w:val="00E40BAE"/>
    <w:rsid w:val="00E40D32"/>
    <w:rsid w:val="00E70159"/>
    <w:rsid w:val="00E72AEE"/>
    <w:rsid w:val="00E7466F"/>
    <w:rsid w:val="00E90FCB"/>
    <w:rsid w:val="00EB7289"/>
    <w:rsid w:val="00EC225A"/>
    <w:rsid w:val="00ED7820"/>
    <w:rsid w:val="00EF0DC4"/>
    <w:rsid w:val="00F0371F"/>
    <w:rsid w:val="00F12A33"/>
    <w:rsid w:val="00F17395"/>
    <w:rsid w:val="00F17A91"/>
    <w:rsid w:val="00F31460"/>
    <w:rsid w:val="00F32C50"/>
    <w:rsid w:val="00F33A67"/>
    <w:rsid w:val="00F42737"/>
    <w:rsid w:val="00F43079"/>
    <w:rsid w:val="00F46992"/>
    <w:rsid w:val="00F60DD3"/>
    <w:rsid w:val="00F80423"/>
    <w:rsid w:val="00F85E09"/>
    <w:rsid w:val="00FA4977"/>
    <w:rsid w:val="00FB1C94"/>
    <w:rsid w:val="00FC3D3B"/>
    <w:rsid w:val="00FD2214"/>
    <w:rsid w:val="00FD2C69"/>
    <w:rsid w:val="00FE0B05"/>
    <w:rsid w:val="00FE2E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1DE6F0"/>
  <w14:defaultImageDpi w14:val="32767"/>
  <w15:chartTrackingRefBased/>
  <w15:docId w15:val="{6D7B6987-0721-764F-96AF-F78C09AF47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F17395"/>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06659E"/>
  </w:style>
  <w:style w:type="character" w:styleId="Hyperlink">
    <w:name w:val="Hyperlink"/>
    <w:basedOn w:val="DefaultParagraphFont"/>
    <w:uiPriority w:val="99"/>
    <w:unhideWhenUsed/>
    <w:rsid w:val="00B73352"/>
    <w:rPr>
      <w:color w:val="0563C1" w:themeColor="hyperlink"/>
      <w:u w:val="single"/>
    </w:rPr>
  </w:style>
  <w:style w:type="character" w:styleId="UnresolvedMention">
    <w:name w:val="Unresolved Mention"/>
    <w:basedOn w:val="DefaultParagraphFont"/>
    <w:uiPriority w:val="99"/>
    <w:rsid w:val="00B73352"/>
    <w:rPr>
      <w:color w:val="605E5C"/>
      <w:shd w:val="clear" w:color="auto" w:fill="E1DFDD"/>
    </w:rPr>
  </w:style>
  <w:style w:type="table" w:styleId="TableGrid">
    <w:name w:val="Table Grid"/>
    <w:basedOn w:val="TableNormal"/>
    <w:uiPriority w:val="39"/>
    <w:rsid w:val="00C265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6A7B61"/>
    <w:pPr>
      <w:spacing w:before="100" w:beforeAutospacing="1" w:after="100" w:afterAutospacing="1"/>
    </w:pPr>
    <w:rPr>
      <w:rFonts w:eastAsiaTheme="minorEastAsia"/>
    </w:rPr>
  </w:style>
  <w:style w:type="character" w:styleId="FollowedHyperlink">
    <w:name w:val="FollowedHyperlink"/>
    <w:basedOn w:val="DefaultParagraphFont"/>
    <w:uiPriority w:val="99"/>
    <w:semiHidden/>
    <w:unhideWhenUsed/>
    <w:rsid w:val="009C45E1"/>
    <w:rPr>
      <w:color w:val="954F72" w:themeColor="followedHyperlink"/>
      <w:u w:val="single"/>
    </w:rPr>
  </w:style>
  <w:style w:type="paragraph" w:styleId="ListParagraph">
    <w:name w:val="List Paragraph"/>
    <w:basedOn w:val="Normal"/>
    <w:uiPriority w:val="34"/>
    <w:qFormat/>
    <w:rsid w:val="009C45E1"/>
    <w:pPr>
      <w:ind w:left="720"/>
      <w:contextualSpacing/>
    </w:pPr>
  </w:style>
  <w:style w:type="character" w:styleId="LineNumber">
    <w:name w:val="line number"/>
    <w:basedOn w:val="DefaultParagraphFont"/>
    <w:uiPriority w:val="99"/>
    <w:semiHidden/>
    <w:unhideWhenUsed/>
    <w:rsid w:val="00D811F9"/>
  </w:style>
  <w:style w:type="character" w:styleId="Emphasis">
    <w:name w:val="Emphasis"/>
    <w:basedOn w:val="DefaultParagraphFont"/>
    <w:uiPriority w:val="20"/>
    <w:qFormat/>
    <w:rsid w:val="00272670"/>
    <w:rPr>
      <w:i/>
      <w:iCs/>
    </w:rPr>
  </w:style>
  <w:style w:type="paragraph" w:styleId="BalloonText">
    <w:name w:val="Balloon Text"/>
    <w:basedOn w:val="Normal"/>
    <w:link w:val="BalloonTextChar"/>
    <w:uiPriority w:val="99"/>
    <w:semiHidden/>
    <w:unhideWhenUsed/>
    <w:rsid w:val="002F167B"/>
    <w:rPr>
      <w:sz w:val="18"/>
      <w:szCs w:val="18"/>
    </w:rPr>
  </w:style>
  <w:style w:type="character" w:customStyle="1" w:styleId="BalloonTextChar">
    <w:name w:val="Balloon Text Char"/>
    <w:basedOn w:val="DefaultParagraphFont"/>
    <w:link w:val="BalloonText"/>
    <w:uiPriority w:val="99"/>
    <w:semiHidden/>
    <w:rsid w:val="002F167B"/>
    <w:rPr>
      <w:rFonts w:ascii="Times New Roman" w:eastAsia="Times New Roman" w:hAnsi="Times New Roman" w:cs="Times New Roman"/>
      <w:sz w:val="18"/>
      <w:szCs w:val="18"/>
    </w:rPr>
  </w:style>
  <w:style w:type="character" w:styleId="CommentReference">
    <w:name w:val="annotation reference"/>
    <w:basedOn w:val="DefaultParagraphFont"/>
    <w:uiPriority w:val="99"/>
    <w:semiHidden/>
    <w:unhideWhenUsed/>
    <w:rsid w:val="006B1053"/>
    <w:rPr>
      <w:sz w:val="16"/>
      <w:szCs w:val="16"/>
    </w:rPr>
  </w:style>
  <w:style w:type="paragraph" w:styleId="CommentText">
    <w:name w:val="annotation text"/>
    <w:basedOn w:val="Normal"/>
    <w:link w:val="CommentTextChar"/>
    <w:uiPriority w:val="99"/>
    <w:semiHidden/>
    <w:unhideWhenUsed/>
    <w:rsid w:val="006B1053"/>
    <w:rPr>
      <w:sz w:val="20"/>
      <w:szCs w:val="20"/>
    </w:rPr>
  </w:style>
  <w:style w:type="character" w:customStyle="1" w:styleId="CommentTextChar">
    <w:name w:val="Comment Text Char"/>
    <w:basedOn w:val="DefaultParagraphFont"/>
    <w:link w:val="CommentText"/>
    <w:uiPriority w:val="99"/>
    <w:semiHidden/>
    <w:rsid w:val="006B1053"/>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6B1053"/>
    <w:rPr>
      <w:b/>
      <w:bCs/>
    </w:rPr>
  </w:style>
  <w:style w:type="character" w:customStyle="1" w:styleId="CommentSubjectChar">
    <w:name w:val="Comment Subject Char"/>
    <w:basedOn w:val="CommentTextChar"/>
    <w:link w:val="CommentSubject"/>
    <w:uiPriority w:val="99"/>
    <w:semiHidden/>
    <w:rsid w:val="006B1053"/>
    <w:rPr>
      <w:rFonts w:ascii="Times New Roman" w:eastAsia="Times New Roman" w:hAnsi="Times New Roman" w:cs="Times New Roman"/>
      <w:b/>
      <w:bCs/>
      <w:sz w:val="20"/>
      <w:szCs w:val="20"/>
    </w:rPr>
  </w:style>
  <w:style w:type="paragraph" w:styleId="Revision">
    <w:name w:val="Revision"/>
    <w:hidden/>
    <w:uiPriority w:val="99"/>
    <w:semiHidden/>
    <w:rsid w:val="00A455E7"/>
    <w:rPr>
      <w:rFonts w:ascii="Times New Roman" w:eastAsia="Times New Roman" w:hAnsi="Times New Roman" w:cs="Times New Roman"/>
    </w:rPr>
  </w:style>
  <w:style w:type="paragraph" w:styleId="Footer">
    <w:name w:val="footer"/>
    <w:basedOn w:val="Normal"/>
    <w:link w:val="FooterChar"/>
    <w:uiPriority w:val="99"/>
    <w:unhideWhenUsed/>
    <w:rsid w:val="00CC1F98"/>
    <w:pPr>
      <w:tabs>
        <w:tab w:val="center" w:pos="4680"/>
        <w:tab w:val="right" w:pos="9360"/>
      </w:tabs>
    </w:pPr>
  </w:style>
  <w:style w:type="character" w:customStyle="1" w:styleId="FooterChar">
    <w:name w:val="Footer Char"/>
    <w:basedOn w:val="DefaultParagraphFont"/>
    <w:link w:val="Footer"/>
    <w:uiPriority w:val="99"/>
    <w:rsid w:val="00CC1F98"/>
    <w:rPr>
      <w:rFonts w:ascii="Times New Roman" w:eastAsia="Times New Roman" w:hAnsi="Times New Roman" w:cs="Times New Roman"/>
    </w:rPr>
  </w:style>
  <w:style w:type="character" w:styleId="PageNumber">
    <w:name w:val="page number"/>
    <w:basedOn w:val="DefaultParagraphFont"/>
    <w:uiPriority w:val="99"/>
    <w:semiHidden/>
    <w:unhideWhenUsed/>
    <w:rsid w:val="00CC1F98"/>
  </w:style>
  <w:style w:type="paragraph" w:customStyle="1" w:styleId="Authornames">
    <w:name w:val="Author names"/>
    <w:basedOn w:val="Normal"/>
    <w:next w:val="Normal"/>
    <w:qFormat/>
    <w:rsid w:val="00363E2B"/>
    <w:pPr>
      <w:spacing w:before="240" w:line="360" w:lineRule="auto"/>
    </w:pPr>
    <w:rPr>
      <w:sz w:val="28"/>
      <w:lang w:val="en-GB" w:eastAsia="en-GB"/>
    </w:rPr>
  </w:style>
  <w:style w:type="paragraph" w:customStyle="1" w:styleId="Affiliation">
    <w:name w:val="Affiliation"/>
    <w:basedOn w:val="Normal"/>
    <w:qFormat/>
    <w:rsid w:val="00363E2B"/>
    <w:pPr>
      <w:spacing w:before="240" w:line="360" w:lineRule="auto"/>
    </w:pPr>
    <w:rPr>
      <w:i/>
      <w:lang w:val="en-GB" w:eastAsia="en-GB"/>
    </w:rPr>
  </w:style>
  <w:style w:type="paragraph" w:customStyle="1" w:styleId="Correspondencedetails">
    <w:name w:val="Correspondence details"/>
    <w:basedOn w:val="Normal"/>
    <w:qFormat/>
    <w:rsid w:val="00363E2B"/>
    <w:pPr>
      <w:spacing w:before="240" w:line="360" w:lineRule="auto"/>
    </w:pPr>
    <w:rPr>
      <w:lang w:val="en-GB" w:eastAsia="en-GB"/>
    </w:rPr>
  </w:style>
  <w:style w:type="paragraph" w:styleId="Header">
    <w:name w:val="header"/>
    <w:basedOn w:val="Normal"/>
    <w:link w:val="HeaderChar"/>
    <w:uiPriority w:val="99"/>
    <w:unhideWhenUsed/>
    <w:rsid w:val="00A95E04"/>
    <w:pPr>
      <w:tabs>
        <w:tab w:val="center" w:pos="4680"/>
        <w:tab w:val="right" w:pos="9360"/>
      </w:tabs>
    </w:pPr>
  </w:style>
  <w:style w:type="character" w:customStyle="1" w:styleId="HeaderChar">
    <w:name w:val="Header Char"/>
    <w:basedOn w:val="DefaultParagraphFont"/>
    <w:link w:val="Header"/>
    <w:uiPriority w:val="99"/>
    <w:rsid w:val="00A95E04"/>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0195589">
      <w:bodyDiv w:val="1"/>
      <w:marLeft w:val="0"/>
      <w:marRight w:val="0"/>
      <w:marTop w:val="0"/>
      <w:marBottom w:val="0"/>
      <w:divBdr>
        <w:top w:val="none" w:sz="0" w:space="0" w:color="auto"/>
        <w:left w:val="none" w:sz="0" w:space="0" w:color="auto"/>
        <w:bottom w:val="none" w:sz="0" w:space="0" w:color="auto"/>
        <w:right w:val="none" w:sz="0" w:space="0" w:color="auto"/>
      </w:divBdr>
    </w:div>
    <w:div w:id="280958120">
      <w:bodyDiv w:val="1"/>
      <w:marLeft w:val="0"/>
      <w:marRight w:val="0"/>
      <w:marTop w:val="0"/>
      <w:marBottom w:val="0"/>
      <w:divBdr>
        <w:top w:val="none" w:sz="0" w:space="0" w:color="auto"/>
        <w:left w:val="none" w:sz="0" w:space="0" w:color="auto"/>
        <w:bottom w:val="none" w:sz="0" w:space="0" w:color="auto"/>
        <w:right w:val="none" w:sz="0" w:space="0" w:color="auto"/>
      </w:divBdr>
      <w:divsChild>
        <w:div w:id="395863688">
          <w:marLeft w:val="0"/>
          <w:marRight w:val="0"/>
          <w:marTop w:val="0"/>
          <w:marBottom w:val="0"/>
          <w:divBdr>
            <w:top w:val="none" w:sz="0" w:space="0" w:color="auto"/>
            <w:left w:val="none" w:sz="0" w:space="0" w:color="auto"/>
            <w:bottom w:val="none" w:sz="0" w:space="0" w:color="auto"/>
            <w:right w:val="none" w:sz="0" w:space="0" w:color="auto"/>
          </w:divBdr>
          <w:divsChild>
            <w:div w:id="654795797">
              <w:marLeft w:val="0"/>
              <w:marRight w:val="0"/>
              <w:marTop w:val="0"/>
              <w:marBottom w:val="0"/>
              <w:divBdr>
                <w:top w:val="none" w:sz="0" w:space="0" w:color="auto"/>
                <w:left w:val="none" w:sz="0" w:space="0" w:color="auto"/>
                <w:bottom w:val="none" w:sz="0" w:space="0" w:color="auto"/>
                <w:right w:val="none" w:sz="0" w:space="0" w:color="auto"/>
              </w:divBdr>
              <w:divsChild>
                <w:div w:id="1429230435">
                  <w:marLeft w:val="0"/>
                  <w:marRight w:val="0"/>
                  <w:marTop w:val="0"/>
                  <w:marBottom w:val="0"/>
                  <w:divBdr>
                    <w:top w:val="none" w:sz="0" w:space="0" w:color="auto"/>
                    <w:left w:val="none" w:sz="0" w:space="0" w:color="auto"/>
                    <w:bottom w:val="none" w:sz="0" w:space="0" w:color="auto"/>
                    <w:right w:val="none" w:sz="0" w:space="0" w:color="auto"/>
                  </w:divBdr>
                  <w:divsChild>
                    <w:div w:id="477108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7934728">
      <w:bodyDiv w:val="1"/>
      <w:marLeft w:val="0"/>
      <w:marRight w:val="0"/>
      <w:marTop w:val="0"/>
      <w:marBottom w:val="0"/>
      <w:divBdr>
        <w:top w:val="none" w:sz="0" w:space="0" w:color="auto"/>
        <w:left w:val="none" w:sz="0" w:space="0" w:color="auto"/>
        <w:bottom w:val="none" w:sz="0" w:space="0" w:color="auto"/>
        <w:right w:val="none" w:sz="0" w:space="0" w:color="auto"/>
      </w:divBdr>
    </w:div>
    <w:div w:id="690180555">
      <w:bodyDiv w:val="1"/>
      <w:marLeft w:val="0"/>
      <w:marRight w:val="0"/>
      <w:marTop w:val="0"/>
      <w:marBottom w:val="0"/>
      <w:divBdr>
        <w:top w:val="none" w:sz="0" w:space="0" w:color="auto"/>
        <w:left w:val="none" w:sz="0" w:space="0" w:color="auto"/>
        <w:bottom w:val="none" w:sz="0" w:space="0" w:color="auto"/>
        <w:right w:val="none" w:sz="0" w:space="0" w:color="auto"/>
      </w:divBdr>
    </w:div>
    <w:div w:id="823856238">
      <w:bodyDiv w:val="1"/>
      <w:marLeft w:val="0"/>
      <w:marRight w:val="0"/>
      <w:marTop w:val="0"/>
      <w:marBottom w:val="0"/>
      <w:divBdr>
        <w:top w:val="none" w:sz="0" w:space="0" w:color="auto"/>
        <w:left w:val="none" w:sz="0" w:space="0" w:color="auto"/>
        <w:bottom w:val="none" w:sz="0" w:space="0" w:color="auto"/>
        <w:right w:val="none" w:sz="0" w:space="0" w:color="auto"/>
      </w:divBdr>
    </w:div>
    <w:div w:id="858006538">
      <w:bodyDiv w:val="1"/>
      <w:marLeft w:val="0"/>
      <w:marRight w:val="0"/>
      <w:marTop w:val="0"/>
      <w:marBottom w:val="0"/>
      <w:divBdr>
        <w:top w:val="none" w:sz="0" w:space="0" w:color="auto"/>
        <w:left w:val="none" w:sz="0" w:space="0" w:color="auto"/>
        <w:bottom w:val="none" w:sz="0" w:space="0" w:color="auto"/>
        <w:right w:val="none" w:sz="0" w:space="0" w:color="auto"/>
      </w:divBdr>
    </w:div>
    <w:div w:id="926226793">
      <w:bodyDiv w:val="1"/>
      <w:marLeft w:val="0"/>
      <w:marRight w:val="0"/>
      <w:marTop w:val="0"/>
      <w:marBottom w:val="0"/>
      <w:divBdr>
        <w:top w:val="none" w:sz="0" w:space="0" w:color="auto"/>
        <w:left w:val="none" w:sz="0" w:space="0" w:color="auto"/>
        <w:bottom w:val="none" w:sz="0" w:space="0" w:color="auto"/>
        <w:right w:val="none" w:sz="0" w:space="0" w:color="auto"/>
      </w:divBdr>
    </w:div>
    <w:div w:id="926353096">
      <w:bodyDiv w:val="1"/>
      <w:marLeft w:val="0"/>
      <w:marRight w:val="0"/>
      <w:marTop w:val="0"/>
      <w:marBottom w:val="0"/>
      <w:divBdr>
        <w:top w:val="none" w:sz="0" w:space="0" w:color="auto"/>
        <w:left w:val="none" w:sz="0" w:space="0" w:color="auto"/>
        <w:bottom w:val="none" w:sz="0" w:space="0" w:color="auto"/>
        <w:right w:val="none" w:sz="0" w:space="0" w:color="auto"/>
      </w:divBdr>
      <w:divsChild>
        <w:div w:id="1226910344">
          <w:marLeft w:val="0"/>
          <w:marRight w:val="0"/>
          <w:marTop w:val="0"/>
          <w:marBottom w:val="0"/>
          <w:divBdr>
            <w:top w:val="none" w:sz="0" w:space="0" w:color="auto"/>
            <w:left w:val="none" w:sz="0" w:space="0" w:color="auto"/>
            <w:bottom w:val="none" w:sz="0" w:space="0" w:color="auto"/>
            <w:right w:val="none" w:sz="0" w:space="0" w:color="auto"/>
          </w:divBdr>
          <w:divsChild>
            <w:div w:id="11685051">
              <w:marLeft w:val="0"/>
              <w:marRight w:val="0"/>
              <w:marTop w:val="0"/>
              <w:marBottom w:val="0"/>
              <w:divBdr>
                <w:top w:val="none" w:sz="0" w:space="0" w:color="auto"/>
                <w:left w:val="none" w:sz="0" w:space="0" w:color="auto"/>
                <w:bottom w:val="none" w:sz="0" w:space="0" w:color="auto"/>
                <w:right w:val="none" w:sz="0" w:space="0" w:color="auto"/>
              </w:divBdr>
              <w:divsChild>
                <w:div w:id="1632975169">
                  <w:marLeft w:val="0"/>
                  <w:marRight w:val="0"/>
                  <w:marTop w:val="0"/>
                  <w:marBottom w:val="0"/>
                  <w:divBdr>
                    <w:top w:val="none" w:sz="0" w:space="0" w:color="auto"/>
                    <w:left w:val="none" w:sz="0" w:space="0" w:color="auto"/>
                    <w:bottom w:val="none" w:sz="0" w:space="0" w:color="auto"/>
                    <w:right w:val="none" w:sz="0" w:space="0" w:color="auto"/>
                  </w:divBdr>
                  <w:divsChild>
                    <w:div w:id="194511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7083255">
      <w:bodyDiv w:val="1"/>
      <w:marLeft w:val="0"/>
      <w:marRight w:val="0"/>
      <w:marTop w:val="0"/>
      <w:marBottom w:val="0"/>
      <w:divBdr>
        <w:top w:val="none" w:sz="0" w:space="0" w:color="auto"/>
        <w:left w:val="none" w:sz="0" w:space="0" w:color="auto"/>
        <w:bottom w:val="none" w:sz="0" w:space="0" w:color="auto"/>
        <w:right w:val="none" w:sz="0" w:space="0" w:color="auto"/>
      </w:divBdr>
    </w:div>
    <w:div w:id="1054625715">
      <w:bodyDiv w:val="1"/>
      <w:marLeft w:val="0"/>
      <w:marRight w:val="0"/>
      <w:marTop w:val="0"/>
      <w:marBottom w:val="0"/>
      <w:divBdr>
        <w:top w:val="none" w:sz="0" w:space="0" w:color="auto"/>
        <w:left w:val="none" w:sz="0" w:space="0" w:color="auto"/>
        <w:bottom w:val="none" w:sz="0" w:space="0" w:color="auto"/>
        <w:right w:val="none" w:sz="0" w:space="0" w:color="auto"/>
      </w:divBdr>
    </w:div>
    <w:div w:id="1113675385">
      <w:bodyDiv w:val="1"/>
      <w:marLeft w:val="0"/>
      <w:marRight w:val="0"/>
      <w:marTop w:val="0"/>
      <w:marBottom w:val="0"/>
      <w:divBdr>
        <w:top w:val="none" w:sz="0" w:space="0" w:color="auto"/>
        <w:left w:val="none" w:sz="0" w:space="0" w:color="auto"/>
        <w:bottom w:val="none" w:sz="0" w:space="0" w:color="auto"/>
        <w:right w:val="none" w:sz="0" w:space="0" w:color="auto"/>
      </w:divBdr>
      <w:divsChild>
        <w:div w:id="1787961266">
          <w:marLeft w:val="0"/>
          <w:marRight w:val="0"/>
          <w:marTop w:val="0"/>
          <w:marBottom w:val="0"/>
          <w:divBdr>
            <w:top w:val="none" w:sz="0" w:space="0" w:color="auto"/>
            <w:left w:val="none" w:sz="0" w:space="0" w:color="auto"/>
            <w:bottom w:val="none" w:sz="0" w:space="0" w:color="auto"/>
            <w:right w:val="none" w:sz="0" w:space="0" w:color="auto"/>
          </w:divBdr>
        </w:div>
        <w:div w:id="1879514529">
          <w:marLeft w:val="0"/>
          <w:marRight w:val="0"/>
          <w:marTop w:val="0"/>
          <w:marBottom w:val="0"/>
          <w:divBdr>
            <w:top w:val="none" w:sz="0" w:space="0" w:color="auto"/>
            <w:left w:val="none" w:sz="0" w:space="0" w:color="auto"/>
            <w:bottom w:val="none" w:sz="0" w:space="0" w:color="auto"/>
            <w:right w:val="none" w:sz="0" w:space="0" w:color="auto"/>
          </w:divBdr>
        </w:div>
        <w:div w:id="1044910723">
          <w:marLeft w:val="0"/>
          <w:marRight w:val="0"/>
          <w:marTop w:val="0"/>
          <w:marBottom w:val="0"/>
          <w:divBdr>
            <w:top w:val="none" w:sz="0" w:space="0" w:color="auto"/>
            <w:left w:val="none" w:sz="0" w:space="0" w:color="auto"/>
            <w:bottom w:val="none" w:sz="0" w:space="0" w:color="auto"/>
            <w:right w:val="none" w:sz="0" w:space="0" w:color="auto"/>
          </w:divBdr>
        </w:div>
      </w:divsChild>
    </w:div>
    <w:div w:id="1114783717">
      <w:bodyDiv w:val="1"/>
      <w:marLeft w:val="0"/>
      <w:marRight w:val="0"/>
      <w:marTop w:val="0"/>
      <w:marBottom w:val="0"/>
      <w:divBdr>
        <w:top w:val="none" w:sz="0" w:space="0" w:color="auto"/>
        <w:left w:val="none" w:sz="0" w:space="0" w:color="auto"/>
        <w:bottom w:val="none" w:sz="0" w:space="0" w:color="auto"/>
        <w:right w:val="none" w:sz="0" w:space="0" w:color="auto"/>
      </w:divBdr>
    </w:div>
    <w:div w:id="1152679059">
      <w:bodyDiv w:val="1"/>
      <w:marLeft w:val="0"/>
      <w:marRight w:val="0"/>
      <w:marTop w:val="0"/>
      <w:marBottom w:val="0"/>
      <w:divBdr>
        <w:top w:val="none" w:sz="0" w:space="0" w:color="auto"/>
        <w:left w:val="none" w:sz="0" w:space="0" w:color="auto"/>
        <w:bottom w:val="none" w:sz="0" w:space="0" w:color="auto"/>
        <w:right w:val="none" w:sz="0" w:space="0" w:color="auto"/>
      </w:divBdr>
    </w:div>
    <w:div w:id="1168863404">
      <w:bodyDiv w:val="1"/>
      <w:marLeft w:val="0"/>
      <w:marRight w:val="0"/>
      <w:marTop w:val="0"/>
      <w:marBottom w:val="0"/>
      <w:divBdr>
        <w:top w:val="none" w:sz="0" w:space="0" w:color="auto"/>
        <w:left w:val="none" w:sz="0" w:space="0" w:color="auto"/>
        <w:bottom w:val="none" w:sz="0" w:space="0" w:color="auto"/>
        <w:right w:val="none" w:sz="0" w:space="0" w:color="auto"/>
      </w:divBdr>
    </w:div>
    <w:div w:id="1226066155">
      <w:bodyDiv w:val="1"/>
      <w:marLeft w:val="0"/>
      <w:marRight w:val="0"/>
      <w:marTop w:val="0"/>
      <w:marBottom w:val="0"/>
      <w:divBdr>
        <w:top w:val="none" w:sz="0" w:space="0" w:color="auto"/>
        <w:left w:val="none" w:sz="0" w:space="0" w:color="auto"/>
        <w:bottom w:val="none" w:sz="0" w:space="0" w:color="auto"/>
        <w:right w:val="none" w:sz="0" w:space="0" w:color="auto"/>
      </w:divBdr>
      <w:divsChild>
        <w:div w:id="648287709">
          <w:marLeft w:val="0"/>
          <w:marRight w:val="0"/>
          <w:marTop w:val="0"/>
          <w:marBottom w:val="0"/>
          <w:divBdr>
            <w:top w:val="none" w:sz="0" w:space="0" w:color="auto"/>
            <w:left w:val="none" w:sz="0" w:space="0" w:color="auto"/>
            <w:bottom w:val="none" w:sz="0" w:space="0" w:color="auto"/>
            <w:right w:val="none" w:sz="0" w:space="0" w:color="auto"/>
          </w:divBdr>
          <w:divsChild>
            <w:div w:id="1538736422">
              <w:marLeft w:val="0"/>
              <w:marRight w:val="0"/>
              <w:marTop w:val="0"/>
              <w:marBottom w:val="0"/>
              <w:divBdr>
                <w:top w:val="none" w:sz="0" w:space="0" w:color="auto"/>
                <w:left w:val="none" w:sz="0" w:space="0" w:color="auto"/>
                <w:bottom w:val="none" w:sz="0" w:space="0" w:color="auto"/>
                <w:right w:val="none" w:sz="0" w:space="0" w:color="auto"/>
              </w:divBdr>
              <w:divsChild>
                <w:div w:id="1315524399">
                  <w:marLeft w:val="0"/>
                  <w:marRight w:val="0"/>
                  <w:marTop w:val="0"/>
                  <w:marBottom w:val="0"/>
                  <w:divBdr>
                    <w:top w:val="none" w:sz="0" w:space="0" w:color="auto"/>
                    <w:left w:val="none" w:sz="0" w:space="0" w:color="auto"/>
                    <w:bottom w:val="none" w:sz="0" w:space="0" w:color="auto"/>
                    <w:right w:val="none" w:sz="0" w:space="0" w:color="auto"/>
                  </w:divBdr>
                </w:div>
              </w:divsChild>
            </w:div>
            <w:div w:id="452211258">
              <w:marLeft w:val="0"/>
              <w:marRight w:val="0"/>
              <w:marTop w:val="0"/>
              <w:marBottom w:val="0"/>
              <w:divBdr>
                <w:top w:val="none" w:sz="0" w:space="0" w:color="auto"/>
                <w:left w:val="none" w:sz="0" w:space="0" w:color="auto"/>
                <w:bottom w:val="none" w:sz="0" w:space="0" w:color="auto"/>
                <w:right w:val="none" w:sz="0" w:space="0" w:color="auto"/>
              </w:divBdr>
              <w:divsChild>
                <w:div w:id="2088379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1710466">
      <w:bodyDiv w:val="1"/>
      <w:marLeft w:val="0"/>
      <w:marRight w:val="0"/>
      <w:marTop w:val="0"/>
      <w:marBottom w:val="0"/>
      <w:divBdr>
        <w:top w:val="none" w:sz="0" w:space="0" w:color="auto"/>
        <w:left w:val="none" w:sz="0" w:space="0" w:color="auto"/>
        <w:bottom w:val="none" w:sz="0" w:space="0" w:color="auto"/>
        <w:right w:val="none" w:sz="0" w:space="0" w:color="auto"/>
      </w:divBdr>
    </w:div>
    <w:div w:id="1491290609">
      <w:bodyDiv w:val="1"/>
      <w:marLeft w:val="0"/>
      <w:marRight w:val="0"/>
      <w:marTop w:val="0"/>
      <w:marBottom w:val="0"/>
      <w:divBdr>
        <w:top w:val="none" w:sz="0" w:space="0" w:color="auto"/>
        <w:left w:val="none" w:sz="0" w:space="0" w:color="auto"/>
        <w:bottom w:val="none" w:sz="0" w:space="0" w:color="auto"/>
        <w:right w:val="none" w:sz="0" w:space="0" w:color="auto"/>
      </w:divBdr>
    </w:div>
    <w:div w:id="1500461653">
      <w:bodyDiv w:val="1"/>
      <w:marLeft w:val="0"/>
      <w:marRight w:val="0"/>
      <w:marTop w:val="0"/>
      <w:marBottom w:val="0"/>
      <w:divBdr>
        <w:top w:val="none" w:sz="0" w:space="0" w:color="auto"/>
        <w:left w:val="none" w:sz="0" w:space="0" w:color="auto"/>
        <w:bottom w:val="none" w:sz="0" w:space="0" w:color="auto"/>
        <w:right w:val="none" w:sz="0" w:space="0" w:color="auto"/>
      </w:divBdr>
      <w:divsChild>
        <w:div w:id="792942949">
          <w:marLeft w:val="0"/>
          <w:marRight w:val="0"/>
          <w:marTop w:val="0"/>
          <w:marBottom w:val="0"/>
          <w:divBdr>
            <w:top w:val="none" w:sz="0" w:space="0" w:color="auto"/>
            <w:left w:val="none" w:sz="0" w:space="0" w:color="auto"/>
            <w:bottom w:val="none" w:sz="0" w:space="0" w:color="auto"/>
            <w:right w:val="none" w:sz="0" w:space="0" w:color="auto"/>
          </w:divBdr>
        </w:div>
        <w:div w:id="479276124">
          <w:marLeft w:val="0"/>
          <w:marRight w:val="0"/>
          <w:marTop w:val="0"/>
          <w:marBottom w:val="0"/>
          <w:divBdr>
            <w:top w:val="none" w:sz="0" w:space="0" w:color="auto"/>
            <w:left w:val="none" w:sz="0" w:space="0" w:color="auto"/>
            <w:bottom w:val="none" w:sz="0" w:space="0" w:color="auto"/>
            <w:right w:val="none" w:sz="0" w:space="0" w:color="auto"/>
          </w:divBdr>
        </w:div>
      </w:divsChild>
    </w:div>
    <w:div w:id="1568681954">
      <w:bodyDiv w:val="1"/>
      <w:marLeft w:val="0"/>
      <w:marRight w:val="0"/>
      <w:marTop w:val="0"/>
      <w:marBottom w:val="0"/>
      <w:divBdr>
        <w:top w:val="none" w:sz="0" w:space="0" w:color="auto"/>
        <w:left w:val="none" w:sz="0" w:space="0" w:color="auto"/>
        <w:bottom w:val="none" w:sz="0" w:space="0" w:color="auto"/>
        <w:right w:val="none" w:sz="0" w:space="0" w:color="auto"/>
      </w:divBdr>
      <w:divsChild>
        <w:div w:id="143667498">
          <w:marLeft w:val="0"/>
          <w:marRight w:val="0"/>
          <w:marTop w:val="0"/>
          <w:marBottom w:val="0"/>
          <w:divBdr>
            <w:top w:val="none" w:sz="0" w:space="0" w:color="auto"/>
            <w:left w:val="none" w:sz="0" w:space="0" w:color="auto"/>
            <w:bottom w:val="none" w:sz="0" w:space="0" w:color="auto"/>
            <w:right w:val="none" w:sz="0" w:space="0" w:color="auto"/>
          </w:divBdr>
        </w:div>
        <w:div w:id="557713417">
          <w:marLeft w:val="0"/>
          <w:marRight w:val="0"/>
          <w:marTop w:val="0"/>
          <w:marBottom w:val="0"/>
          <w:divBdr>
            <w:top w:val="none" w:sz="0" w:space="0" w:color="auto"/>
            <w:left w:val="none" w:sz="0" w:space="0" w:color="auto"/>
            <w:bottom w:val="none" w:sz="0" w:space="0" w:color="auto"/>
            <w:right w:val="none" w:sz="0" w:space="0" w:color="auto"/>
          </w:divBdr>
        </w:div>
      </w:divsChild>
    </w:div>
    <w:div w:id="1668898429">
      <w:bodyDiv w:val="1"/>
      <w:marLeft w:val="0"/>
      <w:marRight w:val="0"/>
      <w:marTop w:val="0"/>
      <w:marBottom w:val="0"/>
      <w:divBdr>
        <w:top w:val="none" w:sz="0" w:space="0" w:color="auto"/>
        <w:left w:val="none" w:sz="0" w:space="0" w:color="auto"/>
        <w:bottom w:val="none" w:sz="0" w:space="0" w:color="auto"/>
        <w:right w:val="none" w:sz="0" w:space="0" w:color="auto"/>
      </w:divBdr>
    </w:div>
    <w:div w:id="1875537335">
      <w:bodyDiv w:val="1"/>
      <w:marLeft w:val="0"/>
      <w:marRight w:val="0"/>
      <w:marTop w:val="0"/>
      <w:marBottom w:val="0"/>
      <w:divBdr>
        <w:top w:val="none" w:sz="0" w:space="0" w:color="auto"/>
        <w:left w:val="none" w:sz="0" w:space="0" w:color="auto"/>
        <w:bottom w:val="none" w:sz="0" w:space="0" w:color="auto"/>
        <w:right w:val="none" w:sz="0" w:space="0" w:color="auto"/>
      </w:divBdr>
    </w:div>
    <w:div w:id="1994214907">
      <w:bodyDiv w:val="1"/>
      <w:marLeft w:val="0"/>
      <w:marRight w:val="0"/>
      <w:marTop w:val="0"/>
      <w:marBottom w:val="0"/>
      <w:divBdr>
        <w:top w:val="none" w:sz="0" w:space="0" w:color="auto"/>
        <w:left w:val="none" w:sz="0" w:space="0" w:color="auto"/>
        <w:bottom w:val="none" w:sz="0" w:space="0" w:color="auto"/>
        <w:right w:val="none" w:sz="0" w:space="0" w:color="auto"/>
      </w:divBdr>
    </w:div>
    <w:div w:id="2002083044">
      <w:bodyDiv w:val="1"/>
      <w:marLeft w:val="0"/>
      <w:marRight w:val="0"/>
      <w:marTop w:val="0"/>
      <w:marBottom w:val="0"/>
      <w:divBdr>
        <w:top w:val="none" w:sz="0" w:space="0" w:color="auto"/>
        <w:left w:val="none" w:sz="0" w:space="0" w:color="auto"/>
        <w:bottom w:val="none" w:sz="0" w:space="0" w:color="auto"/>
        <w:right w:val="none" w:sz="0" w:space="0" w:color="auto"/>
      </w:divBdr>
    </w:div>
    <w:div w:id="2022660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dc.gov/coronavirus/2019-ncov/community/large-events/mass-gatherings-ready-for-covid-19.html" TargetMode="External"/><Relationship Id="rId13" Type="http://schemas.openxmlformats.org/officeDocument/2006/relationships/hyperlink" Target="https://www.nytimes.com/article/coronavirus-timeline.html" TargetMode="External"/><Relationship Id="rId18" Type="http://schemas.openxmlformats.org/officeDocument/2006/relationships/hyperlink" Target="https://apps.who.int/iris/bitstream/handle/10665/259807/9789241550208-eng.pdf;jsessionid=BEDC74C73D5781710C6F7D32CB9E910A?sequence=2"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png"/><Relationship Id="rId7" Type="http://schemas.openxmlformats.org/officeDocument/2006/relationships/endnotes" Target="endnotes.xml"/><Relationship Id="rId12" Type="http://schemas.openxmlformats.org/officeDocument/2006/relationships/hyperlink" Target="https://doi.org/10.1177/1090198120935073" TargetMode="External"/><Relationship Id="rId17" Type="http://schemas.openxmlformats.org/officeDocument/2006/relationships/hyperlink" Target="https://www.whitehouse.gov/wp-content/uploads/2020/03/03.16.20_coronavirus-guidance_8.5x11_315PM.pdf"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whitehouse.gov/briefings-statements/vice-president-pence-secretary-azar-add-key-administration-officials-coronavirus-task-force-2/" TargetMode="External"/><Relationship Id="rId20" Type="http://schemas.openxmlformats.org/officeDocument/2006/relationships/hyperlink" Target="https://www.who.int/docs/default-source/coronaviruse/situation-reports/20200202-sitrep-13-ncov-v3.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logs.scientificamerican.com/observations/harnessing-social-media-for-the-covid-19-pandemic/" TargetMode="External"/><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www.semanticscholar.org/paper/EXAMINING-THE-EFFECTS-OF-HOPE-AND-FEAR-APPEALS-ON-Underhill/c1d96e835ba33a8006377c689daa151cc0a69401" TargetMode="External"/><Relationship Id="rId23" Type="http://schemas.openxmlformats.org/officeDocument/2006/relationships/footer" Target="footer1.xml"/><Relationship Id="rId10" Type="http://schemas.openxmlformats.org/officeDocument/2006/relationships/hyperlink" Target="https://www.pewresearch.org/fact-tank/2020/04/02/tweets-by-members-of-congress-tell-the-story-of-an-escalating-covid-19-crisis/" TargetMode="External"/><Relationship Id="rId19" Type="http://schemas.openxmlformats.org/officeDocument/2006/relationships/hyperlink" Target="https://www.who.int/news-room/detail/27-04-2020-who-timeline---covid-19" TargetMode="External"/><Relationship Id="rId4" Type="http://schemas.openxmlformats.org/officeDocument/2006/relationships/settings" Target="settings.xml"/><Relationship Id="rId9" Type="http://schemas.openxmlformats.org/officeDocument/2006/relationships/hyperlink" Target="https://thehill.com/homenews/news/488942-white-house-grapples-with-the-coronavirus-outbreak-a-timeline" TargetMode="External"/><Relationship Id="rId14" Type="http://schemas.openxmlformats.org/officeDocument/2006/relationships/hyperlink" Target="https://www.whitehouse.gov/briefings-statements/message-congress-declaring-national-emergency-concerning-novel-coronavirus-disease-covid-19-outbreak/" TargetMode="External"/><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04644B-3ED3-D14C-AA69-CB081E5B5B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5506</Words>
  <Characters>31386</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Riley Finley</cp:lastModifiedBy>
  <cp:revision>2</cp:revision>
  <cp:lastPrinted>2020-06-09T00:50:00Z</cp:lastPrinted>
  <dcterms:created xsi:type="dcterms:W3CDTF">2021-02-03T21:53:00Z</dcterms:created>
  <dcterms:modified xsi:type="dcterms:W3CDTF">2021-02-03T21:53:00Z</dcterms:modified>
</cp:coreProperties>
</file>