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1.png" ContentType="image/png"/>
  <Override PartName="/word/media/rId39.png" ContentType="image/png"/>
  <Override PartName="/word/media/rId49.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Medications and Medication Regimens relate to Patient Mortality</w:t>
      </w:r>
    </w:p>
    <w:p>
      <w:pPr>
        <w:pStyle w:val="Author"/>
      </w:pPr>
      <w:r>
        <w:t xml:space="preserve">Rebecca Basta and Riley Herber</w:t>
      </w:r>
    </w:p>
    <w:p>
      <w:pPr>
        <w:pStyle w:val="FirstParagraph"/>
      </w:pPr>
      <w:r>
        <w:t xml:space="preserve">The structure below is one possible setup for a manuscript stemming from a data analysis project. It loosely follows the structure of a standard scientific manuscript. Adjust as needed. You don’t need to have exactly these sections, but the content covering those sections should be addressed.</w:t>
      </w:r>
    </w:p>
    <w:p>
      <w:pPr>
        <w:pStyle w:val="BodyText"/>
      </w:pPr>
      <w:r>
        <w:t xml:space="preserve">This uses</w:t>
      </w:r>
      <w:r>
        <w:t xml:space="preserve"> </w:t>
      </w:r>
      <w:hyperlink r:id="rId20">
        <w:r>
          <w:rPr>
            <w:rStyle w:val="Hyperlink"/>
          </w:rPr>
          <w:t xml:space="preserve">MS Word as output format</w:t>
        </w:r>
      </w:hyperlink>
      <w:r>
        <w:t xml:space="preserve">. See</w:t>
      </w:r>
      <w:r>
        <w:t xml:space="preserve"> </w:t>
      </w:r>
      <w:hyperlink r:id="rId21">
        <w:r>
          <w:rPr>
            <w:rStyle w:val="Hyperlink"/>
          </w:rPr>
          <w:t xml:space="preserve">the Quarto documentation</w:t>
        </w:r>
      </w:hyperlink>
      <w:r>
        <w:t xml:space="preserve"> </w:t>
      </w:r>
      <w:r>
        <w:t xml:space="preserve">for instructions on how to use other formats.</w:t>
      </w:r>
    </w:p>
    <w:p>
      <w:pPr>
        <w:pStyle w:val="SourceCode"/>
      </w:pPr>
      <w:r>
        <w:rPr>
          <w:rStyle w:val="VerbatimChar"/>
        </w:rPr>
        <w:t xml:space="preserve">Warning: package 'here' was built under R version 4.4.3</w:t>
      </w:r>
    </w:p>
    <w:p>
      <w:pPr>
        <w:pStyle w:val="SourceCode"/>
      </w:pPr>
      <w:r>
        <w:rPr>
          <w:rStyle w:val="VerbatimChar"/>
        </w:rPr>
        <w:t xml:space="preserve">Warning: package 'knitr' was built under R version 4.4.3</w:t>
      </w:r>
    </w:p>
    <w:p>
      <w:pPr>
        <w:pStyle w:val="FirstParagraph"/>
      </w:pPr>
      <w:r>
        <w:rPr>
          <w:b/>
          <w:bCs/>
        </w:rPr>
        <w:t xml:space="preserve">Authors</w:t>
      </w:r>
    </w:p>
    <w:p>
      <w:pPr>
        <w:pStyle w:val="Compact"/>
        <w:numPr>
          <w:ilvl w:val="0"/>
          <w:numId w:val="1001"/>
        </w:numPr>
      </w:pPr>
      <w:r>
        <w:t xml:space="preserve">Rebecca Basta and Riley Herber</w:t>
      </w:r>
      <w:r>
        <w:t xml:space="preserve"> </w:t>
      </w:r>
      <w:r>
        <w:t xml:space="preserve">These authors contributed equally to this work.</w:t>
      </w:r>
    </w:p>
    <w:p>
      <w:pPr>
        <w:pStyle w:val="FirstParagraph"/>
      </w:pPr>
      <w:r>
        <w:rPr>
          <w:b/>
          <w:bCs/>
        </w:rPr>
        <w:t xml:space="preserve">Author affiliations</w:t>
      </w:r>
    </w:p>
    <w:p>
      <w:pPr>
        <w:pStyle w:val="Compact"/>
        <w:numPr>
          <w:ilvl w:val="0"/>
          <w:numId w:val="1002"/>
        </w:numPr>
      </w:pPr>
      <w:r>
        <w:t xml:space="preserve">University of Georgia, Athens, GA, USA.</w:t>
      </w:r>
    </w:p>
    <w:p>
      <w:r>
        <w:br w:type="page"/>
      </w:r>
    </w:p>
    <w:bookmarkStart w:id="22" w:name="summaryabstract"/>
    <w:p>
      <w:pPr>
        <w:pStyle w:val="Heading1"/>
      </w:pPr>
      <w:r>
        <w:t xml:space="preserve">1. Summary/Abstract</w:t>
      </w:r>
    </w:p>
    <w:p>
      <w:pPr>
        <w:pStyle w:val="FirstParagraph"/>
      </w:pPr>
      <w:r>
        <w:rPr>
          <w:i/>
          <w:iCs/>
        </w:rPr>
        <w:t xml:space="preserve">Write a summary of your project.</w:t>
      </w:r>
    </w:p>
    <w:p>
      <w:pPr>
        <w:pStyle w:val="BodyText"/>
      </w:pPr>
      <w:r>
        <w:rPr>
          <w:i/>
          <w:iCs/>
        </w:rPr>
        <w:t xml:space="preserve">It is recommended to use a structured abstract with Background/Methods/Results/Discussion sections.</w:t>
      </w:r>
    </w:p>
    <w:p>
      <w:r>
        <w:br w:type="page"/>
      </w:r>
    </w:p>
    <w:bookmarkEnd w:id="22"/>
    <w:bookmarkStart w:id="26" w:name="introduction"/>
    <w:p>
      <w:pPr>
        <w:pStyle w:val="Heading1"/>
      </w:pPr>
      <w:r>
        <w:t xml:space="preserve">2. Introduction</w:t>
      </w:r>
    </w:p>
    <w:p>
      <w:pPr>
        <w:pStyle w:val="FirstParagraph"/>
      </w:pPr>
      <w:r>
        <w:t xml:space="preserve">This information is important because it can help healthcare providers better understand the effects of commonly prescribed medications on patient survival. Identifying medications that are</w:t>
      </w:r>
      <w:r>
        <w:t xml:space="preserve"> </w:t>
      </w:r>
      <w:r>
        <w:t xml:space="preserve">associated with improved or worsened outcomes may guide clinical decision-making, optimize treatment strategies, and ultimately improve patient care and safety.</w:t>
      </w:r>
    </w:p>
    <w:bookmarkStart w:id="23" w:name="general-background-information"/>
    <w:p>
      <w:pPr>
        <w:pStyle w:val="Heading2"/>
      </w:pPr>
      <w:r>
        <w:t xml:space="preserve">2.1 General Background Information</w:t>
      </w:r>
    </w:p>
    <w:p>
      <w:pPr>
        <w:pStyle w:val="FirstParagraph"/>
      </w:pPr>
      <w:r>
        <w:rPr>
          <w:i/>
          <w:iCs/>
        </w:rPr>
        <w:t xml:space="preserve">Provide enough background on your topic that others can understand the why and how of your analysis</w:t>
      </w:r>
    </w:p>
    <w:bookmarkEnd w:id="23"/>
    <w:bookmarkStart w:id="24" w:name="description-of-data-and-data-source"/>
    <w:p>
      <w:pPr>
        <w:pStyle w:val="Heading2"/>
      </w:pPr>
      <w:r>
        <w:t xml:space="preserve">2.2 Description of data and data source</w:t>
      </w:r>
    </w:p>
    <w:p>
      <w:pPr>
        <w:pStyle w:val="FirstParagraph"/>
      </w:pPr>
      <w:r>
        <w:t xml:space="preserve">We are interested in using the MIMIC-IV dataset to explore the relationships between patient medication use, health outcomes, and mortality at Beth Israel Deaconess Medical Center in Boston, MA.</w:t>
      </w:r>
      <w:r>
        <w:t xml:space="preserve"> </w:t>
      </w:r>
      <w:r>
        <w:t xml:space="preserve">MIMIC-IV contains data for over 65,000 patients admitted to an ICU and over 200,000 patients admitted to the emergency department. Variables within this database include, but are not limited to,</w:t>
      </w:r>
      <w:r>
        <w:t xml:space="preserve"> </w:t>
      </w:r>
      <w:r>
        <w:t xml:space="preserve">hospital admissions, intra-hospital transfers, laboratory measurements, microbiology cultures, provider orders, medication administration records, medication prescriptions, hospital billing</w:t>
      </w:r>
      <w:r>
        <w:t xml:space="preserve"> </w:t>
      </w:r>
      <w:r>
        <w:t xml:space="preserve">information, and mortality outcomes.</w:t>
      </w:r>
    </w:p>
    <w:bookmarkEnd w:id="24"/>
    <w:bookmarkStart w:id="25" w:name="questionshypotheses-to-be-addressed"/>
    <w:p>
      <w:pPr>
        <w:pStyle w:val="Heading2"/>
      </w:pPr>
      <w:r>
        <w:t xml:space="preserve">2.3 Questions/Hypotheses to be addressed</w:t>
      </w:r>
    </w:p>
    <w:p>
      <w:pPr>
        <w:pStyle w:val="FirstParagraph"/>
      </w:pPr>
      <w:r>
        <w:t xml:space="preserve">Our primary objective is to examine how different medications and medication regimens relate to patient mortality. This may include analyzing whether certain medications or combinations of</w:t>
      </w:r>
      <w:r>
        <w:t xml:space="preserve"> </w:t>
      </w:r>
      <w:r>
        <w:t xml:space="preserve">medications are associated with higher or lower mortality rates. To analyze the relationship between medication, use and mortality in the MIMIC-IV dataset, we would first clean and organize</w:t>
      </w:r>
      <w:r>
        <w:t xml:space="preserve"> </w:t>
      </w:r>
      <w:r>
        <w:t xml:space="preserve">medication and outcome data. We would then explore general patterns by comparing mortality rates across patients who received different medications or groups of medications. Simple summaries and</w:t>
      </w:r>
      <w:r>
        <w:t xml:space="preserve"> </w:t>
      </w:r>
      <w:r>
        <w:t xml:space="preserve">visualizations could be used to identify trends or potential associations. This exploratory analysis would help generate initial insights and guide more detailed analyses later on.</w:t>
      </w:r>
    </w:p>
    <w:p>
      <w:r>
        <w:br w:type="page"/>
      </w:r>
    </w:p>
    <w:bookmarkEnd w:id="25"/>
    <w:bookmarkEnd w:id="26"/>
    <w:bookmarkStart w:id="30" w:name="methods"/>
    <w:p>
      <w:pPr>
        <w:pStyle w:val="Heading1"/>
      </w:pPr>
      <w:r>
        <w:t xml:space="preserve">3. Methods</w:t>
      </w:r>
    </w:p>
    <w:p>
      <w:pPr>
        <w:pStyle w:val="FirstParagraph"/>
      </w:pPr>
      <w:r>
        <w:t xml:space="preserve">This study uses the MIMIC-IV (Medical Information Mart for Intensive Care, version IV) database to examine the relationship between medication use and 30-day mortality in hospitalized patients. All data processing and analysis was conducted in R. Full cleaning and wrangling code is documented in</w:t>
      </w:r>
      <w:r>
        <w:t xml:space="preserve"> </w:t>
      </w:r>
      <w:r>
        <w:rPr>
          <w:rStyle w:val="VerbatimChar"/>
        </w:rPr>
        <w:t xml:space="preserve">code/processing-code/mimic-processing.qmd</w:t>
      </w:r>
      <w:r>
        <w:t xml:space="preserve"> </w:t>
      </w:r>
      <w:r>
        <w:t xml:space="preserve">and exploratory analysis code is in</w:t>
      </w:r>
      <w:r>
        <w:t xml:space="preserve"> </w:t>
      </w:r>
      <w:r>
        <w:rPr>
          <w:rStyle w:val="VerbatimChar"/>
        </w:rPr>
        <w:t xml:space="preserve">code/eda-code/mimic-eda.qmd</w:t>
      </w:r>
      <w:r>
        <w:t xml:space="preserve">.</w:t>
      </w:r>
    </w:p>
    <w:bookmarkStart w:id="27" w:name="data-acquisition"/>
    <w:p>
      <w:pPr>
        <w:pStyle w:val="Heading2"/>
      </w:pPr>
      <w:r>
        <w:t xml:space="preserve">3.1 Data acquisition</w:t>
      </w:r>
    </w:p>
    <w:p>
      <w:pPr>
        <w:pStyle w:val="FirstParagraph"/>
      </w:pPr>
      <w:r>
        <w:t xml:space="preserve">Data were obtained from the MIMIC-IV database (v3.1), an available de-identified electronic health records database from Beth Israel Deaconess Medical Center, available via PhysioNet. Please see README file in the raw-data folder to get more information on how to gain access to the database. Access requires completion of a data use agreement and credentialing through PhysioNet. The following tables from the</w:t>
      </w:r>
      <w:r>
        <w:t xml:space="preserve"> </w:t>
      </w:r>
      <w:r>
        <w:rPr>
          <w:rStyle w:val="VerbatimChar"/>
        </w:rPr>
        <w:t xml:space="preserve">hosp</w:t>
      </w:r>
      <w:r>
        <w:t xml:space="preserve"> </w:t>
      </w:r>
      <w:r>
        <w:t xml:space="preserve">module were used:</w:t>
      </w:r>
    </w:p>
    <w:p>
      <w:pPr>
        <w:pStyle w:val="Compact"/>
        <w:numPr>
          <w:ilvl w:val="0"/>
          <w:numId w:val="1003"/>
        </w:numPr>
      </w:pPr>
      <w:r>
        <w:rPr>
          <w:rStyle w:val="VerbatimChar"/>
        </w:rPr>
        <w:t xml:space="preserve">patients.csv</w:t>
      </w:r>
      <w:r>
        <w:t xml:space="preserve"> </w:t>
      </w:r>
      <w:r>
        <w:t xml:space="preserve">— patient demographics including gender, age, and date of death</w:t>
      </w:r>
    </w:p>
    <w:p>
      <w:pPr>
        <w:pStyle w:val="Compact"/>
        <w:numPr>
          <w:ilvl w:val="0"/>
          <w:numId w:val="1003"/>
        </w:numPr>
      </w:pPr>
      <w:r>
        <w:rPr>
          <w:rStyle w:val="VerbatimChar"/>
        </w:rPr>
        <w:t xml:space="preserve">admissions.csv</w:t>
      </w:r>
      <w:r>
        <w:t xml:space="preserve"> </w:t>
      </w:r>
      <w:r>
        <w:t xml:space="preserve">— hospital admission and discharge records</w:t>
      </w:r>
    </w:p>
    <w:p>
      <w:pPr>
        <w:pStyle w:val="Compact"/>
        <w:numPr>
          <w:ilvl w:val="0"/>
          <w:numId w:val="1003"/>
        </w:numPr>
      </w:pPr>
      <w:r>
        <w:rPr>
          <w:rStyle w:val="VerbatimChar"/>
        </w:rPr>
        <w:t xml:space="preserve">prescriptions.csv</w:t>
      </w:r>
      <w:r>
        <w:t xml:space="preserve"> </w:t>
      </w:r>
      <w:r>
        <w:t xml:space="preserve">— medication orders per admission</w:t>
      </w:r>
    </w:p>
    <w:bookmarkEnd w:id="27"/>
    <w:bookmarkStart w:id="28" w:name="data-import-and-cleaning"/>
    <w:p>
      <w:pPr>
        <w:pStyle w:val="Heading2"/>
      </w:pPr>
      <w:r>
        <w:t xml:space="preserve">3.2 Data import and cleaning</w:t>
      </w:r>
    </w:p>
    <w:p>
      <w:pPr>
        <w:pStyle w:val="FirstParagraph"/>
      </w:pPr>
      <w:r>
        <w:t xml:space="preserve">Raw CSV files were loaded into R and cleaned as follows. Admissions with a length of stay less than 0 or greater than 365 days were removed as likely data entry errors. Medication drug names were standardized to uppercase and stripped of extra whitespace. Drugs were then assigned to one of 13 broad pharmacological classes (e.g. antibiotics, opioids, vasopressors) using keyword matching. For each admission, a binary indicator was created for each medication class indicating whether at least one drug from that class was prescribed during the stay. Full details of all cleaning steps are documented</w:t>
      </w:r>
      <w:r>
        <w:t xml:space="preserve"> </w:t>
      </w:r>
      <w:r>
        <w:t xml:space="preserve">in</w:t>
      </w:r>
      <w:r>
        <w:t xml:space="preserve"> </w:t>
      </w:r>
      <w:r>
        <w:rPr>
          <w:rStyle w:val="VerbatimChar"/>
        </w:rPr>
        <w:t xml:space="preserve">code/processing-code/mimic-processing.qmd</w:t>
      </w:r>
      <w:r>
        <w:t xml:space="preserve">.</w:t>
      </w:r>
    </w:p>
    <w:bookmarkEnd w:id="28"/>
    <w:bookmarkStart w:id="29" w:name="statistical-analysis"/>
    <w:p>
      <w:pPr>
        <w:pStyle w:val="Heading2"/>
      </w:pPr>
      <w:r>
        <w:t xml:space="preserve">3.3 Statistical analysis</w:t>
      </w:r>
    </w:p>
    <w:p>
      <w:pPr>
        <w:pStyle w:val="FirstParagraph"/>
      </w:pPr>
      <w:r>
        <w:t xml:space="preserve">This report presents unadjusted exploratory analyses. Mortality rates are compared across medication classes, age groups, and gender using summary tables and visualizations.</w:t>
      </w:r>
    </w:p>
    <w:p>
      <w:r>
        <w:br w:type="page"/>
      </w:r>
    </w:p>
    <w:bookmarkEnd w:id="29"/>
    <w:bookmarkEnd w:id="30"/>
    <w:bookmarkStart w:id="56" w:name="results"/>
    <w:p>
      <w:pPr>
        <w:pStyle w:val="Heading1"/>
      </w:pPr>
      <w:r>
        <w:t xml:space="preserve">4. Results</w:t>
      </w:r>
    </w:p>
    <w:bookmarkStart w:id="53" w:name="exploratorydescriptive-analysis"/>
    <w:p>
      <w:pPr>
        <w:pStyle w:val="Heading2"/>
      </w:pPr>
      <w:r>
        <w:t xml:space="preserve">4.1 Exploratory/Descriptive analysis</w:t>
      </w:r>
    </w:p>
    <w:p>
      <w:pPr>
        <w:pStyle w:val="SourceCode"/>
      </w:pPr>
      <w:r>
        <w:rPr>
          <w:rStyle w:val="FunctionTok"/>
        </w:rPr>
        <w:t xml:space="preserve">library</w:t>
      </w:r>
      <w:r>
        <w:rPr>
          <w:rStyle w:val="NormalTok"/>
        </w:rPr>
        <w:t xml:space="preserve">(here)</w:t>
      </w:r>
      <w:r>
        <w:br/>
      </w: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"figures"</w:t>
      </w:r>
      <w:r>
        <w:rPr>
          <w:rStyle w:val="NormalTok"/>
        </w:rPr>
        <w:t xml:space="preserve">, </w:t>
      </w:r>
      <w:r>
        <w:rPr>
          <w:rStyle w:val="StringTok"/>
        </w:rPr>
        <w:t xml:space="preserve">"day-30-mortality.png"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4" w:name="fig-mortality"/>
          <w:p>
            <w:pPr>
              <w:pStyle w:val="Compact"/>
              <w:jc w:val="center"/>
            </w:pPr>
            <w:r>
              <w:drawing>
                <wp:inline>
                  <wp:extent cx="5334000" cy="3333749"/>
                  <wp:effectExtent b="0" l="0" r="0" t="0"/>
                  <wp:docPr descr="" title="" id="32" name="Picture"/>
                  <a:graphic>
                    <a:graphicData uri="http://schemas.openxmlformats.org/drawingml/2006/picture">
                      <pic:pic>
                        <pic:nvPicPr>
                          <pic:cNvPr descr="../../results/figures/day-30-mortality.png" id="33" name="Picture"/>
                          <pic:cNvPicPr>
                            <a:picLocks noChangeArrowheads="1" noChangeAspect="1"/>
                          </pic:cNvPicPr>
                        </pic:nvPicPr>
                        <pic:blipFill>
                          <a:blip r:embed="rId31"/>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30-Day Mortality Distribution</w:t>
            </w:r>
          </w:p>
          <w:bookmarkEnd w:id="34"/>
        </w:tc>
      </w:tr>
    </w:tbl>
    <w:p>
      <w:pPr>
        <w:pStyle w:val="BodyText"/>
      </w:pPr>
      <w:hyperlink w:anchor="fig-mortality">
        <w:r>
          <w:rPr>
            <w:rStyle w:val="Hyperlink"/>
          </w:rPr>
          <w:t xml:space="preserve">Figure 1</w:t>
        </w:r>
      </w:hyperlink>
      <w:r>
        <w:t xml:space="preserve"> </w:t>
      </w:r>
      <w:r>
        <w:t xml:space="preserve">shows that 30-day mortality is low in this cohort, there are about 1 in 20 admissions that resulted in death within 30 days.</w:t>
      </w:r>
    </w:p>
    <w:p>
      <w:pPr>
        <w:pStyle w:val="SourceCode"/>
      </w:pP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"figures"</w:t>
      </w:r>
      <w:r>
        <w:rPr>
          <w:rStyle w:val="NormalTok"/>
        </w:rPr>
        <w:t xml:space="preserve">, </w:t>
      </w:r>
      <w:r>
        <w:rPr>
          <w:rStyle w:val="StringTok"/>
        </w:rPr>
        <w:t xml:space="preserve">"age-distribution-mortality.png"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8" w:name="fig-age-distribution"/>
          <w:p>
            <w:pPr>
              <w:pStyle w:val="Compact"/>
              <w:jc w:val="center"/>
            </w:pPr>
            <w:r>
              <w:drawing>
                <wp:inline>
                  <wp:extent cx="5334000" cy="3333749"/>
                  <wp:effectExtent b="0" l="0" r="0" t="0"/>
                  <wp:docPr descr="" title="" id="36" name="Picture"/>
                  <a:graphic>
                    <a:graphicData uri="http://schemas.openxmlformats.org/drawingml/2006/picture">
                      <pic:pic>
                        <pic:nvPicPr>
                          <pic:cNvPr descr="../../results/figures/age-distribution-mortality.png" id="37" name="Picture"/>
                          <pic:cNvPicPr>
                            <a:picLocks noChangeArrowheads="1" noChangeAspect="1"/>
                          </pic:cNvPicPr>
                        </pic:nvPicPr>
                        <pic:blipFill>
                          <a:blip r:embed="rId35"/>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Age distribution by 30-day mortality</w:t>
            </w:r>
          </w:p>
          <w:bookmarkEnd w:id="38"/>
        </w:tc>
      </w:tr>
    </w:tbl>
    <w:p>
      <w:pPr>
        <w:pStyle w:val="BodyText"/>
      </w:pPr>
      <w:hyperlink w:anchor="fig-age-distribution">
        <w:r>
          <w:rPr>
            <w:rStyle w:val="Hyperlink"/>
          </w:rPr>
          <w:t xml:space="preserve">Figure 2</w:t>
        </w:r>
      </w:hyperlink>
      <w:r>
        <w:t xml:space="preserve"> </w:t>
      </w:r>
      <w:r>
        <w:t xml:space="preserve">shows that most people in this study are in the age range of 50-75.</w:t>
      </w:r>
    </w:p>
    <w:p>
      <w:pPr>
        <w:pStyle w:val="SourceCode"/>
      </w:pP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"figures"</w:t>
      </w:r>
      <w:r>
        <w:rPr>
          <w:rStyle w:val="NormalTok"/>
        </w:rPr>
        <w:t xml:space="preserve">, </w:t>
      </w:r>
      <w:r>
        <w:rPr>
          <w:rStyle w:val="StringTok"/>
        </w:rPr>
        <w:t xml:space="preserve">"mortality_by_age.png"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2" w:name="fig-age-mortality"/>
          <w:p>
            <w:pPr>
              <w:pStyle w:val="Compact"/>
              <w:jc w:val="center"/>
            </w:pPr>
            <w:r>
              <w:drawing>
                <wp:inline>
                  <wp:extent cx="5334000" cy="3333749"/>
                  <wp:effectExtent b="0" l="0" r="0" t="0"/>
                  <wp:docPr descr="" title="" id="40" name="Picture"/>
                  <a:graphic>
                    <a:graphicData uri="http://schemas.openxmlformats.org/drawingml/2006/picture">
                      <pic:pic>
                        <pic:nvPicPr>
                          <pic:cNvPr descr="../../results/figures/mortality_by_age.png" id="41" name="Picture"/>
                          <pic:cNvPicPr>
                            <a:picLocks noChangeArrowheads="1" noChangeAspect="1"/>
                          </pic:cNvPicPr>
                        </pic:nvPicPr>
                        <pic:blipFill>
                          <a:blip r:embed="rId39"/>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30-day mortality rate by age group</w:t>
            </w:r>
          </w:p>
          <w:bookmarkEnd w:id="42"/>
        </w:tc>
      </w:tr>
    </w:tbl>
    <w:p>
      <w:pPr>
        <w:pStyle w:val="BodyText"/>
      </w:pPr>
      <w:hyperlink w:anchor="fig-age-mortality">
        <w:r>
          <w:rPr>
            <w:rStyle w:val="Hyperlink"/>
          </w:rPr>
          <w:t xml:space="preserve">Figure 3</w:t>
        </w:r>
      </w:hyperlink>
      <w:r>
        <w:t xml:space="preserve"> </w:t>
      </w:r>
      <w:r>
        <w:t xml:space="preserve">shows that 30 day mortality increased as the age group increased, with the highest mortality rate in the 75+ group.</w:t>
      </w:r>
    </w:p>
    <w:tbl>
      <w:tblPr>
        <w:tblStyle w:val="Table"/>
        <w:tblW w:type="pct" w:w="5000"/>
        <w:tblLayout w:type="fixed"/>
        <w:tblLook w:firstRow="0" w:lastRow="0" w:firstColumn="0" w:lastColumn="0" w:noHBand="0" w:noVBand="0" w:val="0000"/>
      </w:tblPr>
      <w:tblGrid>
        <w:gridCol w:w="7920"/>
      </w:tblGrid>
      <w:tr>
        <w:tc>
          <w:tcPr/>
          <w:bookmarkStart w:id="43" w:name="tbl-gender-mortality"/>
          <w:p>
            <w:pPr>
              <w:jc w:val="center"/>
            </w:pPr>
            <w:pPr>
              <w:jc w:val="left"/>
              <w:spacing w:before="200"/>
              <w:pStyle w:val="ImageCaption"/>
            </w:pPr>
            <w:r>
              <w:t xml:space="preserve">Table 1: 30-day mortality rate by gender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gender</w:t>
                  </w:r>
                </w:p>
              </w:tc>
              <w:tc>
                <w:tcPr/>
                <w:p>
                  <w:pPr>
                    <w:pStyle w:val="Compact"/>
                    <w:jc w:val="right"/>
                    <w:jc w:val="center"/>
                  </w:pPr>
                  <w:r>
                    <w:t xml:space="preserve">n</w:t>
                  </w:r>
                </w:p>
              </w:tc>
              <w:tc>
                <w:tcPr/>
                <w:p>
                  <w:pPr>
                    <w:pStyle w:val="Compact"/>
                    <w:jc w:val="right"/>
                    <w:jc w:val="center"/>
                  </w:pPr>
                  <w:r>
                    <w:t xml:space="preserve">deaths</w:t>
                  </w:r>
                </w:p>
              </w:tc>
              <w:tc>
                <w:tcPr/>
                <w:p>
                  <w:pPr>
                    <w:pStyle w:val="Compact"/>
                    <w:jc w:val="right"/>
                    <w:jc w:val="center"/>
                  </w:pPr>
                  <w:r>
                    <w:t xml:space="preserve">mort_rate</w:t>
                  </w:r>
                </w:p>
              </w:tc>
            </w:tr>
            <w:tr>
              <w:tc>
                <w:tcPr/>
                <w:p>
                  <w:pPr>
                    <w:pStyle w:val="Compact"/>
                    <w:jc w:val="left"/>
                    <w:jc w:val="center"/>
                  </w:pPr>
                  <w:r>
                    <w:t xml:space="preserve">F</w:t>
                  </w:r>
                </w:p>
              </w:tc>
              <w:tc>
                <w:tcPr/>
                <w:p>
                  <w:pPr>
                    <w:pStyle w:val="Compact"/>
                    <w:jc w:val="right"/>
                    <w:jc w:val="center"/>
                  </w:pPr>
                  <w:r>
                    <w:t xml:space="preserve">4057</w:t>
                  </w:r>
                </w:p>
              </w:tc>
              <w:tc>
                <w:tcPr/>
                <w:p>
                  <w:pPr>
                    <w:pStyle w:val="Compact"/>
                    <w:jc w:val="right"/>
                    <w:jc w:val="center"/>
                  </w:pPr>
                  <w:r>
                    <w:t xml:space="preserve">173</w:t>
                  </w:r>
                </w:p>
              </w:tc>
              <w:tc>
                <w:tcPr/>
                <w:p>
                  <w:pPr>
                    <w:pStyle w:val="Compact"/>
                    <w:jc w:val="right"/>
                    <w:jc w:val="center"/>
                  </w:pPr>
                  <w:r>
                    <w:t xml:space="preserve">0.0426423</w:t>
                  </w:r>
                </w:p>
              </w:tc>
            </w:tr>
            <w:tr>
              <w:tc>
                <w:tcPr/>
                <w:p>
                  <w:pPr>
                    <w:pStyle w:val="Compact"/>
                    <w:jc w:val="left"/>
                    <w:jc w:val="center"/>
                  </w:pPr>
                  <w:r>
                    <w:t xml:space="preserve">M</w:t>
                  </w:r>
                </w:p>
              </w:tc>
              <w:tc>
                <w:tcPr/>
                <w:p>
                  <w:pPr>
                    <w:pStyle w:val="Compact"/>
                    <w:jc w:val="right"/>
                    <w:jc w:val="center"/>
                  </w:pPr>
                  <w:r>
                    <w:t xml:space="preserve">3818</w:t>
                  </w:r>
                </w:p>
              </w:tc>
              <w:tc>
                <w:tcPr/>
                <w:p>
                  <w:pPr>
                    <w:pStyle w:val="Compact"/>
                    <w:jc w:val="right"/>
                    <w:jc w:val="center"/>
                  </w:pPr>
                  <w:r>
                    <w:t xml:space="preserve">211</w:t>
                  </w:r>
                </w:p>
              </w:tc>
              <w:tc>
                <w:tcPr/>
                <w:p>
                  <w:pPr>
                    <w:pStyle w:val="Compact"/>
                    <w:jc w:val="right"/>
                    <w:jc w:val="center"/>
                  </w:pPr>
                  <w:r>
                    <w:t xml:space="preserve">0.0552645</w:t>
                  </w:r>
                </w:p>
              </w:tc>
            </w:tr>
          </w:tbl>
          <w:bookmarkEnd w:id="43"/>
          <w:p/>
        </w:tc>
      </w:tr>
    </w:tbl>
    <w:p>
      <w:pPr>
        <w:pStyle w:val="BodyText"/>
      </w:pPr>
      <w:r>
        <w:rPr>
          <w:b/>
          <w:bCs/>
        </w:rPr>
        <w:t xml:space="preserve">?@fig-med-frequency</w:t>
      </w:r>
      <w:r>
        <w:t xml:space="preserve"> </w:t>
      </w:r>
      <w:r>
        <w:t xml:space="preserve">shows hows that many particpants used cardiovascular and anticoagulations medicine. The highest used medications were anticoagulants and opioids.</w:t>
      </w:r>
    </w:p>
    <w:p>
      <w:pPr>
        <w:pStyle w:val="SourceCode"/>
      </w:pP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"figures"</w:t>
      </w:r>
      <w:r>
        <w:rPr>
          <w:rStyle w:val="NormalTok"/>
        </w:rPr>
        <w:t xml:space="preserve">, </w:t>
      </w:r>
      <w:r>
        <w:rPr>
          <w:rStyle w:val="StringTok"/>
        </w:rPr>
        <w:t xml:space="preserve">"unadjusted-perscriptoin-frequency.png"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7" w:name="fig-med-mortality"/>
          <w:p>
            <w:pPr>
              <w:pStyle w:val="Compact"/>
              <w:jc w:val="center"/>
            </w:pPr>
            <w:r>
              <w:drawing>
                <wp:inline>
                  <wp:extent cx="5334000" cy="3333749"/>
                  <wp:effectExtent b="0" l="0" r="0" t="0"/>
                  <wp:docPr descr="" title="" id="45" name="Picture"/>
                  <a:graphic>
                    <a:graphicData uri="http://schemas.openxmlformats.org/drawingml/2006/picture">
                      <pic:pic>
                        <pic:nvPicPr>
                          <pic:cNvPr descr="../../results/figures/unadjusted-perscriptoin-frequency.png" id="46" name="Picture"/>
                          <pic:cNvPicPr>
                            <a:picLocks noChangeArrowheads="1" noChangeAspect="1"/>
                          </pic:cNvPicPr>
                        </pic:nvPicPr>
                        <pic:blipFill>
                          <a:blip r:embed="rId44"/>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30-day mortality rate by medication class (unadjusted)</w:t>
            </w:r>
          </w:p>
          <w:bookmarkEnd w:id="47"/>
        </w:tc>
      </w:tr>
    </w:tbl>
    <w:p>
      <w:pPr>
        <w:pStyle w:val="BodyText"/>
      </w:pPr>
      <w:hyperlink w:anchor="fig-med-mortality">
        <w:r>
          <w:rPr>
            <w:rStyle w:val="Hyperlink"/>
          </w:rPr>
          <w:t xml:space="preserve">Figure 4</w:t>
        </w:r>
      </w:hyperlink>
      <w:r>
        <w:t xml:space="preserve"> </w:t>
      </w:r>
      <w:r>
        <w:t xml:space="preserve">suggests that patients who received vasopressors had the highest 30-day mortality rate, followed by opioids. In contrast, patients receiving ACE inhibitors, statins, and calcium channel blockers had lower mortality rates than those who did not receive them, likely reflecting their use in more stable patients. These associations are unadjusted and largely reflect disease severity rather than direct drug effects. Sicker patients tend to receive more aggressive medications and have worse outcomes.</w:t>
      </w:r>
    </w:p>
    <w:tbl>
      <w:tblPr>
        <w:tblStyle w:val="Table"/>
        <w:tblW w:type="pct" w:w="5000"/>
        <w:tblLayout w:type="fixed"/>
        <w:tblLook w:firstRow="0" w:lastRow="0" w:firstColumn="0" w:lastColumn="0" w:noHBand="0" w:noVBand="0" w:val="0000"/>
      </w:tblPr>
      <w:tblGrid>
        <w:gridCol w:w="7920"/>
      </w:tblGrid>
      <w:tr>
        <w:tc>
          <w:tcPr/>
          <w:bookmarkStart w:id="48" w:name="tbl-med-mortality-summary"/>
          <w:p>
            <w:pPr>
              <w:jc w:val="center"/>
            </w:pPr>
            <w:pPr>
              <w:jc w:val="left"/>
              <w:spacing w:before="200"/>
              <w:pStyle w:val="ImageCaption"/>
            </w:pPr>
            <w:r>
              <w:t xml:space="preserve">Table 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received</w:t>
                  </w:r>
                </w:p>
              </w:tc>
              <w:tc>
                <w:tcPr/>
                <w:p>
                  <w:pPr>
                    <w:pStyle w:val="Compact"/>
                    <w:jc w:val="right"/>
                    <w:jc w:val="center"/>
                  </w:pPr>
                  <w:r>
                    <w:t xml:space="preserve">n</w:t>
                  </w:r>
                </w:p>
              </w:tc>
              <w:tc>
                <w:tcPr/>
                <w:p>
                  <w:pPr>
                    <w:pStyle w:val="Compact"/>
                    <w:jc w:val="right"/>
                    <w:jc w:val="center"/>
                  </w:pPr>
                  <w:r>
                    <w:t xml:space="preserve">deaths</w:t>
                  </w:r>
                </w:p>
              </w:tc>
              <w:tc>
                <w:tcPr/>
                <w:p>
                  <w:pPr>
                    <w:pStyle w:val="Compact"/>
                    <w:jc w:val="left"/>
                    <w:jc w:val="center"/>
                  </w:pPr>
                  <w:r>
                    <w:t xml:space="preserve">med_class</w:t>
                  </w:r>
                </w:p>
              </w:tc>
              <w:tc>
                <w:tcPr/>
                <w:p>
                  <w:pPr>
                    <w:pStyle w:val="Compact"/>
                    <w:jc w:val="right"/>
                    <w:jc w:val="center"/>
                  </w:pPr>
                  <w:r>
                    <w:t xml:space="preserve">mort_rate</w:t>
                  </w:r>
                </w:p>
              </w:tc>
            </w:tr>
            <w:tr>
              <w:tc>
                <w:tcPr/>
                <w:p>
                  <w:pPr>
                    <w:pStyle w:val="Compact"/>
                    <w:jc w:val="left"/>
                    <w:jc w:val="center"/>
                  </w:pPr>
                  <w:r>
                    <w:t xml:space="preserve">Not Received</w:t>
                  </w:r>
                </w:p>
              </w:tc>
              <w:tc>
                <w:tcPr/>
                <w:p>
                  <w:pPr>
                    <w:pStyle w:val="Compact"/>
                    <w:jc w:val="right"/>
                    <w:jc w:val="center"/>
                  </w:pPr>
                  <w:r>
                    <w:t xml:space="preserve">4984</w:t>
                  </w:r>
                </w:p>
              </w:tc>
              <w:tc>
                <w:tcPr/>
                <w:p>
                  <w:pPr>
                    <w:pStyle w:val="Compact"/>
                    <w:jc w:val="right"/>
                    <w:jc w:val="center"/>
                  </w:pPr>
                  <w:r>
                    <w:t xml:space="preserve">256</w:t>
                  </w:r>
                </w:p>
              </w:tc>
              <w:tc>
                <w:tcPr/>
                <w:p>
                  <w:pPr>
                    <w:pStyle w:val="Compact"/>
                    <w:jc w:val="left"/>
                    <w:jc w:val="center"/>
                  </w:pPr>
                  <w:r>
                    <w:t xml:space="preserve">Antiplatelet</w:t>
                  </w:r>
                </w:p>
              </w:tc>
              <w:tc>
                <w:tcPr/>
                <w:p>
                  <w:pPr>
                    <w:pStyle w:val="Compact"/>
                    <w:jc w:val="right"/>
                    <w:jc w:val="center"/>
                  </w:pPr>
                  <w:r>
                    <w:t xml:space="preserve">0.0513644</w:t>
                  </w:r>
                </w:p>
              </w:tc>
            </w:tr>
            <w:tr>
              <w:tc>
                <w:tcPr/>
                <w:p>
                  <w:pPr>
                    <w:pStyle w:val="Compact"/>
                    <w:jc w:val="left"/>
                    <w:jc w:val="center"/>
                  </w:pPr>
                  <w:r>
                    <w:t xml:space="preserve">Received</w:t>
                  </w:r>
                </w:p>
              </w:tc>
              <w:tc>
                <w:tcPr/>
                <w:p>
                  <w:pPr>
                    <w:pStyle w:val="Compact"/>
                    <w:jc w:val="right"/>
                    <w:jc w:val="center"/>
                  </w:pPr>
                  <w:r>
                    <w:t xml:space="preserve">2891</w:t>
                  </w:r>
                </w:p>
              </w:tc>
              <w:tc>
                <w:tcPr/>
                <w:p>
                  <w:pPr>
                    <w:pStyle w:val="Compact"/>
                    <w:jc w:val="right"/>
                    <w:jc w:val="center"/>
                  </w:pPr>
                  <w:r>
                    <w:t xml:space="preserve">128</w:t>
                  </w:r>
                </w:p>
              </w:tc>
              <w:tc>
                <w:tcPr/>
                <w:p>
                  <w:pPr>
                    <w:pStyle w:val="Compact"/>
                    <w:jc w:val="left"/>
                    <w:jc w:val="center"/>
                  </w:pPr>
                  <w:r>
                    <w:t xml:space="preserve">Antiplatelet</w:t>
                  </w:r>
                </w:p>
              </w:tc>
              <w:tc>
                <w:tcPr/>
                <w:p>
                  <w:pPr>
                    <w:pStyle w:val="Compact"/>
                    <w:jc w:val="right"/>
                    <w:jc w:val="center"/>
                  </w:pPr>
                  <w:r>
                    <w:t xml:space="preserve">0.0442753</w:t>
                  </w:r>
                </w:p>
              </w:tc>
            </w:tr>
            <w:tr>
              <w:tc>
                <w:tcPr/>
                <w:p>
                  <w:pPr>
                    <w:pStyle w:val="Compact"/>
                    <w:jc w:val="left"/>
                    <w:jc w:val="center"/>
                  </w:pPr>
                  <w:r>
                    <w:t xml:space="preserve">Not Received</w:t>
                  </w:r>
                </w:p>
              </w:tc>
              <w:tc>
                <w:tcPr/>
                <w:p>
                  <w:pPr>
                    <w:pStyle w:val="Compact"/>
                    <w:jc w:val="right"/>
                    <w:jc w:val="center"/>
                  </w:pPr>
                  <w:r>
                    <w:t xml:space="preserve">1714</w:t>
                  </w:r>
                </w:p>
              </w:tc>
              <w:tc>
                <w:tcPr/>
                <w:p>
                  <w:pPr>
                    <w:pStyle w:val="Compact"/>
                    <w:jc w:val="right"/>
                    <w:jc w:val="center"/>
                  </w:pPr>
                  <w:r>
                    <w:t xml:space="preserve">60</w:t>
                  </w:r>
                </w:p>
              </w:tc>
              <w:tc>
                <w:tcPr/>
                <w:p>
                  <w:pPr>
                    <w:pStyle w:val="Compact"/>
                    <w:jc w:val="left"/>
                    <w:jc w:val="center"/>
                  </w:pPr>
                  <w:r>
                    <w:t xml:space="preserve">Anticoagulant</w:t>
                  </w:r>
                </w:p>
              </w:tc>
              <w:tc>
                <w:tcPr/>
                <w:p>
                  <w:pPr>
                    <w:pStyle w:val="Compact"/>
                    <w:jc w:val="right"/>
                    <w:jc w:val="center"/>
                  </w:pPr>
                  <w:r>
                    <w:t xml:space="preserve">0.0350058</w:t>
                  </w:r>
                </w:p>
              </w:tc>
            </w:tr>
            <w:tr>
              <w:tc>
                <w:tcPr/>
                <w:p>
                  <w:pPr>
                    <w:pStyle w:val="Compact"/>
                    <w:jc w:val="left"/>
                    <w:jc w:val="center"/>
                  </w:pPr>
                  <w:r>
                    <w:t xml:space="preserve">Received</w:t>
                  </w:r>
                </w:p>
              </w:tc>
              <w:tc>
                <w:tcPr/>
                <w:p>
                  <w:pPr>
                    <w:pStyle w:val="Compact"/>
                    <w:jc w:val="right"/>
                    <w:jc w:val="center"/>
                  </w:pPr>
                  <w:r>
                    <w:t xml:space="preserve">6161</w:t>
                  </w:r>
                </w:p>
              </w:tc>
              <w:tc>
                <w:tcPr/>
                <w:p>
                  <w:pPr>
                    <w:pStyle w:val="Compact"/>
                    <w:jc w:val="right"/>
                    <w:jc w:val="center"/>
                  </w:pPr>
                  <w:r>
                    <w:t xml:space="preserve">324</w:t>
                  </w:r>
                </w:p>
              </w:tc>
              <w:tc>
                <w:tcPr/>
                <w:p>
                  <w:pPr>
                    <w:pStyle w:val="Compact"/>
                    <w:jc w:val="left"/>
                    <w:jc w:val="center"/>
                  </w:pPr>
                  <w:r>
                    <w:t xml:space="preserve">Anticoagulant</w:t>
                  </w:r>
                </w:p>
              </w:tc>
              <w:tc>
                <w:tcPr/>
                <w:p>
                  <w:pPr>
                    <w:pStyle w:val="Compact"/>
                    <w:jc w:val="right"/>
                    <w:jc w:val="center"/>
                  </w:pPr>
                  <w:r>
                    <w:t xml:space="preserve">0.0525889</w:t>
                  </w:r>
                </w:p>
              </w:tc>
            </w:tr>
            <w:tr>
              <w:tc>
                <w:tcPr/>
                <w:p>
                  <w:pPr>
                    <w:pStyle w:val="Compact"/>
                    <w:jc w:val="left"/>
                    <w:jc w:val="center"/>
                  </w:pPr>
                  <w:r>
                    <w:t xml:space="preserve">Not Received</w:t>
                  </w:r>
                </w:p>
              </w:tc>
              <w:tc>
                <w:tcPr/>
                <w:p>
                  <w:pPr>
                    <w:pStyle w:val="Compact"/>
                    <w:jc w:val="right"/>
                    <w:jc w:val="center"/>
                  </w:pPr>
                  <w:r>
                    <w:t xml:space="preserve">6408</w:t>
                  </w:r>
                </w:p>
              </w:tc>
              <w:tc>
                <w:tcPr/>
                <w:p>
                  <w:pPr>
                    <w:pStyle w:val="Compact"/>
                    <w:jc w:val="right"/>
                    <w:jc w:val="center"/>
                  </w:pPr>
                  <w:r>
                    <w:t xml:space="preserve">341</w:t>
                  </w:r>
                </w:p>
              </w:tc>
              <w:tc>
                <w:tcPr/>
                <w:p>
                  <w:pPr>
                    <w:pStyle w:val="Compact"/>
                    <w:jc w:val="left"/>
                    <w:jc w:val="center"/>
                  </w:pPr>
                  <w:r>
                    <w:t xml:space="preserve">Ace Inhibitor</w:t>
                  </w:r>
                </w:p>
              </w:tc>
              <w:tc>
                <w:tcPr/>
                <w:p>
                  <w:pPr>
                    <w:pStyle w:val="Compact"/>
                    <w:jc w:val="right"/>
                    <w:jc w:val="center"/>
                  </w:pPr>
                  <w:r>
                    <w:t xml:space="preserve">0.0532147</w:t>
                  </w:r>
                </w:p>
              </w:tc>
            </w:tr>
            <w:tr>
              <w:tc>
                <w:tcPr/>
                <w:p>
                  <w:pPr>
                    <w:pStyle w:val="Compact"/>
                    <w:jc w:val="left"/>
                    <w:jc w:val="center"/>
                  </w:pPr>
                  <w:r>
                    <w:t xml:space="preserve">Received</w:t>
                  </w:r>
                </w:p>
              </w:tc>
              <w:tc>
                <w:tcPr/>
                <w:p>
                  <w:pPr>
                    <w:pStyle w:val="Compact"/>
                    <w:jc w:val="right"/>
                    <w:jc w:val="center"/>
                  </w:pPr>
                  <w:r>
                    <w:t xml:space="preserve">1467</w:t>
                  </w:r>
                </w:p>
              </w:tc>
              <w:tc>
                <w:tcPr/>
                <w:p>
                  <w:pPr>
                    <w:pStyle w:val="Compact"/>
                    <w:jc w:val="right"/>
                    <w:jc w:val="center"/>
                  </w:pPr>
                  <w:r>
                    <w:t xml:space="preserve">43</w:t>
                  </w:r>
                </w:p>
              </w:tc>
              <w:tc>
                <w:tcPr/>
                <w:p>
                  <w:pPr>
                    <w:pStyle w:val="Compact"/>
                    <w:jc w:val="left"/>
                    <w:jc w:val="center"/>
                  </w:pPr>
                  <w:r>
                    <w:t xml:space="preserve">Ace Inhibitor</w:t>
                  </w:r>
                </w:p>
              </w:tc>
              <w:tc>
                <w:tcPr/>
                <w:p>
                  <w:pPr>
                    <w:pStyle w:val="Compact"/>
                    <w:jc w:val="right"/>
                    <w:jc w:val="center"/>
                  </w:pPr>
                  <w:r>
                    <w:t xml:space="preserve">0.0293115</w:t>
                  </w:r>
                </w:p>
              </w:tc>
            </w:tr>
            <w:tr>
              <w:tc>
                <w:tcPr/>
                <w:p>
                  <w:pPr>
                    <w:pStyle w:val="Compact"/>
                    <w:jc w:val="left"/>
                    <w:jc w:val="center"/>
                  </w:pPr>
                  <w:r>
                    <w:t xml:space="preserve">Not Received</w:t>
                  </w:r>
                </w:p>
              </w:tc>
              <w:tc>
                <w:tcPr/>
                <w:p>
                  <w:pPr>
                    <w:pStyle w:val="Compact"/>
                    <w:jc w:val="right"/>
                    <w:jc w:val="center"/>
                  </w:pPr>
                  <w:r>
                    <w:t xml:space="preserve">6510</w:t>
                  </w:r>
                </w:p>
              </w:tc>
              <w:tc>
                <w:tcPr/>
                <w:p>
                  <w:pPr>
                    <w:pStyle w:val="Compact"/>
                    <w:jc w:val="right"/>
                    <w:jc w:val="center"/>
                  </w:pPr>
                  <w:r>
                    <w:t xml:space="preserve">330</w:t>
                  </w:r>
                </w:p>
              </w:tc>
              <w:tc>
                <w:tcPr/>
                <w:p>
                  <w:pPr>
                    <w:pStyle w:val="Compact"/>
                    <w:jc w:val="left"/>
                    <w:jc w:val="center"/>
                  </w:pPr>
                  <w:r>
                    <w:t xml:space="preserve">Calcium Channel Blocker</w:t>
                  </w:r>
                </w:p>
              </w:tc>
              <w:tc>
                <w:tcPr/>
                <w:p>
                  <w:pPr>
                    <w:pStyle w:val="Compact"/>
                    <w:jc w:val="right"/>
                    <w:jc w:val="center"/>
                  </w:pPr>
                  <w:r>
                    <w:t xml:space="preserve">0.0506912</w:t>
                  </w:r>
                </w:p>
              </w:tc>
            </w:tr>
            <w:tr>
              <w:tc>
                <w:tcPr/>
                <w:p>
                  <w:pPr>
                    <w:pStyle w:val="Compact"/>
                    <w:jc w:val="left"/>
                    <w:jc w:val="center"/>
                  </w:pPr>
                  <w:r>
                    <w:t xml:space="preserve">Received</w:t>
                  </w:r>
                </w:p>
              </w:tc>
              <w:tc>
                <w:tcPr/>
                <w:p>
                  <w:pPr>
                    <w:pStyle w:val="Compact"/>
                    <w:jc w:val="right"/>
                    <w:jc w:val="center"/>
                  </w:pPr>
                  <w:r>
                    <w:t xml:space="preserve">1365</w:t>
                  </w:r>
                </w:p>
              </w:tc>
              <w:tc>
                <w:tcPr/>
                <w:p>
                  <w:pPr>
                    <w:pStyle w:val="Compact"/>
                    <w:jc w:val="right"/>
                    <w:jc w:val="center"/>
                  </w:pPr>
                  <w:r>
                    <w:t xml:space="preserve">54</w:t>
                  </w:r>
                </w:p>
              </w:tc>
              <w:tc>
                <w:tcPr/>
                <w:p>
                  <w:pPr>
                    <w:pStyle w:val="Compact"/>
                    <w:jc w:val="left"/>
                    <w:jc w:val="center"/>
                  </w:pPr>
                  <w:r>
                    <w:t xml:space="preserve">Calcium Channel Blocker</w:t>
                  </w:r>
                </w:p>
              </w:tc>
              <w:tc>
                <w:tcPr/>
                <w:p>
                  <w:pPr>
                    <w:pStyle w:val="Compact"/>
                    <w:jc w:val="right"/>
                    <w:jc w:val="center"/>
                  </w:pPr>
                  <w:r>
                    <w:t xml:space="preserve">0.0395604</w:t>
                  </w:r>
                </w:p>
              </w:tc>
            </w:tr>
            <w:tr>
              <w:tc>
                <w:tcPr/>
                <w:p>
                  <w:pPr>
                    <w:pStyle w:val="Compact"/>
                    <w:jc w:val="left"/>
                    <w:jc w:val="center"/>
                  </w:pPr>
                  <w:r>
                    <w:t xml:space="preserve">Not Received</w:t>
                  </w:r>
                </w:p>
              </w:tc>
              <w:tc>
                <w:tcPr/>
                <w:p>
                  <w:pPr>
                    <w:pStyle w:val="Compact"/>
                    <w:jc w:val="right"/>
                    <w:jc w:val="center"/>
                  </w:pPr>
                  <w:r>
                    <w:t xml:space="preserve">5873</w:t>
                  </w:r>
                </w:p>
              </w:tc>
              <w:tc>
                <w:tcPr/>
                <w:p>
                  <w:pPr>
                    <w:pStyle w:val="Compact"/>
                    <w:jc w:val="right"/>
                    <w:jc w:val="center"/>
                  </w:pPr>
                  <w:r>
                    <w:t xml:space="preserve">218</w:t>
                  </w:r>
                </w:p>
              </w:tc>
              <w:tc>
                <w:tcPr/>
                <w:p>
                  <w:pPr>
                    <w:pStyle w:val="Compact"/>
                    <w:jc w:val="left"/>
                    <w:jc w:val="center"/>
                  </w:pPr>
                  <w:r>
                    <w:t xml:space="preserve">Diuretic</w:t>
                  </w:r>
                </w:p>
              </w:tc>
              <w:tc>
                <w:tcPr/>
                <w:p>
                  <w:pPr>
                    <w:pStyle w:val="Compact"/>
                    <w:jc w:val="right"/>
                    <w:jc w:val="center"/>
                  </w:pPr>
                  <w:r>
                    <w:t xml:space="preserve">0.0371190</w:t>
                  </w:r>
                </w:p>
              </w:tc>
            </w:tr>
            <w:tr>
              <w:tc>
                <w:tcPr/>
                <w:p>
                  <w:pPr>
                    <w:pStyle w:val="Compact"/>
                    <w:jc w:val="left"/>
                    <w:jc w:val="center"/>
                  </w:pPr>
                  <w:r>
                    <w:t xml:space="preserve">Received</w:t>
                  </w:r>
                </w:p>
              </w:tc>
              <w:tc>
                <w:tcPr/>
                <w:p>
                  <w:pPr>
                    <w:pStyle w:val="Compact"/>
                    <w:jc w:val="right"/>
                    <w:jc w:val="center"/>
                  </w:pPr>
                  <w:r>
                    <w:t xml:space="preserve">2002</w:t>
                  </w:r>
                </w:p>
              </w:tc>
              <w:tc>
                <w:tcPr/>
                <w:p>
                  <w:pPr>
                    <w:pStyle w:val="Compact"/>
                    <w:jc w:val="right"/>
                    <w:jc w:val="center"/>
                  </w:pPr>
                  <w:r>
                    <w:t xml:space="preserve">166</w:t>
                  </w:r>
                </w:p>
              </w:tc>
              <w:tc>
                <w:tcPr/>
                <w:p>
                  <w:pPr>
                    <w:pStyle w:val="Compact"/>
                    <w:jc w:val="left"/>
                    <w:jc w:val="center"/>
                  </w:pPr>
                  <w:r>
                    <w:t xml:space="preserve">Diuretic</w:t>
                  </w:r>
                </w:p>
              </w:tc>
              <w:tc>
                <w:tcPr/>
                <w:p>
                  <w:pPr>
                    <w:pStyle w:val="Compact"/>
                    <w:jc w:val="right"/>
                    <w:jc w:val="center"/>
                  </w:pPr>
                  <w:r>
                    <w:t xml:space="preserve">0.0829171</w:t>
                  </w:r>
                </w:p>
              </w:tc>
            </w:tr>
            <w:tr>
              <w:tc>
                <w:tcPr/>
                <w:p>
                  <w:pPr>
                    <w:pStyle w:val="Compact"/>
                    <w:jc w:val="left"/>
                    <w:jc w:val="center"/>
                  </w:pPr>
                  <w:r>
                    <w:t xml:space="preserve">Not Received</w:t>
                  </w:r>
                </w:p>
              </w:tc>
              <w:tc>
                <w:tcPr/>
                <w:p>
                  <w:pPr>
                    <w:pStyle w:val="Compact"/>
                    <w:jc w:val="right"/>
                    <w:jc w:val="center"/>
                  </w:pPr>
                  <w:r>
                    <w:t xml:space="preserve">4845</w:t>
                  </w:r>
                </w:p>
              </w:tc>
              <w:tc>
                <w:tcPr/>
                <w:p>
                  <w:pPr>
                    <w:pStyle w:val="Compact"/>
                    <w:jc w:val="right"/>
                    <w:jc w:val="center"/>
                  </w:pPr>
                  <w:r>
                    <w:t xml:space="preserve">130</w:t>
                  </w:r>
                </w:p>
              </w:tc>
              <w:tc>
                <w:tcPr/>
                <w:p>
                  <w:pPr>
                    <w:pStyle w:val="Compact"/>
                    <w:jc w:val="left"/>
                    <w:jc w:val="center"/>
                  </w:pPr>
                  <w:r>
                    <w:t xml:space="preserve">Antibiotic</w:t>
                  </w:r>
                </w:p>
              </w:tc>
              <w:tc>
                <w:tcPr/>
                <w:p>
                  <w:pPr>
                    <w:pStyle w:val="Compact"/>
                    <w:jc w:val="right"/>
                    <w:jc w:val="center"/>
                  </w:pPr>
                  <w:r>
                    <w:t xml:space="preserve">0.0268318</w:t>
                  </w:r>
                </w:p>
              </w:tc>
            </w:tr>
            <w:tr>
              <w:tc>
                <w:tcPr/>
                <w:p>
                  <w:pPr>
                    <w:pStyle w:val="Compact"/>
                    <w:jc w:val="left"/>
                    <w:jc w:val="center"/>
                  </w:pPr>
                  <w:r>
                    <w:t xml:space="preserve">Received</w:t>
                  </w:r>
                </w:p>
              </w:tc>
              <w:tc>
                <w:tcPr/>
                <w:p>
                  <w:pPr>
                    <w:pStyle w:val="Compact"/>
                    <w:jc w:val="right"/>
                    <w:jc w:val="center"/>
                  </w:pPr>
                  <w:r>
                    <w:t xml:space="preserve">3030</w:t>
                  </w:r>
                </w:p>
              </w:tc>
              <w:tc>
                <w:tcPr/>
                <w:p>
                  <w:pPr>
                    <w:pStyle w:val="Compact"/>
                    <w:jc w:val="right"/>
                    <w:jc w:val="center"/>
                  </w:pPr>
                  <w:r>
                    <w:t xml:space="preserve">254</w:t>
                  </w:r>
                </w:p>
              </w:tc>
              <w:tc>
                <w:tcPr/>
                <w:p>
                  <w:pPr>
                    <w:pStyle w:val="Compact"/>
                    <w:jc w:val="left"/>
                    <w:jc w:val="center"/>
                  </w:pPr>
                  <w:r>
                    <w:t xml:space="preserve">Antibiotic</w:t>
                  </w:r>
                </w:p>
              </w:tc>
              <w:tc>
                <w:tcPr/>
                <w:p>
                  <w:pPr>
                    <w:pStyle w:val="Compact"/>
                    <w:jc w:val="right"/>
                    <w:jc w:val="center"/>
                  </w:pPr>
                  <w:r>
                    <w:t xml:space="preserve">0.0838284</w:t>
                  </w:r>
                </w:p>
              </w:tc>
            </w:tr>
            <w:tr>
              <w:tc>
                <w:tcPr/>
                <w:p>
                  <w:pPr>
                    <w:pStyle w:val="Compact"/>
                    <w:jc w:val="left"/>
                    <w:jc w:val="center"/>
                  </w:pPr>
                  <w:r>
                    <w:t xml:space="preserve">Not Received</w:t>
                  </w:r>
                </w:p>
              </w:tc>
              <w:tc>
                <w:tcPr/>
                <w:p>
                  <w:pPr>
                    <w:pStyle w:val="Compact"/>
                    <w:jc w:val="right"/>
                    <w:jc w:val="center"/>
                  </w:pPr>
                  <w:r>
                    <w:t xml:space="preserve">5159</w:t>
                  </w:r>
                </w:p>
              </w:tc>
              <w:tc>
                <w:tcPr/>
                <w:p>
                  <w:pPr>
                    <w:pStyle w:val="Compact"/>
                    <w:jc w:val="right"/>
                    <w:jc w:val="center"/>
                  </w:pPr>
                  <w:r>
                    <w:t xml:space="preserve">188</w:t>
                  </w:r>
                </w:p>
              </w:tc>
              <w:tc>
                <w:tcPr/>
                <w:p>
                  <w:pPr>
                    <w:pStyle w:val="Compact"/>
                    <w:jc w:val="left"/>
                    <w:jc w:val="center"/>
                  </w:pPr>
                  <w:r>
                    <w:t xml:space="preserve">Insulin</w:t>
                  </w:r>
                </w:p>
              </w:tc>
              <w:tc>
                <w:tcPr/>
                <w:p>
                  <w:pPr>
                    <w:pStyle w:val="Compact"/>
                    <w:jc w:val="right"/>
                    <w:jc w:val="center"/>
                  </w:pPr>
                  <w:r>
                    <w:t xml:space="preserve">0.0364412</w:t>
                  </w:r>
                </w:p>
              </w:tc>
            </w:tr>
            <w:tr>
              <w:tc>
                <w:tcPr/>
                <w:p>
                  <w:pPr>
                    <w:pStyle w:val="Compact"/>
                    <w:jc w:val="left"/>
                    <w:jc w:val="center"/>
                  </w:pPr>
                  <w:r>
                    <w:t xml:space="preserve">Received</w:t>
                  </w:r>
                </w:p>
              </w:tc>
              <w:tc>
                <w:tcPr/>
                <w:p>
                  <w:pPr>
                    <w:pStyle w:val="Compact"/>
                    <w:jc w:val="right"/>
                    <w:jc w:val="center"/>
                  </w:pPr>
                  <w:r>
                    <w:t xml:space="preserve">2716</w:t>
                  </w:r>
                </w:p>
              </w:tc>
              <w:tc>
                <w:tcPr/>
                <w:p>
                  <w:pPr>
                    <w:pStyle w:val="Compact"/>
                    <w:jc w:val="right"/>
                    <w:jc w:val="center"/>
                  </w:pPr>
                  <w:r>
                    <w:t xml:space="preserve">196</w:t>
                  </w:r>
                </w:p>
              </w:tc>
              <w:tc>
                <w:tcPr/>
                <w:p>
                  <w:pPr>
                    <w:pStyle w:val="Compact"/>
                    <w:jc w:val="left"/>
                    <w:jc w:val="center"/>
                  </w:pPr>
                  <w:r>
                    <w:t xml:space="preserve">Insulin</w:t>
                  </w:r>
                </w:p>
              </w:tc>
              <w:tc>
                <w:tcPr/>
                <w:p>
                  <w:pPr>
                    <w:pStyle w:val="Compact"/>
                    <w:jc w:val="right"/>
                    <w:jc w:val="center"/>
                  </w:pPr>
                  <w:r>
                    <w:t xml:space="preserve">0.0721649</w:t>
                  </w:r>
                </w:p>
              </w:tc>
            </w:tr>
            <w:tr>
              <w:tc>
                <w:tcPr/>
                <w:p>
                  <w:pPr>
                    <w:pStyle w:val="Compact"/>
                    <w:jc w:val="left"/>
                    <w:jc w:val="center"/>
                  </w:pPr>
                  <w:r>
                    <w:t xml:space="preserve">Not Received</w:t>
                  </w:r>
                </w:p>
              </w:tc>
              <w:tc>
                <w:tcPr/>
                <w:p>
                  <w:pPr>
                    <w:pStyle w:val="Compact"/>
                    <w:jc w:val="right"/>
                    <w:jc w:val="center"/>
                  </w:pPr>
                  <w:r>
                    <w:t xml:space="preserve">3271</w:t>
                  </w:r>
                </w:p>
              </w:tc>
              <w:tc>
                <w:tcPr/>
                <w:p>
                  <w:pPr>
                    <w:pStyle w:val="Compact"/>
                    <w:jc w:val="right"/>
                    <w:jc w:val="center"/>
                  </w:pPr>
                  <w:r>
                    <w:t xml:space="preserve">71</w:t>
                  </w:r>
                </w:p>
              </w:tc>
              <w:tc>
                <w:tcPr/>
                <w:p>
                  <w:pPr>
                    <w:pStyle w:val="Compact"/>
                    <w:jc w:val="left"/>
                    <w:jc w:val="center"/>
                  </w:pPr>
                  <w:r>
                    <w:t xml:space="preserve">Opioid</w:t>
                  </w:r>
                </w:p>
              </w:tc>
              <w:tc>
                <w:tcPr/>
                <w:p>
                  <w:pPr>
                    <w:pStyle w:val="Compact"/>
                    <w:jc w:val="right"/>
                    <w:jc w:val="center"/>
                  </w:pPr>
                  <w:r>
                    <w:t xml:space="preserve">0.0217059</w:t>
                  </w:r>
                </w:p>
              </w:tc>
            </w:tr>
            <w:tr>
              <w:tc>
                <w:tcPr/>
                <w:p>
                  <w:pPr>
                    <w:pStyle w:val="Compact"/>
                    <w:jc w:val="left"/>
                    <w:jc w:val="center"/>
                  </w:pPr>
                  <w:r>
                    <w:t xml:space="preserve">Received</w:t>
                  </w:r>
                </w:p>
              </w:tc>
              <w:tc>
                <w:tcPr/>
                <w:p>
                  <w:pPr>
                    <w:pStyle w:val="Compact"/>
                    <w:jc w:val="right"/>
                    <w:jc w:val="center"/>
                  </w:pPr>
                  <w:r>
                    <w:t xml:space="preserve">4604</w:t>
                  </w:r>
                </w:p>
              </w:tc>
              <w:tc>
                <w:tcPr/>
                <w:p>
                  <w:pPr>
                    <w:pStyle w:val="Compact"/>
                    <w:jc w:val="right"/>
                    <w:jc w:val="center"/>
                  </w:pPr>
                  <w:r>
                    <w:t xml:space="preserve">313</w:t>
                  </w:r>
                </w:p>
              </w:tc>
              <w:tc>
                <w:tcPr/>
                <w:p>
                  <w:pPr>
                    <w:pStyle w:val="Compact"/>
                    <w:jc w:val="left"/>
                    <w:jc w:val="center"/>
                  </w:pPr>
                  <w:r>
                    <w:t xml:space="preserve">Opioid</w:t>
                  </w:r>
                </w:p>
              </w:tc>
              <w:tc>
                <w:tcPr/>
                <w:p>
                  <w:pPr>
                    <w:pStyle w:val="Compact"/>
                    <w:jc w:val="right"/>
                    <w:jc w:val="center"/>
                  </w:pPr>
                  <w:r>
                    <w:t xml:space="preserve">0.0679844</w:t>
                  </w:r>
                </w:p>
              </w:tc>
            </w:tr>
            <w:tr>
              <w:tc>
                <w:tcPr/>
                <w:p>
                  <w:pPr>
                    <w:pStyle w:val="Compact"/>
                    <w:jc w:val="left"/>
                    <w:jc w:val="center"/>
                  </w:pPr>
                  <w:r>
                    <w:t xml:space="preserve">Not Received</w:t>
                  </w:r>
                </w:p>
              </w:tc>
              <w:tc>
                <w:tcPr/>
                <w:p>
                  <w:pPr>
                    <w:pStyle w:val="Compact"/>
                    <w:jc w:val="right"/>
                    <w:jc w:val="center"/>
                  </w:pPr>
                  <w:r>
                    <w:t xml:space="preserve">7396</w:t>
                  </w:r>
                </w:p>
              </w:tc>
              <w:tc>
                <w:tcPr/>
                <w:p>
                  <w:pPr>
                    <w:pStyle w:val="Compact"/>
                    <w:jc w:val="right"/>
                    <w:jc w:val="center"/>
                  </w:pPr>
                  <w:r>
                    <w:t xml:space="preserve">259</w:t>
                  </w:r>
                </w:p>
              </w:tc>
              <w:tc>
                <w:tcPr/>
                <w:p>
                  <w:pPr>
                    <w:pStyle w:val="Compact"/>
                    <w:jc w:val="left"/>
                    <w:jc w:val="center"/>
                  </w:pPr>
                  <w:r>
                    <w:t xml:space="preserve">Vasopressor</w:t>
                  </w:r>
                </w:p>
              </w:tc>
              <w:tc>
                <w:tcPr/>
                <w:p>
                  <w:pPr>
                    <w:pStyle w:val="Compact"/>
                    <w:jc w:val="right"/>
                    <w:jc w:val="center"/>
                  </w:pPr>
                  <w:r>
                    <w:t xml:space="preserve">0.0350189</w:t>
                  </w:r>
                </w:p>
              </w:tc>
            </w:tr>
            <w:tr>
              <w:tc>
                <w:tcPr/>
                <w:p>
                  <w:pPr>
                    <w:pStyle w:val="Compact"/>
                    <w:jc w:val="left"/>
                    <w:jc w:val="center"/>
                  </w:pPr>
                  <w:r>
                    <w:t xml:space="preserve">Received</w:t>
                  </w:r>
                </w:p>
              </w:tc>
              <w:tc>
                <w:tcPr/>
                <w:p>
                  <w:pPr>
                    <w:pStyle w:val="Compact"/>
                    <w:jc w:val="right"/>
                    <w:jc w:val="center"/>
                  </w:pPr>
                  <w:r>
                    <w:t xml:space="preserve">479</w:t>
                  </w:r>
                </w:p>
              </w:tc>
              <w:tc>
                <w:tcPr/>
                <w:p>
                  <w:pPr>
                    <w:pStyle w:val="Compact"/>
                    <w:jc w:val="right"/>
                    <w:jc w:val="center"/>
                  </w:pPr>
                  <w:r>
                    <w:t xml:space="preserve">125</w:t>
                  </w:r>
                </w:p>
              </w:tc>
              <w:tc>
                <w:tcPr/>
                <w:p>
                  <w:pPr>
                    <w:pStyle w:val="Compact"/>
                    <w:jc w:val="left"/>
                    <w:jc w:val="center"/>
                  </w:pPr>
                  <w:r>
                    <w:t xml:space="preserve">Vasopressor</w:t>
                  </w:r>
                </w:p>
              </w:tc>
              <w:tc>
                <w:tcPr/>
                <w:p>
                  <w:pPr>
                    <w:pStyle w:val="Compact"/>
                    <w:jc w:val="right"/>
                    <w:jc w:val="center"/>
                  </w:pPr>
                  <w:r>
                    <w:t xml:space="preserve">0.2609603</w:t>
                  </w:r>
                </w:p>
              </w:tc>
            </w:tr>
            <w:tr>
              <w:tc>
                <w:tcPr/>
                <w:p>
                  <w:pPr>
                    <w:pStyle w:val="Compact"/>
                    <w:jc w:val="left"/>
                    <w:jc w:val="center"/>
                  </w:pPr>
                  <w:r>
                    <w:t xml:space="preserve">Not Received</w:t>
                  </w:r>
                </w:p>
              </w:tc>
              <w:tc>
                <w:tcPr/>
                <w:p>
                  <w:pPr>
                    <w:pStyle w:val="Compact"/>
                    <w:jc w:val="right"/>
                    <w:jc w:val="center"/>
                  </w:pPr>
                  <w:r>
                    <w:t xml:space="preserve">5427</w:t>
                  </w:r>
                </w:p>
              </w:tc>
              <w:tc>
                <w:tcPr/>
                <w:p>
                  <w:pPr>
                    <w:pStyle w:val="Compact"/>
                    <w:jc w:val="right"/>
                    <w:jc w:val="center"/>
                  </w:pPr>
                  <w:r>
                    <w:t xml:space="preserve">133</w:t>
                  </w:r>
                </w:p>
              </w:tc>
              <w:tc>
                <w:tcPr/>
                <w:p>
                  <w:pPr>
                    <w:pStyle w:val="Compact"/>
                    <w:jc w:val="left"/>
                    <w:jc w:val="center"/>
                  </w:pPr>
                  <w:r>
                    <w:t xml:space="preserve">Sedative</w:t>
                  </w:r>
                </w:p>
              </w:tc>
              <w:tc>
                <w:tcPr/>
                <w:p>
                  <w:pPr>
                    <w:pStyle w:val="Compact"/>
                    <w:jc w:val="right"/>
                    <w:jc w:val="center"/>
                  </w:pPr>
                  <w:r>
                    <w:t xml:space="preserve">0.0245071</w:t>
                  </w:r>
                </w:p>
              </w:tc>
            </w:tr>
            <w:tr>
              <w:tc>
                <w:tcPr/>
                <w:p>
                  <w:pPr>
                    <w:pStyle w:val="Compact"/>
                    <w:jc w:val="left"/>
                    <w:jc w:val="center"/>
                  </w:pPr>
                  <w:r>
                    <w:t xml:space="preserve">Received</w:t>
                  </w:r>
                </w:p>
              </w:tc>
              <w:tc>
                <w:tcPr/>
                <w:p>
                  <w:pPr>
                    <w:pStyle w:val="Compact"/>
                    <w:jc w:val="right"/>
                    <w:jc w:val="center"/>
                  </w:pPr>
                  <w:r>
                    <w:t xml:space="preserve">2448</w:t>
                  </w:r>
                </w:p>
              </w:tc>
              <w:tc>
                <w:tcPr/>
                <w:p>
                  <w:pPr>
                    <w:pStyle w:val="Compact"/>
                    <w:jc w:val="right"/>
                    <w:jc w:val="center"/>
                  </w:pPr>
                  <w:r>
                    <w:t xml:space="preserve">251</w:t>
                  </w:r>
                </w:p>
              </w:tc>
              <w:tc>
                <w:tcPr/>
                <w:p>
                  <w:pPr>
                    <w:pStyle w:val="Compact"/>
                    <w:jc w:val="left"/>
                    <w:jc w:val="center"/>
                  </w:pPr>
                  <w:r>
                    <w:t xml:space="preserve">Sedative</w:t>
                  </w:r>
                </w:p>
              </w:tc>
              <w:tc>
                <w:tcPr/>
                <w:p>
                  <w:pPr>
                    <w:pStyle w:val="Compact"/>
                    <w:jc w:val="right"/>
                    <w:jc w:val="center"/>
                  </w:pPr>
                  <w:r>
                    <w:t xml:space="preserve">0.1025327</w:t>
                  </w:r>
                </w:p>
              </w:tc>
            </w:tr>
            <w:tr>
              <w:tc>
                <w:tcPr/>
                <w:p>
                  <w:pPr>
                    <w:pStyle w:val="Compact"/>
                    <w:jc w:val="left"/>
                    <w:jc w:val="center"/>
                  </w:pPr>
                  <w:r>
                    <w:t xml:space="preserve">Not Received</w:t>
                  </w:r>
                </w:p>
              </w:tc>
              <w:tc>
                <w:tcPr/>
                <w:p>
                  <w:pPr>
                    <w:pStyle w:val="Compact"/>
                    <w:jc w:val="right"/>
                    <w:jc w:val="center"/>
                  </w:pPr>
                  <w:r>
                    <w:t xml:space="preserve">6659</w:t>
                  </w:r>
                </w:p>
              </w:tc>
              <w:tc>
                <w:tcPr/>
                <w:p>
                  <w:pPr>
                    <w:pStyle w:val="Compact"/>
                    <w:jc w:val="right"/>
                    <w:jc w:val="center"/>
                  </w:pPr>
                  <w:r>
                    <w:t xml:space="preserve">291</w:t>
                  </w:r>
                </w:p>
              </w:tc>
              <w:tc>
                <w:tcPr/>
                <w:p>
                  <w:pPr>
                    <w:pStyle w:val="Compact"/>
                    <w:jc w:val="left"/>
                    <w:jc w:val="center"/>
                  </w:pPr>
                  <w:r>
                    <w:t xml:space="preserve">Corticosteroid</w:t>
                  </w:r>
                </w:p>
              </w:tc>
              <w:tc>
                <w:tcPr/>
                <w:p>
                  <w:pPr>
                    <w:pStyle w:val="Compact"/>
                    <w:jc w:val="right"/>
                    <w:jc w:val="center"/>
                  </w:pPr>
                  <w:r>
                    <w:t xml:space="preserve">0.0437003</w:t>
                  </w:r>
                </w:p>
              </w:tc>
            </w:tr>
            <w:tr>
              <w:tc>
                <w:tcPr/>
                <w:p>
                  <w:pPr>
                    <w:pStyle w:val="Compact"/>
                    <w:jc w:val="left"/>
                    <w:jc w:val="center"/>
                  </w:pPr>
                  <w:r>
                    <w:t xml:space="preserve">Received</w:t>
                  </w:r>
                </w:p>
              </w:tc>
              <w:tc>
                <w:tcPr/>
                <w:p>
                  <w:pPr>
                    <w:pStyle w:val="Compact"/>
                    <w:jc w:val="right"/>
                    <w:jc w:val="center"/>
                  </w:pPr>
                  <w:r>
                    <w:t xml:space="preserve">1216</w:t>
                  </w:r>
                </w:p>
              </w:tc>
              <w:tc>
                <w:tcPr/>
                <w:p>
                  <w:pPr>
                    <w:pStyle w:val="Compact"/>
                    <w:jc w:val="right"/>
                    <w:jc w:val="center"/>
                  </w:pPr>
                  <w:r>
                    <w:t xml:space="preserve">93</w:t>
                  </w:r>
                </w:p>
              </w:tc>
              <w:tc>
                <w:tcPr/>
                <w:p>
                  <w:pPr>
                    <w:pStyle w:val="Compact"/>
                    <w:jc w:val="left"/>
                    <w:jc w:val="center"/>
                  </w:pPr>
                  <w:r>
                    <w:t xml:space="preserve">Corticosteroid</w:t>
                  </w:r>
                </w:p>
              </w:tc>
              <w:tc>
                <w:tcPr/>
                <w:p>
                  <w:pPr>
                    <w:pStyle w:val="Compact"/>
                    <w:jc w:val="right"/>
                    <w:jc w:val="center"/>
                  </w:pPr>
                  <w:r>
                    <w:t xml:space="preserve">0.0764803</w:t>
                  </w:r>
                </w:p>
              </w:tc>
            </w:tr>
            <w:tr>
              <w:tc>
                <w:tcPr/>
                <w:p>
                  <w:pPr>
                    <w:pStyle w:val="Compact"/>
                    <w:jc w:val="left"/>
                    <w:jc w:val="center"/>
                  </w:pPr>
                  <w:r>
                    <w:t xml:space="preserve">Not Received</w:t>
                  </w:r>
                </w:p>
              </w:tc>
              <w:tc>
                <w:tcPr/>
                <w:p>
                  <w:pPr>
                    <w:pStyle w:val="Compact"/>
                    <w:jc w:val="right"/>
                    <w:jc w:val="center"/>
                  </w:pPr>
                  <w:r>
                    <w:t xml:space="preserve">5077</w:t>
                  </w:r>
                </w:p>
              </w:tc>
              <w:tc>
                <w:tcPr/>
                <w:p>
                  <w:pPr>
                    <w:pStyle w:val="Compact"/>
                    <w:jc w:val="right"/>
                    <w:jc w:val="center"/>
                  </w:pPr>
                  <w:r>
                    <w:t xml:space="preserve">267</w:t>
                  </w:r>
                </w:p>
              </w:tc>
              <w:tc>
                <w:tcPr/>
                <w:p>
                  <w:pPr>
                    <w:pStyle w:val="Compact"/>
                    <w:jc w:val="left"/>
                    <w:jc w:val="center"/>
                  </w:pPr>
                  <w:r>
                    <w:t xml:space="preserve">Statin</w:t>
                  </w:r>
                </w:p>
              </w:tc>
              <w:tc>
                <w:tcPr/>
                <w:p>
                  <w:pPr>
                    <w:pStyle w:val="Compact"/>
                    <w:jc w:val="right"/>
                    <w:jc w:val="center"/>
                  </w:pPr>
                  <w:r>
                    <w:t xml:space="preserve">0.0525901</w:t>
                  </w:r>
                </w:p>
              </w:tc>
            </w:tr>
            <w:tr>
              <w:tc>
                <w:tcPr/>
                <w:p>
                  <w:pPr>
                    <w:pStyle w:val="Compact"/>
                    <w:jc w:val="left"/>
                    <w:jc w:val="center"/>
                  </w:pPr>
                  <w:r>
                    <w:t xml:space="preserve">Received</w:t>
                  </w:r>
                </w:p>
              </w:tc>
              <w:tc>
                <w:tcPr/>
                <w:p>
                  <w:pPr>
                    <w:pStyle w:val="Compact"/>
                    <w:jc w:val="right"/>
                    <w:jc w:val="center"/>
                  </w:pPr>
                  <w:r>
                    <w:t xml:space="preserve">2798</w:t>
                  </w:r>
                </w:p>
              </w:tc>
              <w:tc>
                <w:tcPr/>
                <w:p>
                  <w:pPr>
                    <w:pStyle w:val="Compact"/>
                    <w:jc w:val="right"/>
                    <w:jc w:val="center"/>
                  </w:pPr>
                  <w:r>
                    <w:t xml:space="preserve">117</w:t>
                  </w:r>
                </w:p>
              </w:tc>
              <w:tc>
                <w:tcPr/>
                <w:p>
                  <w:pPr>
                    <w:pStyle w:val="Compact"/>
                    <w:jc w:val="left"/>
                    <w:jc w:val="center"/>
                  </w:pPr>
                  <w:r>
                    <w:t xml:space="preserve">Statin</w:t>
                  </w:r>
                </w:p>
              </w:tc>
              <w:tc>
                <w:tcPr/>
                <w:p>
                  <w:pPr>
                    <w:pStyle w:val="Compact"/>
                    <w:jc w:val="right"/>
                    <w:jc w:val="center"/>
                  </w:pPr>
                  <w:r>
                    <w:t xml:space="preserve">0.0418156</w:t>
                  </w:r>
                </w:p>
              </w:tc>
            </w:tr>
          </w:tbl>
          <w:bookmarkEnd w:id="48"/>
          <w:p/>
        </w:tc>
      </w:tr>
    </w:tbl>
    <w:p>
      <w:pPr>
        <w:pStyle w:val="BodyText"/>
      </w:pPr>
      <w:r>
        <w:t xml:space="preserve">tbl-med-mortality-summary shows mortality rates were higher with patients taking vasopressors, sedatives, and diruetics; this could be because the severity of their illness.</w:t>
      </w:r>
    </w:p>
    <w:p>
      <w:pPr>
        <w:pStyle w:val="SourceCode"/>
      </w:pP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"figures"</w:t>
      </w:r>
      <w:r>
        <w:rPr>
          <w:rStyle w:val="NormalTok"/>
        </w:rPr>
        <w:t xml:space="preserve">, </w:t>
      </w:r>
      <w:r>
        <w:rPr>
          <w:rStyle w:val="StringTok"/>
        </w:rPr>
        <w:t xml:space="preserve">"polypharmacy-frequency.png"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2" w:name="fig-polypharmacy-freq"/>
          <w:p>
            <w:pPr>
              <w:pStyle w:val="Compact"/>
              <w:jc w:val="center"/>
            </w:pPr>
            <w:r>
              <w:drawing>
                <wp:inline>
                  <wp:extent cx="5334000" cy="3333749"/>
                  <wp:effectExtent b="0" l="0" r="0" t="0"/>
                  <wp:docPr descr="" title="" id="50" name="Picture"/>
                  <a:graphic>
                    <a:graphicData uri="http://schemas.openxmlformats.org/drawingml/2006/picture">
                      <pic:pic>
                        <pic:nvPicPr>
                          <pic:cNvPr descr="../../results/figures/polypharmacy-frequency.png" id="51" name="Picture"/>
                          <pic:cNvPicPr>
                            <a:picLocks noChangeArrowheads="1" noChangeAspect="1"/>
                          </pic:cNvPicPr>
                        </pic:nvPicPr>
                        <pic:blipFill>
                          <a:blip r:embed="rId49"/>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Number of medication classes received vs. 30-day mortality</w:t>
            </w:r>
          </w:p>
          <w:bookmarkEnd w:id="52"/>
        </w:tc>
      </w:tr>
    </w:tbl>
    <w:p>
      <w:pPr>
        <w:pStyle w:val="BodyText"/>
      </w:pPr>
      <w:hyperlink w:anchor="fig-polypharmacy-freq">
        <w:r>
          <w:rPr>
            <w:rStyle w:val="Hyperlink"/>
          </w:rPr>
          <w:t xml:space="preserve">Figure 5</w:t>
        </w:r>
      </w:hyperlink>
      <w:r>
        <w:t xml:space="preserve"> </w:t>
      </w:r>
      <w:r>
        <w:t xml:space="preserve">shows mortality increased as the number of medications increased, this also could be explained by the increasing severity of illness as more medications were needed.</w:t>
      </w:r>
    </w:p>
    <w:bookmarkEnd w:id="53"/>
    <w:bookmarkStart w:id="54" w:name="basic-statistical-analysis"/>
    <w:p>
      <w:pPr>
        <w:pStyle w:val="Heading2"/>
      </w:pPr>
      <w:r>
        <w:t xml:space="preserve">4.2 Basic statistical analysis</w:t>
      </w:r>
    </w:p>
    <w:p>
      <w:pPr>
        <w:pStyle w:val="FirstParagraph"/>
      </w:pPr>
      <w:r>
        <w:rPr>
          <w:i/>
          <w:iCs/>
        </w:rPr>
        <w:t xml:space="preserve">To get some further insight into your data, if reasonable you could compute simple statistics (e.g. simple models with 1 predictor) to look for associations between your outcome(s) and each individual predictor variable. Though note that unless you pre-specified the outcome and main exposure, any</w:t>
      </w:r>
      <w:r>
        <w:rPr>
          <w:i/>
          <w:iCs/>
        </w:rPr>
        <w:t xml:space="preserve"> </w:t>
      </w:r>
      <w:r>
        <w:rPr>
          <w:i/>
          <w:iCs/>
        </w:rPr>
        <w:t xml:space="preserve">“p&lt;0.05 means statistical significance”</w:t>
      </w:r>
      <w:r>
        <w:rPr>
          <w:i/>
          <w:iCs/>
        </w:rPr>
        <w:t xml:space="preserve"> </w:t>
      </w:r>
      <w:r>
        <w:rPr>
          <w:i/>
          <w:iCs/>
        </w:rPr>
        <w:t xml:space="preserve">interpretation is not valid.</w:t>
      </w:r>
    </w:p>
    <w:p>
      <w:pPr>
        <w:pStyle w:val="BodyText"/>
      </w:pPr>
      <w:r>
        <w:rPr>
          <w:b/>
          <w:bCs/>
        </w:rPr>
        <w:t xml:space="preserve">?@fig-result</w:t>
      </w:r>
      <w:r>
        <w:t xml:space="preserve"> </w:t>
      </w:r>
      <w:r>
        <w:t xml:space="preserve">shows a scatterplot figure produced by one of the R scripts.</w:t>
      </w:r>
    </w:p>
    <w:bookmarkEnd w:id="54"/>
    <w:bookmarkStart w:id="55" w:name="full-analysis"/>
    <w:p>
      <w:pPr>
        <w:pStyle w:val="Heading2"/>
      </w:pPr>
      <w:r>
        <w:t xml:space="preserve">4.3 Full analysis</w:t>
      </w:r>
    </w:p>
    <w:p>
      <w:pPr>
        <w:pStyle w:val="FirstParagraph"/>
      </w:pPr>
      <w:r>
        <w:rPr>
          <w:i/>
          <w:iCs/>
        </w:rPr>
        <w:t xml:space="preserve">Use one or several suitable statistical/machine learning methods to analyze your data and to produce meaningful figures, tables, etc. This might again be code that is best placed in one or several separate R scripts that need to be well documented. You want the code to produce figures and data ready for display as tables, and save those. Then you load them here.</w:t>
      </w:r>
    </w:p>
    <w:p>
      <w:r>
        <w:br w:type="page"/>
      </w:r>
    </w:p>
    <w:bookmarkEnd w:id="55"/>
    <w:bookmarkEnd w:id="56"/>
    <w:bookmarkStart w:id="61" w:name="discussion"/>
    <w:p>
      <w:pPr>
        <w:pStyle w:val="Heading1"/>
      </w:pPr>
      <w:r>
        <w:t xml:space="preserve">5. Discussion</w:t>
      </w:r>
    </w:p>
    <w:bookmarkStart w:id="57" w:name="summary-and-interpretation"/>
    <w:p>
      <w:pPr>
        <w:pStyle w:val="Heading2"/>
      </w:pPr>
      <w:r>
        <w:t xml:space="preserve">5.1 Summary and Interpretation</w:t>
      </w:r>
    </w:p>
    <w:p>
      <w:pPr>
        <w:pStyle w:val="FirstParagraph"/>
      </w:pPr>
      <w:r>
        <w:rPr>
          <w:i/>
          <w:iCs/>
        </w:rPr>
        <w:t xml:space="preserve">Summarize what you did, what you found and what it means.</w:t>
      </w:r>
    </w:p>
    <w:bookmarkEnd w:id="57"/>
    <w:bookmarkStart w:id="58" w:name="strengths-and-limitations"/>
    <w:p>
      <w:pPr>
        <w:pStyle w:val="Heading2"/>
      </w:pPr>
      <w:r>
        <w:t xml:space="preserve">5.2 Strengths and Limitations</w:t>
      </w:r>
    </w:p>
    <w:p>
      <w:pPr>
        <w:pStyle w:val="FirstParagraph"/>
      </w:pPr>
      <w:r>
        <w:rPr>
          <w:i/>
          <w:iCs/>
        </w:rPr>
        <w:t xml:space="preserve">Discuss what you perceive as strengths and limitations of your analysis.</w:t>
      </w:r>
    </w:p>
    <w:bookmarkEnd w:id="58"/>
    <w:bookmarkStart w:id="60" w:name="conclusions"/>
    <w:p>
      <w:pPr>
        <w:pStyle w:val="Heading2"/>
      </w:pPr>
      <w:r>
        <w:t xml:space="preserve">5.3 Conclusions</w:t>
      </w:r>
    </w:p>
    <w:p>
      <w:pPr>
        <w:pStyle w:val="FirstParagraph"/>
      </w:pPr>
      <w:r>
        <w:rPr>
          <w:i/>
          <w:iCs/>
        </w:rPr>
        <w:t xml:space="preserve">What are the main take-home messages?</w:t>
      </w:r>
    </w:p>
    <w:p>
      <w:pPr>
        <w:pStyle w:val="BodyText"/>
      </w:pPr>
      <w:r>
        <w:rPr>
          <w:i/>
          <w:iCs/>
        </w:rPr>
        <w:t xml:space="preserve">Include citations in your Qmd file using BibTeX, the list of references will automatically be placed at the end</w:t>
      </w:r>
    </w:p>
    <w:p>
      <w:pPr>
        <w:pStyle w:val="BodyText"/>
      </w:pPr>
      <w:r>
        <w:t xml:space="preserve">This paper</w:t>
      </w:r>
      <w:r>
        <w:t xml:space="preserve"> </w:t>
      </w:r>
      <w:r>
        <w:t xml:space="preserve">(1)</w:t>
      </w:r>
      <w:r>
        <w:t xml:space="preserve"> </w:t>
      </w:r>
      <w:r>
        <w:t xml:space="preserve">discusses types of analyses.</w:t>
      </w:r>
    </w:p>
    <w:p>
      <w:pPr>
        <w:pStyle w:val="BodyText"/>
      </w:pPr>
      <w:r>
        <w:t xml:space="preserve">These papers</w:t>
      </w:r>
      <w:r>
        <w:t xml:space="preserve"> </w:t>
      </w:r>
      <w:r>
        <w:t xml:space="preserve">(2,3)</w:t>
      </w:r>
      <w:r>
        <w:t xml:space="preserve"> </w:t>
      </w:r>
      <w:r>
        <w:t xml:space="preserve">are good examples of papers published using a fully reproducible setup similar to the one shown in this template.</w:t>
      </w:r>
    </w:p>
    <w:p>
      <w:pPr>
        <w:pStyle w:val="BodyText"/>
      </w:pPr>
      <w:r>
        <w:t xml:space="preserve">Note that this cited reference will show up at the end of the document, the reference formatting is determined by the CSL file specified in the YAML header. Many more style files for almost any journal</w:t>
      </w:r>
      <w:r>
        <w:t xml:space="preserve"> </w:t>
      </w:r>
      <w:hyperlink r:id="rId59">
        <w:r>
          <w:rPr>
            <w:rStyle w:val="Hyperlink"/>
          </w:rPr>
          <w:t xml:space="preserve">are available</w:t>
        </w:r>
      </w:hyperlink>
      <w:r>
        <w:t xml:space="preserve">. You also specify the location of your BibTeX reference file in the YAML. You can call your reference file anything you like.</w:t>
      </w:r>
    </w:p>
    <w:p>
      <w:r>
        <w:br w:type="page"/>
      </w:r>
    </w:p>
    <w:bookmarkEnd w:id="60"/>
    <w:bookmarkEnd w:id="61"/>
    <w:bookmarkStart w:id="69" w:name="references"/>
    <w:p>
      <w:pPr>
        <w:pStyle w:val="Heading1"/>
      </w:pPr>
      <w:r>
        <w:t xml:space="preserve">6. References</w:t>
      </w:r>
    </w:p>
    <w:bookmarkStart w:id="68" w:name="refs"/>
    <w:bookmarkStart w:id="63" w:name="ref-leek2015"/>
    <w:p>
      <w:pPr>
        <w:pStyle w:val="Bibliography"/>
      </w:pPr>
      <w:r>
        <w:t xml:space="preserve">1.</w:t>
      </w:r>
      <w:r>
        <w:t xml:space="preserve"> </w:t>
      </w:r>
      <w:r>
        <w:t xml:space="preserve">	</w:t>
      </w:r>
      <w:r>
        <w:t xml:space="preserve">Leek JT, Peng RD.</w:t>
      </w:r>
      <w:r>
        <w:t xml:space="preserve"> </w:t>
      </w:r>
      <w:hyperlink r:id="rId62">
        <w:r>
          <w:rPr>
            <w:rStyle w:val="Hyperlink"/>
          </w:rPr>
          <w:t xml:space="preserve">Statistics.</w:t>
        </w:r>
        <w:r>
          <w:rPr>
            <w:rStyle w:val="Hyperlink"/>
          </w:rPr>
          <w:t xml:space="preserve"> </w:t>
        </w:r>
        <w:r>
          <w:rPr>
            <w:rStyle w:val="Hyperlink"/>
          </w:rPr>
          <w:t xml:space="preserve">What</w:t>
        </w:r>
        <w:r>
          <w:rPr>
            <w:rStyle w:val="Hyperlink"/>
          </w:rPr>
          <w:t xml:space="preserve"> </w:t>
        </w:r>
        <w:r>
          <w:rPr>
            <w:rStyle w:val="Hyperlink"/>
          </w:rPr>
          <w:t xml:space="preserve">is the question?</w:t>
        </w:r>
      </w:hyperlink>
      <w:r>
        <w:t xml:space="preserve"> </w:t>
      </w:r>
      <w:r>
        <w:rPr>
          <w:i/>
          <w:iCs/>
        </w:rPr>
        <w:t xml:space="preserve">Science (New York, N.Y.)</w:t>
      </w:r>
      <w:r>
        <w:t xml:space="preserve">. 2015;347(6228):1314–1315.</w:t>
      </w:r>
      <w:r>
        <w:t xml:space="preserve"> </w:t>
      </w:r>
    </w:p>
    <w:bookmarkEnd w:id="63"/>
    <w:bookmarkStart w:id="65" w:name="ref-mckay2020"/>
    <w:p>
      <w:pPr>
        <w:pStyle w:val="Bibliography"/>
      </w:pPr>
      <w:r>
        <w:t xml:space="preserve">2.</w:t>
      </w:r>
      <w:r>
        <w:t xml:space="preserve"> </w:t>
      </w:r>
      <w:r>
        <w:t xml:space="preserve">	</w:t>
      </w:r>
      <w:r>
        <w:t xml:space="preserve">McKay B, Ebell M, Billings WZ, et al.</w:t>
      </w:r>
      <w:r>
        <w:t xml:space="preserve"> </w:t>
      </w:r>
      <w:hyperlink r:id="rId64">
        <w:r>
          <w:rPr>
            <w:rStyle w:val="Hyperlink"/>
          </w:rPr>
          <w:t xml:space="preserve">Associations</w:t>
        </w:r>
        <w:r>
          <w:rPr>
            <w:rStyle w:val="Hyperlink"/>
          </w:rPr>
          <w:t xml:space="preserve"> </w:t>
        </w:r>
        <w:r>
          <w:rPr>
            <w:rStyle w:val="Hyperlink"/>
          </w:rPr>
          <w:t xml:space="preserve">Between Relative Viral Load</w:t>
        </w:r>
        <w:r>
          <w:rPr>
            <w:rStyle w:val="Hyperlink"/>
          </w:rPr>
          <w:t xml:space="preserve"> </w:t>
        </w:r>
        <w:r>
          <w:rPr>
            <w:rStyle w:val="Hyperlink"/>
          </w:rPr>
          <w:t xml:space="preserve">at</w:t>
        </w:r>
        <w:r>
          <w:rPr>
            <w:rStyle w:val="Hyperlink"/>
          </w:rPr>
          <w:t xml:space="preserve"> </w:t>
        </w:r>
        <w:r>
          <w:rPr>
            <w:rStyle w:val="Hyperlink"/>
          </w:rPr>
          <w:t xml:space="preserve">Diagnosis</w:t>
        </w:r>
        <w:r>
          <w:rPr>
            <w:rStyle w:val="Hyperlink"/>
          </w:rPr>
          <w:t xml:space="preserve"> </w:t>
        </w:r>
        <w:r>
          <w:rPr>
            <w:rStyle w:val="Hyperlink"/>
          </w:rPr>
          <w:t xml:space="preserve">and</w:t>
        </w:r>
        <w:r>
          <w:rPr>
            <w:rStyle w:val="Hyperlink"/>
          </w:rPr>
          <w:t xml:space="preserve"> </w:t>
        </w:r>
        <w:r>
          <w:rPr>
            <w:rStyle w:val="Hyperlink"/>
          </w:rPr>
          <w:t xml:space="preserve">Influenza A Symptoms</w:t>
        </w:r>
        <w:r>
          <w:rPr>
            <w:rStyle w:val="Hyperlink"/>
          </w:rPr>
          <w:t xml:space="preserve"> </w:t>
        </w:r>
        <w:r>
          <w:rPr>
            <w:rStyle w:val="Hyperlink"/>
          </w:rPr>
          <w:t xml:space="preserve">and</w:t>
        </w:r>
        <w:r>
          <w:rPr>
            <w:rStyle w:val="Hyperlink"/>
          </w:rPr>
          <w:t xml:space="preserve"> </w:t>
        </w:r>
        <w:r>
          <w:rPr>
            <w:rStyle w:val="Hyperlink"/>
          </w:rPr>
          <w:t xml:space="preserve">Recovery</w:t>
        </w:r>
        <w:r>
          <w:rPr>
            <w:rStyle w:val="Hyperlink"/>
          </w:rPr>
          <w:t xml:space="preserve">.</w:t>
        </w:r>
      </w:hyperlink>
      <w:r>
        <w:t xml:space="preserve"> </w:t>
      </w:r>
      <w:r>
        <w:rPr>
          <w:i/>
          <w:iCs/>
        </w:rPr>
        <w:t xml:space="preserve">Open forum infectious diseases</w:t>
      </w:r>
      <w:r>
        <w:t xml:space="preserve">. 2020;7(11):ofaa494.</w:t>
      </w:r>
      <w:r>
        <w:t xml:space="preserve"> </w:t>
      </w:r>
    </w:p>
    <w:bookmarkEnd w:id="65"/>
    <w:bookmarkStart w:id="67" w:name="ref-mckay2020a"/>
    <w:p>
      <w:pPr>
        <w:pStyle w:val="Bibliography"/>
      </w:pPr>
      <w:r>
        <w:t xml:space="preserve">3.</w:t>
      </w:r>
      <w:r>
        <w:t xml:space="preserve"> </w:t>
      </w:r>
      <w:r>
        <w:t xml:space="preserve">	</w:t>
      </w:r>
      <w:r>
        <w:t xml:space="preserve">McKay B, Ebell M, Dale AP, et al.</w:t>
      </w:r>
      <w:r>
        <w:t xml:space="preserve"> </w:t>
      </w:r>
      <w:hyperlink r:id="rId66">
        <w:r>
          <w:rPr>
            <w:rStyle w:val="Hyperlink"/>
          </w:rPr>
          <w:t xml:space="preserve">Virulence-mediated infectiousness and activity trade-offs and their impact on transmission potential of influenza patients.</w:t>
        </w:r>
      </w:hyperlink>
      <w:r>
        <w:t xml:space="preserve"> </w:t>
      </w:r>
      <w:r>
        <w:rPr>
          <w:i/>
          <w:iCs/>
        </w:rPr>
        <w:t xml:space="preserve">Proceedings. Biological sciences</w:t>
      </w:r>
      <w:r>
        <w:t xml:space="preserve">. 2020;287(1927):20200496.</w:t>
      </w:r>
      <w:r>
        <w:t xml:space="preserve"> </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39" Target="media/rId39.png" /><Relationship Type="http://schemas.openxmlformats.org/officeDocument/2006/relationships/image" Id="rId49" Target="media/rId49.png" /><Relationship Type="http://schemas.openxmlformats.org/officeDocument/2006/relationships/image" Id="rId44" Target="media/rId44.png" /><Relationship Type="http://schemas.openxmlformats.org/officeDocument/2006/relationships/hyperlink" Id="rId64" Target="https://doi.org/10.1093/ofid/ofaa494" TargetMode="External" /><Relationship Type="http://schemas.openxmlformats.org/officeDocument/2006/relationships/hyperlink" Id="rId66" Target="https://doi.org/10.1098/rspb.2020.0496" TargetMode="External" /><Relationship Type="http://schemas.openxmlformats.org/officeDocument/2006/relationships/hyperlink" Id="rId62" Target="https://doi.org/10.1126/science.aaa6146" TargetMode="External" /><Relationship Type="http://schemas.openxmlformats.org/officeDocument/2006/relationships/hyperlink" Id="rId21" Target="https://quarto.org/" TargetMode="External" /><Relationship Type="http://schemas.openxmlformats.org/officeDocument/2006/relationships/hyperlink" Id="rId20" Target="https://quarto.org/docs/output-formats/ms-word.html" TargetMode="External" /><Relationship Type="http://schemas.openxmlformats.org/officeDocument/2006/relationships/hyperlink" Id="rId59" Target="https://www.zotero.org/styles"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93/ofid/ofaa494" TargetMode="External" /><Relationship Type="http://schemas.openxmlformats.org/officeDocument/2006/relationships/hyperlink" Id="rId66" Target="https://doi.org/10.1098/rspb.2020.0496" TargetMode="External" /><Relationship Type="http://schemas.openxmlformats.org/officeDocument/2006/relationships/hyperlink" Id="rId62" Target="https://doi.org/10.1126/science.aaa6146" TargetMode="External" /><Relationship Type="http://schemas.openxmlformats.org/officeDocument/2006/relationships/hyperlink" Id="rId21" Target="https://quarto.org/" TargetMode="External" /><Relationship Type="http://schemas.openxmlformats.org/officeDocument/2006/relationships/hyperlink" Id="rId20" Target="https://quarto.org/docs/output-formats/ms-word.html" TargetMode="External" /><Relationship Type="http://schemas.openxmlformats.org/officeDocument/2006/relationships/hyperlink" Id="rId59" Target="https://www.zotero.org/sty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Medications and Medication Regimens relate to Patient Mortality</dc:title>
  <dc:creator>Rebecca Basta and Riley Herber</dc:creator>
  <cp:keywords/>
  <dcterms:created xsi:type="dcterms:W3CDTF">2026-02-27T20:15:22Z</dcterms:created>
  <dcterms:modified xsi:type="dcterms:W3CDTF">2026-02-27T20:15:22Z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../../assets/dataanalysis-references.bib</vt:lpwstr>
  </property>
  <property fmtid="{D5CDD505-2E9C-101B-9397-08002B2CF9AE}" pid="5" name="by-author">
    <vt:lpwstr/>
  </property>
  <property fmtid="{D5CDD505-2E9C-101B-9397-08002B2CF9AE}" pid="6" name="csl">
    <vt:lpwstr>../../assets/american-journal-of-epidemiology.csl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