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41.png" ContentType="image/png"/>
  <Override PartName="/word/media/rId37.png" ContentType="image/png"/>
  <Override PartName="/word/media/rId46.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Medications and Medication Regimens relate to Patient Mortality</w:t>
      </w:r>
    </w:p>
    <w:p>
      <w:pPr>
        <w:pStyle w:val="Author"/>
      </w:pPr>
      <w:r>
        <w:t xml:space="preserve">Rebecca Basta and Riley Herber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Warning: package 'here' was built under R version 4.4.3</w:t>
      </w:r>
    </w:p>
    <w:p>
      <w:pPr>
        <w:pStyle w:val="SourceCode"/>
      </w:pPr>
      <w:r>
        <w:rPr>
          <w:rStyle w:val="VerbatimChar"/>
        </w:rPr>
        <w:t xml:space="preserve">Warning: package 'knitr' was built under R version 4.4.3</w:t>
      </w:r>
    </w:p>
    <w:p>
      <w:pPr>
        <w:pStyle w:val="FirstParagraph"/>
      </w:pPr>
      <w:r>
        <w:rPr>
          <w:b/>
          <w:bCs/>
        </w:rPr>
        <w:t xml:space="preserve">Authors</w:t>
      </w:r>
    </w:p>
    <w:p>
      <w:pPr>
        <w:pStyle w:val="Compact"/>
        <w:numPr>
          <w:ilvl w:val="0"/>
          <w:numId w:val="1001"/>
        </w:numPr>
      </w:pPr>
      <w:r>
        <w:t xml:space="preserve">Rebecca Basta and Riley Herber</w:t>
      </w:r>
      <w:r>
        <w:t xml:space="preserve"> </w:t>
      </w:r>
      <w:r>
        <w:t xml:space="preserve">These authors contributed equally to this work.</w:t>
      </w:r>
    </w:p>
    <w:p>
      <w:pPr>
        <w:pStyle w:val="FirstParagraph"/>
      </w:pPr>
      <w:r>
        <w:rPr>
          <w:b/>
          <w:bCs/>
        </w:rPr>
        <w:t xml:space="preserve">Author affiliations</w:t>
      </w:r>
    </w:p>
    <w:p>
      <w:pPr>
        <w:pStyle w:val="Compact"/>
        <w:numPr>
          <w:ilvl w:val="0"/>
          <w:numId w:val="1002"/>
        </w:numPr>
      </w:pPr>
      <w:r>
        <w:t xml:space="preserve">University of Georgia, Athens, GA, USA.</w:t>
      </w:r>
    </w:p>
    <w:p>
      <w:r>
        <w:br w:type="page"/>
      </w:r>
    </w:p>
    <w:bookmarkStart w:id="20"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20"/>
    <w:bookmarkStart w:id="24" w:name="introduction"/>
    <w:p>
      <w:pPr>
        <w:pStyle w:val="Heading1"/>
      </w:pPr>
      <w:r>
        <w:t xml:space="preserve">2. Introduction</w:t>
      </w:r>
    </w:p>
    <w:p>
      <w:pPr>
        <w:pStyle w:val="FirstParagraph"/>
      </w:pPr>
      <w:r>
        <w:t xml:space="preserve">This information is important because it can help healthcare providers better understand the effects of commonly prescribed medications on patient survival. Identifying medications that are</w:t>
      </w:r>
      <w:r>
        <w:t xml:space="preserve"> </w:t>
      </w:r>
      <w:r>
        <w:t xml:space="preserve">associated with improved or worsened outcomes may guide clinical decision-making, optimize treatment strategies, and ultimately improve patient care and safety.</w:t>
      </w:r>
    </w:p>
    <w:bookmarkStart w:id="21" w:name="general-background-information"/>
    <w:p>
      <w:pPr>
        <w:pStyle w:val="Heading2"/>
      </w:pPr>
      <w:r>
        <w:t xml:space="preserve">2.1 General Background Information</w:t>
      </w:r>
    </w:p>
    <w:p>
      <w:pPr>
        <w:pStyle w:val="FirstParagraph"/>
      </w:pPr>
      <w:r>
        <w:rPr>
          <w:i/>
          <w:iCs/>
        </w:rPr>
        <w:t xml:space="preserve">Provide enough background on your topic that others can understand the why and how of your analysis</w:t>
      </w:r>
    </w:p>
    <w:bookmarkEnd w:id="21"/>
    <w:bookmarkStart w:id="22" w:name="description-of-data-and-data-source"/>
    <w:p>
      <w:pPr>
        <w:pStyle w:val="Heading2"/>
      </w:pPr>
      <w:r>
        <w:t xml:space="preserve">2.2 Description of data and data source</w:t>
      </w:r>
    </w:p>
    <w:p>
      <w:pPr>
        <w:pStyle w:val="FirstParagraph"/>
      </w:pPr>
      <w:r>
        <w:t xml:space="preserve">This study uses the MIMIC-IV (Medical Information Mart for Intensive Care) database to examine relationships between medication use and patient mortality. MIMIC-IV is a large, publicly available database containing de-identified health records from patients admitted to Beth Israel Deaconess Medical Center in Boston, Massachusetts.</w:t>
      </w:r>
    </w:p>
    <w:p>
      <w:pPr>
        <w:pStyle w:val="BodyText"/>
      </w:pPr>
      <w:r>
        <w:t xml:space="preserve">The database includes detailed information on more than 65,000 ICU patients and over 200,000 emergency department visits. Available variables include:</w:t>
      </w:r>
    </w:p>
    <w:p>
      <w:pPr>
        <w:pStyle w:val="BodyText"/>
      </w:pPr>
      <w:r>
        <w:t xml:space="preserve">patient demographics</w:t>
      </w:r>
    </w:p>
    <w:p>
      <w:pPr>
        <w:pStyle w:val="BodyText"/>
      </w:pPr>
      <w:r>
        <w:t xml:space="preserve">hospital admissions and transfers</w:t>
      </w:r>
    </w:p>
    <w:p>
      <w:pPr>
        <w:pStyle w:val="BodyText"/>
      </w:pPr>
      <w:r>
        <w:t xml:space="preserve">laboratory measurements</w:t>
      </w:r>
    </w:p>
    <w:p>
      <w:pPr>
        <w:pStyle w:val="BodyText"/>
      </w:pPr>
      <w:r>
        <w:t xml:space="preserve">medication prescriptions and administration records</w:t>
      </w:r>
    </w:p>
    <w:p>
      <w:pPr>
        <w:pStyle w:val="BodyText"/>
      </w:pPr>
      <w:r>
        <w:t xml:space="preserve">microbiology cultures</w:t>
      </w:r>
    </w:p>
    <w:p>
      <w:pPr>
        <w:pStyle w:val="BodyText"/>
      </w:pPr>
      <w:r>
        <w:t xml:space="preserve">billing and procedure data</w:t>
      </w:r>
    </w:p>
    <w:p>
      <w:pPr>
        <w:pStyle w:val="BodyText"/>
      </w:pPr>
      <w:r>
        <w:t xml:space="preserve">mortality outcomes</w:t>
      </w:r>
    </w:p>
    <w:p>
      <w:pPr>
        <w:pStyle w:val="BodyText"/>
      </w:pPr>
      <w:r>
        <w:t xml:space="preserve">These data provide a rich resource for investigating relationships between treatment patterns and patient outcomes.</w:t>
      </w:r>
    </w:p>
    <w:p>
      <w:pPr>
        <w:pStyle w:val="BodyText"/>
      </w:pPr>
      <w:r>
        <w:t xml:space="preserve">This dataset is then used as a reference to create a synthetic dataset based on the trends present in the real patient data in MIMIC-IV.</w:t>
      </w:r>
    </w:p>
    <w:bookmarkEnd w:id="22"/>
    <w:bookmarkStart w:id="23" w:name="questionshypotheses-to-be-addressed"/>
    <w:p>
      <w:pPr>
        <w:pStyle w:val="Heading2"/>
      </w:pPr>
      <w:r>
        <w:t xml:space="preserve">2.3 Questions/Hypotheses to be addressed</w:t>
      </w:r>
    </w:p>
    <w:p>
      <w:pPr>
        <w:pStyle w:val="FirstParagraph"/>
      </w:pPr>
      <w:r>
        <w:t xml:space="preserve">Our primary objective is to examine how different medications and medication regimens relate to patient mortality. This may include analyzing whether certain medications or combinations of</w:t>
      </w:r>
      <w:r>
        <w:t xml:space="preserve"> </w:t>
      </w:r>
      <w:r>
        <w:t xml:space="preserve">medications are associated with higher or lower mortality rates. To analyze the relationship between medication, use and mortality in the MIMIC-IV dataset, we would first clean and organize</w:t>
      </w:r>
      <w:r>
        <w:t xml:space="preserve"> </w:t>
      </w:r>
      <w:r>
        <w:t xml:space="preserve">medication and outcome data. We would then explore general patterns by comparing mortality rates across patients who received different medications or groups of medications. Simple summaries and</w:t>
      </w:r>
      <w:r>
        <w:t xml:space="preserve"> </w:t>
      </w:r>
      <w:r>
        <w:t xml:space="preserve">visualizations could be used to identify trends or potential associations. This exploratory analysis would help generate initial insights and guide more detailed analyses later on.</w:t>
      </w:r>
    </w:p>
    <w:p>
      <w:r>
        <w:br w:type="page"/>
      </w:r>
    </w:p>
    <w:bookmarkEnd w:id="23"/>
    <w:bookmarkEnd w:id="24"/>
    <w:bookmarkStart w:id="28" w:name="methods"/>
    <w:p>
      <w:pPr>
        <w:pStyle w:val="Heading1"/>
      </w:pPr>
      <w:r>
        <w:t xml:space="preserve">3. Methods</w:t>
      </w:r>
    </w:p>
    <w:bookmarkStart w:id="25" w:name="data-acquisition"/>
    <w:p>
      <w:pPr>
        <w:pStyle w:val="Heading2"/>
      </w:pPr>
      <w:r>
        <w:t xml:space="preserve">3.1 Data Acquisition</w:t>
      </w:r>
    </w:p>
    <w:p>
      <w:pPr>
        <w:pStyle w:val="FirstParagraph"/>
      </w:pPr>
      <w:r>
        <w:t xml:space="preserve">Data were obtained from the MIMIC-IV database (version 3.1), a publicly available de-identified electronic health record dataset accessible through PhysioNet. Access to the database requires completion of a data use agreement and credentialing through PhysioNet.</w:t>
      </w:r>
    </w:p>
    <w:p>
      <w:pPr>
        <w:pStyle w:val="BodyText"/>
      </w:pPr>
      <w:r>
        <w:t xml:space="preserve">The following tables from the hospital (hosp) module were used:</w:t>
      </w:r>
    </w:p>
    <w:p>
      <w:pPr>
        <w:pStyle w:val="BodyText"/>
      </w:pPr>
      <w:r>
        <w:t xml:space="preserve">patients.csv – demographic information including age, sex, and date of death</w:t>
      </w:r>
    </w:p>
    <w:p>
      <w:pPr>
        <w:pStyle w:val="BodyText"/>
      </w:pPr>
      <w:r>
        <w:t xml:space="preserve">admissions.csv – hospital admission and discharge information</w:t>
      </w:r>
    </w:p>
    <w:p>
      <w:pPr>
        <w:pStyle w:val="BodyText"/>
      </w:pPr>
      <w:r>
        <w:t xml:space="preserve">prescriptions.csv – medication orders associated with each hospital admission</w:t>
      </w:r>
    </w:p>
    <w:bookmarkEnd w:id="25"/>
    <w:bookmarkStart w:id="26" w:name="data-processing-and-cleaning"/>
    <w:p>
      <w:pPr>
        <w:pStyle w:val="Heading2"/>
      </w:pPr>
      <w:r>
        <w:t xml:space="preserve">3.2 Data Processing and Cleaning</w:t>
      </w:r>
    </w:p>
    <w:p>
      <w:pPr>
        <w:pStyle w:val="FirstParagraph"/>
      </w:pPr>
      <w:r>
        <w:t xml:space="preserve">All data processing and analysis were performed using R. Raw CSV files were imported and cleaned prior to analysis.</w:t>
      </w:r>
    </w:p>
    <w:p>
      <w:pPr>
        <w:pStyle w:val="BodyText"/>
      </w:pPr>
      <w:r>
        <w:t xml:space="preserve">Data cleaning steps included:</w:t>
      </w:r>
    </w:p>
    <w:p>
      <w:pPr>
        <w:pStyle w:val="BodyText"/>
      </w:pPr>
      <w:r>
        <w:t xml:space="preserve">Removing admissions with a length of stay less than 0 days or greater than 365 days, as these were likely data entry errors.</w:t>
      </w:r>
    </w:p>
    <w:p>
      <w:pPr>
        <w:pStyle w:val="BodyText"/>
      </w:pPr>
      <w:r>
        <w:t xml:space="preserve">Standardizing medication names by converting drug names to uppercase and removing extra whitespace.</w:t>
      </w:r>
    </w:p>
    <w:p>
      <w:pPr>
        <w:pStyle w:val="BodyText"/>
      </w:pPr>
      <w:r>
        <w:t xml:space="preserve">Assigning medications to 13 pharmacological classes (e.g., antibiotics, opioids, vasopressors) using keyword matching.</w:t>
      </w:r>
    </w:p>
    <w:p>
      <w:pPr>
        <w:pStyle w:val="BodyText"/>
      </w:pPr>
      <w:r>
        <w:t xml:space="preserve">Creating binary indicators for each medication class indicating whether at least one medication from that class was prescribed during a given admission.</w:t>
      </w:r>
    </w:p>
    <w:p>
      <w:pPr>
        <w:pStyle w:val="BodyText"/>
      </w:pPr>
      <w:r>
        <w:t xml:space="preserve">Full data processing code is documented in:</w:t>
      </w:r>
    </w:p>
    <w:p>
      <w:pPr>
        <w:pStyle w:val="BodyText"/>
      </w:pPr>
      <w:r>
        <w:t xml:space="preserve">code/processing-code/mimic-processing.qmd</w:t>
      </w:r>
    </w:p>
    <w:p>
      <w:pPr>
        <w:pStyle w:val="BodyText"/>
      </w:pPr>
      <w:r>
        <w:t xml:space="preserve">Exploratory analysis code is available in:</w:t>
      </w:r>
    </w:p>
    <w:p>
      <w:pPr>
        <w:pStyle w:val="BodyText"/>
      </w:pPr>
      <w:r>
        <w:t xml:space="preserve">code/eda-code/mimic-eda.qmd</w:t>
      </w:r>
    </w:p>
    <w:bookmarkEnd w:id="26"/>
    <w:bookmarkStart w:id="27" w:name="statistical-analysis"/>
    <w:p>
      <w:pPr>
        <w:pStyle w:val="Heading2"/>
      </w:pPr>
      <w:r>
        <w:t xml:space="preserve">3.3 Statistical Analysis</w:t>
      </w:r>
    </w:p>
    <w:p>
      <w:pPr>
        <w:pStyle w:val="FirstParagraph"/>
      </w:pPr>
      <w:r>
        <w:t xml:space="preserve">This study focuses on exploratory, unadjusted analyses.</w:t>
      </w:r>
    </w:p>
    <w:p>
      <w:pPr>
        <w:pStyle w:val="BodyText"/>
      </w:pPr>
      <w:r>
        <w:t xml:space="preserve">The following descriptive analyses were conducted:</w:t>
      </w:r>
    </w:p>
    <w:p>
      <w:pPr>
        <w:pStyle w:val="BodyText"/>
      </w:pPr>
      <w:r>
        <w:t xml:space="preserve">Calculation of 30-day mortality rates</w:t>
      </w:r>
    </w:p>
    <w:p>
      <w:pPr>
        <w:pStyle w:val="BodyText"/>
      </w:pPr>
      <w:r>
        <w:t xml:space="preserve">Distribution of patient ages and demographics</w:t>
      </w:r>
    </w:p>
    <w:p>
      <w:pPr>
        <w:pStyle w:val="BodyText"/>
      </w:pPr>
      <w:r>
        <w:t xml:space="preserve">Medication class usage frequencies</w:t>
      </w:r>
    </w:p>
    <w:p>
      <w:pPr>
        <w:pStyle w:val="BodyText"/>
      </w:pPr>
      <w:r>
        <w:t xml:space="preserve">Mortality rates stratified by medication class</w:t>
      </w:r>
    </w:p>
    <w:p>
      <w:pPr>
        <w:pStyle w:val="BodyText"/>
      </w:pPr>
      <w:r>
        <w:t xml:space="preserve">Relationship between polypharmacy (number of medication classes) and mortality</w:t>
      </w:r>
    </w:p>
    <w:p>
      <w:pPr>
        <w:pStyle w:val="BodyText"/>
      </w:pPr>
      <w:r>
        <w:t xml:space="preserve">Results are presented using summary tables and visualizations.</w:t>
      </w:r>
    </w:p>
    <w:p>
      <w:r>
        <w:br w:type="page"/>
      </w:r>
    </w:p>
    <w:bookmarkEnd w:id="27"/>
    <w:bookmarkEnd w:id="28"/>
    <w:bookmarkStart w:id="56" w:name="results"/>
    <w:p>
      <w:pPr>
        <w:pStyle w:val="Heading1"/>
      </w:pPr>
      <w:r>
        <w:t xml:space="preserve">4. Results</w:t>
      </w:r>
    </w:p>
    <w:bookmarkStart w:id="50" w:name="exploratorydescriptive-analysis"/>
    <w:p>
      <w:pPr>
        <w:pStyle w:val="Heading2"/>
      </w:pPr>
      <w:r>
        <w:t xml:space="preserve">4.1 Exploratory/Descriptive analysis</w:t>
      </w:r>
    </w:p>
    <w:p>
      <w:pPr>
        <w:pStyle w:val="SourceCode"/>
      </w:pPr>
      <w:r>
        <w:rPr>
          <w:rStyle w:val="FunctionTok"/>
        </w:rPr>
        <w:t xml:space="preserve">library</w:t>
      </w:r>
      <w:r>
        <w:rPr>
          <w:rStyle w:val="NormalTok"/>
        </w:rPr>
        <w:t xml:space="preserve">(here)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"day-30-mortality.png"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fig-mortality"/>
          <w:p>
            <w:pPr>
              <w:pStyle w:val="Compact"/>
              <w:jc w:val="center"/>
            </w:pPr>
            <w:r>
              <w:drawing>
                <wp:inline>
                  <wp:extent cx="5334000" cy="3333749"/>
                  <wp:effectExtent b="0" l="0" r="0" t="0"/>
                  <wp:docPr descr="" title="" id="30" name="Picture"/>
                  <a:graphic>
                    <a:graphicData uri="http://schemas.openxmlformats.org/drawingml/2006/picture">
                      <pic:pic>
                        <pic:nvPicPr>
                          <pic:cNvPr descr="../../results/figures/day-30-mortality.png" id="31" name="Picture"/>
                          <pic:cNvPicPr>
                            <a:picLocks noChangeArrowheads="1" noChangeAspect="1"/>
                          </pic:cNvPicPr>
                        </pic:nvPicPr>
                        <pic:blipFill>
                          <a:blip r:embed="rId2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30-day mortality outcomes in the synthetic dataset</w:t>
            </w:r>
          </w:p>
          <w:bookmarkEnd w:id="32"/>
        </w:tc>
      </w:tr>
    </w:tbl>
    <w:p>
      <w:pPr>
        <w:pStyle w:val="BodyText"/>
      </w:pPr>
      <w:r>
        <w:t xml:space="preserve">In</w:t>
      </w:r>
      <w:r>
        <w:t xml:space="preserve"> </w:t>
      </w:r>
      <w:hyperlink w:anchor="fig-mortality">
        <w:r>
          <w:rPr>
            <w:rStyle w:val="Hyperlink"/>
          </w:rPr>
          <w:t xml:space="preserve">Figure 1</w:t>
        </w:r>
      </w:hyperlink>
      <w:r>
        <w:t xml:space="preserve">, the vast majority of hospital admissions resulted in survival within 30 days. Only 13 admissions (approximately 0.1%) were associated with death within 30 days, while approximately 99.9% of admissions survived beyond 30 days. This highly imbalanced outcome distribution reflects the synthetic data generation process and indicates that mortality events are rare in the simulated cohort.</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"perscriptoin-frequency.png"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6" w:name="fig-med-frequency"/>
          <w:p>
            <w:pPr>
              <w:pStyle w:val="Compact"/>
              <w:jc w:val="center"/>
            </w:pPr>
            <w:r>
              <w:drawing>
                <wp:inline>
                  <wp:extent cx="5334000" cy="3333749"/>
                  <wp:effectExtent b="0" l="0" r="0" t="0"/>
                  <wp:docPr descr="" title="" id="34" name="Picture"/>
                  <a:graphic>
                    <a:graphicData uri="http://schemas.openxmlformats.org/drawingml/2006/picture">
                      <pic:pic>
                        <pic:nvPicPr>
                          <pic:cNvPr descr="../../results/figures/perscriptoin-frequency.png" id="35" name="Picture"/>
                          <pic:cNvPicPr>
                            <a:picLocks noChangeArrowheads="1" noChangeAspect="1"/>
                          </pic:cNvPicPr>
                        </pic:nvPicPr>
                        <pic:blipFill>
                          <a:blip r:embed="rId3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Medication Class Usage Among Admitted Patients, showing the proportion of hospital admissions associated with six common medication classes.</w:t>
            </w:r>
          </w:p>
          <w:bookmarkEnd w:id="36"/>
        </w:tc>
      </w:tr>
    </w:tbl>
    <w:p>
      <w:pPr>
        <w:pStyle w:val="BodyText"/>
      </w:pPr>
      <w:hyperlink w:anchor="fig-med-frequency">
        <w:r>
          <w:rPr>
            <w:rStyle w:val="Hyperlink"/>
          </w:rPr>
          <w:t xml:space="preserve">Figure 2</w:t>
        </w:r>
      </w:hyperlink>
      <w:r>
        <w:t xml:space="preserve"> </w:t>
      </w:r>
      <w:r>
        <w:t xml:space="preserve">shows that the six medication classes shown are all prescribed at similar rates, ranging narrowly from 51.9% to 53.6% of admissions. Anticoagulants are the most frequently used class, appearing in just over half of all admissions (53.6%), followed closely by statins (52.9%) and insulin (52.7%). Antiplatelets, diuretics, and ACE inhibitors round out the list, each prescribed in roughly 52% of cases.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"unadjusted-perscriptoin-frequency.png"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fig-med-mortality"/>
          <w:p>
            <w:pPr>
              <w:pStyle w:val="Compact"/>
              <w:jc w:val="center"/>
            </w:pPr>
            <w:r>
              <w:drawing>
                <wp:inline>
                  <wp:extent cx="5334000" cy="3333749"/>
                  <wp:effectExtent b="0" l="0" r="0" t="0"/>
                  <wp:docPr descr="" title="" id="38" name="Picture"/>
                  <a:graphic>
                    <a:graphicData uri="http://schemas.openxmlformats.org/drawingml/2006/picture">
                      <pic:pic>
                        <pic:nvPicPr>
                          <pic:cNvPr descr="../../results/figures/unadjusted-perscriptoin-frequency.png" id="39" name="Picture"/>
                          <pic:cNvPicPr>
                            <a:picLocks noChangeArrowheads="1" noChangeAspect="1"/>
                          </pic:cNvPicPr>
                        </pic:nvPicPr>
                        <pic:blipFill>
                          <a:blip r:embed="rId3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Unadjusted 30-day mortality rate by medication class, comparing patients who received versus did not receive each medication class during their hospital admission.</w:t>
            </w:r>
          </w:p>
          <w:bookmarkEnd w:id="40"/>
        </w:tc>
      </w:tr>
    </w:tbl>
    <w:p>
      <w:pPr>
        <w:pStyle w:val="BodyText"/>
      </w:pPr>
      <w:hyperlink w:anchor="fig-med-mortality">
        <w:r>
          <w:rPr>
            <w:rStyle w:val="Hyperlink"/>
          </w:rPr>
          <w:t xml:space="preserve">Figure 3</w:t>
        </w:r>
      </w:hyperlink>
      <w:r>
        <w:t xml:space="preserve"> </w:t>
      </w:r>
      <w:r>
        <w:t xml:space="preserve">reveals notably different mortality patterns depending on the medication class. Insulin and ACE inhibitors stand out as the only two classes where patients who received them had lower unadjusted 30-day mortality than those who did not, most strikingly for insulin, where recipients had a mortality rate near 0.05% compared to roughly 0.17% for non-recipients. In contrast, anticoagulants, diuretics, antiplatelets, and statins all show the opposite pattern, with recipients experiencing higher raw mortality rates than non-recipients.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"polypharmacy-frequency.png"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fig-polypharmacy-freq"/>
          <w:p>
            <w:pPr>
              <w:pStyle w:val="Compact"/>
              <w:jc w:val="center"/>
            </w:pPr>
            <w:r>
              <w:drawing>
                <wp:inline>
                  <wp:extent cx="5334000" cy="3333749"/>
                  <wp:effectExtent b="0" l="0" r="0" t="0"/>
                  <wp:docPr descr="" title="" id="42" name="Picture"/>
                  <a:graphic>
                    <a:graphicData uri="http://schemas.openxmlformats.org/drawingml/2006/picture">
                      <pic:pic>
                        <pic:nvPicPr>
                          <pic:cNvPr descr="../../results/figures/polypharmacy-frequency.png" id="43" name="Picture"/>
                          <pic:cNvPicPr>
                            <a:picLocks noChangeArrowheads="1" noChangeAspect="1"/>
                          </pic:cNvPicPr>
                        </pic:nvPicPr>
                        <pic:blipFill>
                          <a:blip r:embed="rId4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Unadjusted 30-day mortality rate by number of medication classes received during hospital admission, with point size scaled to the number of admissions in each group.</w:t>
            </w:r>
          </w:p>
          <w:bookmarkEnd w:id="44"/>
        </w:tc>
      </w:tr>
    </w:tbl>
    <w:p>
      <w:pPr>
        <w:pStyle w:val="BodyText"/>
      </w:pPr>
      <w:hyperlink w:anchor="fig-polypharmacy-freq">
        <w:r>
          <w:rPr>
            <w:rStyle w:val="Hyperlink"/>
          </w:rPr>
          <w:t xml:space="preserve">Figure 4</w:t>
        </w:r>
      </w:hyperlink>
      <w:r>
        <w:t xml:space="preserve"> </w:t>
      </w:r>
      <w:r>
        <w:t xml:space="preserve">displays a non-linear, inverted U-shaped relationship between polypharmacy and 30-day mortality. Mortality rises sharply from near 0% among patients receiving only one medication class to a peak of approximately 0.12% to 0.13% among those receiving three classes, then declines steadily through four and five classes before dropping back to near 0% among patients receiving all six classes. The point sizes indicate that the middle groups, particularly those receiving three to four medication classes, represent the largest share of admissions, lending more reliability to the estimates in that range. The near-zero mortality at both extremes is notable and warrants careful interpretation, as patients receiving very few or all six medication classes may represent highly distinct clinical subgroups, and the small sample sizes at those extremes make those estimates less stable. As with the previous figure, Further analysis would be necessary to determine whether the observed pattern reflects a true relationship between polypharmacy and mortality or is driven by differences in underlying patient characteristics across groups.</w:t>
      </w:r>
    </w:p>
    <w:p>
      <w:pPr>
        <w:pStyle w:val="BodyText"/>
      </w:pPr>
      <w:r>
        <w:t xml:space="preserve">To complement the descriptive findings, a series of simple single-predictor logistic regression models were fit to quantify the unadjusted association between each exposure of interest and 30-day mortality. For each of the six medication classes, a separate logistic regression model was fit with the binary medication receipt indicator as the sole predictor of 30-day mortality. This approach provides odds ratios (ORs) and 95% confidence intervals (CIs) that are more interpretable than raw rate differences alone. In addition, logistic regression models were fit for age (continuous) and sex to characterize their individual unadjusted associations with the outcome. Finally, polypharmacy count (number of medication classes received) was modeled as a continuous predictor to formally test the trend observed in the descriptive analysis. All models were fit using the</w:t>
      </w:r>
      <w:r>
        <w:t xml:space="preserve"> </w:t>
      </w:r>
      <w:r>
        <w:rPr>
          <w:rStyle w:val="VerbatimChar"/>
        </w:rPr>
        <w:t xml:space="preserve">glm()</w:t>
      </w:r>
      <w:r>
        <w:t xml:space="preserve"> </w:t>
      </w:r>
      <w:r>
        <w:t xml:space="preserve">function in R with a binomial family and logit link. Given the highly imbalanced outcome (approximately 0.1% mortality), results should be interpreted cautiously and no p-value threshold is used to designate statistical significance.</w:t>
      </w:r>
    </w:p>
    <w:p>
      <w:pPr>
        <w:pStyle w:val="SourceCode"/>
      </w:pP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(knitr)</w:t>
      </w:r>
      <w:r>
        <w:br/>
      </w:r>
      <w:r>
        <w:br/>
      </w:r>
      <w:r>
        <w:rPr>
          <w:rStyle w:val="CommentTok"/>
        </w:rPr>
        <w:t xml:space="preserve"># Load and prepare the analytic dataset</w:t>
      </w:r>
      <w:r>
        <w:br/>
      </w:r>
      <w:r>
        <w:rPr>
          <w:rStyle w:val="NormalTok"/>
        </w:rPr>
        <w:t xml:space="preserve">admissions_clean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"processed-data"</w:t>
      </w:r>
      <w:r>
        <w:rPr>
          <w:rStyle w:val="NormalTok"/>
        </w:rPr>
        <w:t xml:space="preserve">, </w:t>
      </w:r>
      <w:r>
        <w:rPr>
          <w:rStyle w:val="StringTok"/>
        </w:rPr>
        <w:t xml:space="preserve">"analysis_dataset.csv"</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age               =</w:t>
      </w:r>
      <w:r>
        <w:rPr>
          <w:rStyle w:val="NormalTok"/>
        </w:rPr>
        <w:t xml:space="preserve"> age_at_admission,</w:t>
      </w:r>
      <w:r>
        <w:br/>
      </w:r>
      <w:r>
        <w:rPr>
          <w:rStyle w:val="NormalTok"/>
        </w:rPr>
        <w:t xml:space="preserve">    </w:t>
      </w:r>
      <w:r>
        <w:rPr>
          <w:rStyle w:val="AttributeTok"/>
        </w:rPr>
        <w:t xml:space="preserve">med_anticoagulant =</w:t>
      </w:r>
      <w:r>
        <w:rPr>
          <w:rStyle w:val="NormalTok"/>
        </w:rPr>
        <w:t xml:space="preserve"> anticoagulant,</w:t>
      </w:r>
      <w:r>
        <w:br/>
      </w:r>
      <w:r>
        <w:rPr>
          <w:rStyle w:val="NormalTok"/>
        </w:rPr>
        <w:t xml:space="preserve">    </w:t>
      </w:r>
      <w:r>
        <w:rPr>
          <w:rStyle w:val="AttributeTok"/>
        </w:rPr>
        <w:t xml:space="preserve">med_statin        =</w:t>
      </w:r>
      <w:r>
        <w:rPr>
          <w:rStyle w:val="NormalTok"/>
        </w:rPr>
        <w:t xml:space="preserve"> statin,</w:t>
      </w:r>
      <w:r>
        <w:br/>
      </w:r>
      <w:r>
        <w:rPr>
          <w:rStyle w:val="NormalTok"/>
        </w:rPr>
        <w:t xml:space="preserve">    </w:t>
      </w:r>
      <w:r>
        <w:rPr>
          <w:rStyle w:val="AttributeTok"/>
        </w:rPr>
        <w:t xml:space="preserve">med_insulin       =</w:t>
      </w:r>
      <w:r>
        <w:rPr>
          <w:rStyle w:val="NormalTok"/>
        </w:rPr>
        <w:t xml:space="preserve"> insulin,</w:t>
      </w:r>
      <w:r>
        <w:br/>
      </w:r>
      <w:r>
        <w:rPr>
          <w:rStyle w:val="NormalTok"/>
        </w:rPr>
        <w:t xml:space="preserve">    </w:t>
      </w:r>
      <w:r>
        <w:rPr>
          <w:rStyle w:val="AttributeTok"/>
        </w:rPr>
        <w:t xml:space="preserve">med_antiplatelet  =</w:t>
      </w:r>
      <w:r>
        <w:rPr>
          <w:rStyle w:val="NormalTok"/>
        </w:rPr>
        <w:t xml:space="preserve"> antiplatelet,</w:t>
      </w:r>
      <w:r>
        <w:br/>
      </w:r>
      <w:r>
        <w:rPr>
          <w:rStyle w:val="NormalTok"/>
        </w:rPr>
        <w:t xml:space="preserve">    </w:t>
      </w:r>
      <w:r>
        <w:rPr>
          <w:rStyle w:val="AttributeTok"/>
        </w:rPr>
        <w:t xml:space="preserve">med_diuretic      =</w:t>
      </w:r>
      <w:r>
        <w:rPr>
          <w:rStyle w:val="NormalTok"/>
        </w:rPr>
        <w:t xml:space="preserve"> diuretic,</w:t>
      </w:r>
      <w:r>
        <w:br/>
      </w:r>
      <w:r>
        <w:rPr>
          <w:rStyle w:val="NormalTok"/>
        </w:rPr>
        <w:t xml:space="preserve">    </w:t>
      </w:r>
      <w:r>
        <w:rPr>
          <w:rStyle w:val="AttributeTok"/>
        </w:rPr>
        <w:t xml:space="preserve">med_ace_inhibitor =</w:t>
      </w:r>
      <w:r>
        <w:rPr>
          <w:rStyle w:val="NormalTok"/>
        </w:rPr>
        <w:t xml:space="preserve"> ace_inhibitor</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n_med_classes =</w:t>
      </w:r>
      <w:r>
        <w:rPr>
          <w:rStyle w:val="NormalTok"/>
        </w:rPr>
        <w:t xml:space="preserve"> med_anticoagulant </w:t>
      </w:r>
      <w:r>
        <w:rPr>
          <w:rStyle w:val="SpecialCharTok"/>
        </w:rPr>
        <w:t xml:space="preserve">+</w:t>
      </w:r>
      <w:r>
        <w:rPr>
          <w:rStyle w:val="NormalTok"/>
        </w:rPr>
        <w:t xml:space="preserve"> med_statin </w:t>
      </w:r>
      <w:r>
        <w:rPr>
          <w:rStyle w:val="SpecialCharTok"/>
        </w:rPr>
        <w:t xml:space="preserve">+</w:t>
      </w:r>
      <w:r>
        <w:rPr>
          <w:rStyle w:val="NormalTok"/>
        </w:rPr>
        <w:t xml:space="preserve"> med_insulin </w:t>
      </w:r>
      <w:r>
        <w:rPr>
          <w:rStyle w:val="SpecialCharTok"/>
        </w:rPr>
        <w:t xml:space="preserve">+</w:t>
      </w:r>
      <w:r>
        <w:br/>
      </w:r>
      <w:r>
        <w:rPr>
          <w:rStyle w:val="NormalTok"/>
        </w:rPr>
        <w:t xml:space="preserve">                    med_antiplatelet </w:t>
      </w:r>
      <w:r>
        <w:rPr>
          <w:rStyle w:val="SpecialCharTok"/>
        </w:rPr>
        <w:t xml:space="preserve">+</w:t>
      </w:r>
      <w:r>
        <w:rPr>
          <w:rStyle w:val="NormalTok"/>
        </w:rPr>
        <w:t xml:space="preserve"> med_diuretic </w:t>
      </w:r>
      <w:r>
        <w:rPr>
          <w:rStyle w:val="SpecialCharTok"/>
        </w:rPr>
        <w:t xml:space="preserve">+</w:t>
      </w:r>
      <w:r>
        <w:rPr>
          <w:rStyle w:val="NormalTok"/>
        </w:rPr>
        <w:t xml:space="preserve"> med_ace_inhibitor</w:t>
      </w:r>
      <w:r>
        <w:br/>
      </w:r>
      <w:r>
        <w:rPr>
          <w:rStyle w:val="NormalTok"/>
        </w:rPr>
        <w:t xml:space="preserve">  )</w:t>
      </w:r>
      <w:r>
        <w:br/>
      </w:r>
      <w:r>
        <w:br/>
      </w:r>
      <w:r>
        <w:rPr>
          <w:rStyle w:val="CommentTok"/>
        </w:rPr>
        <w:t xml:space="preserve"># Define predictors to loop over</w:t>
      </w:r>
      <w:r>
        <w:br/>
      </w:r>
      <w:r>
        <w:rPr>
          <w:rStyle w:val="NormalTok"/>
        </w:rPr>
        <w:t xml:space="preserve">predictors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"med_anticoagulant"</w:t>
      </w:r>
      <w:r>
        <w:rPr>
          <w:rStyle w:val="NormalTok"/>
        </w:rPr>
        <w:t xml:space="preserve">, </w:t>
      </w:r>
      <w:r>
        <w:rPr>
          <w:rStyle w:val="StringTok"/>
        </w:rPr>
        <w:t xml:space="preserve">"med_statin"</w:t>
      </w:r>
      <w:r>
        <w:rPr>
          <w:rStyle w:val="NormalTok"/>
        </w:rPr>
        <w:t xml:space="preserve">, </w:t>
      </w:r>
      <w:r>
        <w:rPr>
          <w:rStyle w:val="StringTok"/>
        </w:rPr>
        <w:t xml:space="preserve">"med_insulin"</w:t>
      </w:r>
      <w:r>
        <w:rPr>
          <w:rStyle w:val="NormalTok"/>
        </w:rPr>
        <w:t xml:space="preserve">,</w:t>
      </w:r>
      <w:r>
        <w:br/>
      </w:r>
      <w:r>
        <w:rPr>
          <w:rStyle w:val="NormalTok"/>
        </w:rPr>
        <w:t xml:space="preserve">  </w:t>
      </w:r>
      <w:r>
        <w:rPr>
          <w:rStyle w:val="StringTok"/>
        </w:rPr>
        <w:t xml:space="preserve">"med_antiplatelet"</w:t>
      </w:r>
      <w:r>
        <w:rPr>
          <w:rStyle w:val="NormalTok"/>
        </w:rPr>
        <w:t xml:space="preserve">, </w:t>
      </w:r>
      <w:r>
        <w:rPr>
          <w:rStyle w:val="StringTok"/>
        </w:rPr>
        <w:t xml:space="preserve">"med_diuretic"</w:t>
      </w:r>
      <w:r>
        <w:rPr>
          <w:rStyle w:val="NormalTok"/>
        </w:rPr>
        <w:t xml:space="preserve">, </w:t>
      </w:r>
      <w:r>
        <w:rPr>
          <w:rStyle w:val="StringTok"/>
        </w:rPr>
        <w:t xml:space="preserve">"med_ace_inhibitor"</w:t>
      </w:r>
      <w:r>
        <w:rPr>
          <w:rStyle w:val="NormalTok"/>
        </w:rPr>
        <w:t xml:space="preserve">,</w:t>
      </w:r>
      <w:r>
        <w:br/>
      </w:r>
      <w:r>
        <w:rPr>
          <w:rStyle w:val="NormalTok"/>
        </w:rPr>
        <w:t xml:space="preserve">  </w:t>
      </w:r>
      <w:r>
        <w:rPr>
          <w:rStyle w:val="StringTok"/>
        </w:rPr>
        <w:t xml:space="preserve">"age"</w:t>
      </w:r>
      <w:r>
        <w:rPr>
          <w:rStyle w:val="NormalTok"/>
        </w:rPr>
        <w:t xml:space="preserve">, </w:t>
      </w:r>
      <w:r>
        <w:rPr>
          <w:rStyle w:val="StringTok"/>
        </w:rPr>
        <w:t xml:space="preserve">"gender"</w:t>
      </w:r>
      <w:r>
        <w:rPr>
          <w:rStyle w:val="NormalTok"/>
        </w:rPr>
        <w:t xml:space="preserve">, </w:t>
      </w:r>
      <w:r>
        <w:rPr>
          <w:rStyle w:val="StringTok"/>
        </w:rPr>
        <w:t xml:space="preserve">"n_med_classes"</w:t>
      </w:r>
      <w:r>
        <w:br/>
      </w:r>
      <w:r>
        <w:rPr>
          <w:rStyle w:val="NormalTok"/>
        </w:rPr>
        <w:t xml:space="preserve">)</w:t>
      </w:r>
      <w:r>
        <w:br/>
      </w:r>
      <w:r>
        <w:br/>
      </w:r>
      <w:r>
        <w:rPr>
          <w:rStyle w:val="CommentTok"/>
        </w:rPr>
        <w:t xml:space="preserve"># Fit one logistic regression per predictor and extract tidy results</w:t>
      </w:r>
      <w:r>
        <w:br/>
      </w:r>
      <w:r>
        <w:rPr>
          <w:rStyle w:val="NormalTok"/>
        </w:rPr>
        <w:t xml:space="preserve">basic_results </w:t>
      </w:r>
      <w:r>
        <w:rPr>
          <w:rStyle w:val="OtherTok"/>
        </w:rPr>
        <w:t xml:space="preserve">&lt;-</w:t>
      </w:r>
      <w:r>
        <w:rPr>
          <w:rStyle w:val="NormalTok"/>
        </w:rPr>
        <w:t xml:space="preserve"> </w:t>
      </w:r>
      <w:r>
        <w:rPr>
          <w:rStyle w:val="FunctionTok"/>
        </w:rPr>
        <w:t xml:space="preserve">lapply</w:t>
      </w:r>
      <w:r>
        <w:rPr>
          <w:rStyle w:val="NormalTok"/>
        </w:rPr>
        <w:t xml:space="preserve">(predictors, </w:t>
      </w:r>
      <w:r>
        <w:rPr>
          <w:rStyle w:val="ControlFlowTok"/>
        </w:rPr>
        <w:t xml:space="preserve">function</w:t>
      </w:r>
      <w:r>
        <w:rPr>
          <w:rStyle w:val="NormalTok"/>
        </w:rPr>
        <w:t xml:space="preserve">(pred) {</w:t>
      </w:r>
      <w:r>
        <w:br/>
      </w:r>
      <w:r>
        <w:rPr>
          <w:rStyle w:val="NormalTok"/>
        </w:rPr>
        <w:t xml:space="preserve">  formula </w:t>
      </w:r>
      <w:r>
        <w:rPr>
          <w:rStyle w:val="OtherTok"/>
        </w:rPr>
        <w:t xml:space="preserve">&lt;-</w:t>
      </w:r>
      <w:r>
        <w:rPr>
          <w:rStyle w:val="NormalTok"/>
        </w:rPr>
        <w:t xml:space="preserve"> </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"mortality_30day ~"</w:t>
      </w:r>
      <w:r>
        <w:rPr>
          <w:rStyle w:val="NormalTok"/>
        </w:rPr>
        <w:t xml:space="preserve">, pred))</w:t>
      </w:r>
      <w:r>
        <w:br/>
      </w:r>
      <w:r>
        <w:rPr>
          <w:rStyle w:val="NormalTok"/>
        </w:rPr>
        <w:t xml:space="preserve">  fit </w:t>
      </w:r>
      <w:r>
        <w:rPr>
          <w:rStyle w:val="OtherTok"/>
        </w:rPr>
        <w:t xml:space="preserve">&lt;-</w:t>
      </w:r>
      <w:r>
        <w:rPr>
          <w:rStyle w:val="NormalTok"/>
        </w:rPr>
        <w:t xml:space="preserve"> </w:t>
      </w:r>
      <w:r>
        <w:rPr>
          <w:rStyle w:val="FunctionTok"/>
        </w:rPr>
        <w:t xml:space="preserve">glm</w:t>
      </w:r>
      <w:r>
        <w:rPr>
          <w:rStyle w:val="NormalTok"/>
        </w:rPr>
        <w:t xml:space="preserve">(formula, </w:t>
      </w:r>
      <w:r>
        <w:rPr>
          <w:rStyle w:val="AttributeTok"/>
        </w:rPr>
        <w:t xml:space="preserve">data =</w:t>
      </w:r>
      <w:r>
        <w:rPr>
          <w:rStyle w:val="NormalTok"/>
        </w:rPr>
        <w:t xml:space="preserve"> admissions_clean,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FunctionTok"/>
        </w:rPr>
        <w:t xml:space="preserve">tidy</w:t>
      </w:r>
      <w:r>
        <w:rPr>
          <w:rStyle w:val="NormalTok"/>
        </w:rPr>
        <w:t xml:space="preserve">(fit,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predictor =</w:t>
      </w:r>
      <w:r>
        <w:rPr>
          <w:rStyle w:val="NormalTok"/>
        </w:rPr>
        <w:t xml:space="preserve"> pred)</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Predictor =</w:t>
      </w:r>
      <w:r>
        <w:rPr>
          <w:rStyle w:val="NormalTok"/>
        </w:rPr>
        <w:t xml:space="preserve"> predictor, </w:t>
      </w:r>
      <w:r>
        <w:rPr>
          <w:rStyle w:val="AttributeTok"/>
        </w:rPr>
        <w:t xml:space="preserve">Term =</w:t>
      </w:r>
      <w:r>
        <w:rPr>
          <w:rStyle w:val="NormalTok"/>
        </w:rPr>
        <w:t xml:space="preserve"> term,</w:t>
      </w:r>
      <w:r>
        <w:br/>
      </w:r>
      <w:r>
        <w:rPr>
          <w:rStyle w:val="NormalTok"/>
        </w:rPr>
        <w:t xml:space="preserve">         </w:t>
      </w:r>
      <w:r>
        <w:rPr>
          <w:rStyle w:val="AttributeTok"/>
        </w:rPr>
        <w:t xml:space="preserve">OR =</w:t>
      </w:r>
      <w:r>
        <w:rPr>
          <w:rStyle w:val="NormalTok"/>
        </w:rPr>
        <w:t xml:space="preserve"> estimate,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OtherTok"/>
        </w:rPr>
        <w:t xml:space="preserve">=</w:t>
      </w:r>
      <w:r>
        <w:rPr>
          <w:rStyle w:val="NormalTok"/>
        </w:rPr>
        <w:t xml:space="preserve"> conf.low,</w:t>
      </w:r>
      <w:r>
        <w:br/>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w:t>
      </w:r>
      <w:r>
        <w:rPr>
          <w:rStyle w:val="OtherTok"/>
        </w:rPr>
        <w:t xml:space="preserve">=</w:t>
      </w:r>
      <w:r>
        <w:rPr>
          <w:rStyle w:val="NormalTok"/>
        </w:rPr>
        <w:t xml:space="preserve"> conf.high,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(OR,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w:t>
      </w:r>
      <w:r>
        <w:rPr>
          <w:rStyle w:val="StringTok"/>
        </w:rPr>
        <w:t xml:space="preserve">`</w:t>
      </w:r>
      <w:r>
        <w:rPr>
          <w:rStyle w:val="AttributeTok"/>
        </w:rPr>
        <w:t xml:space="preserve">p-value</w:t>
      </w:r>
      <w:r>
        <w:rPr>
          <w:rStyle w:val="StringTok"/>
        </w:rPr>
        <w:t xml:space="preserve">`</w:t>
      </w:r>
      <w:r>
        <w:rPr>
          <w:rStyle w:val="NormalTok"/>
        </w:rPr>
        <w:t xml:space="preserve">, </w:t>
      </w:r>
      <w:r>
        <w:rPr>
          <w:rStyle w:val="DecValTok"/>
        </w:rPr>
        <w:t xml:space="preserve">3</w:t>
      </w:r>
      <w:r>
        <w:rPr>
          <w:rStyle w:val="NormalTok"/>
        </w:rPr>
        <w:t xml:space="preserve">))</w:t>
      </w:r>
      <w:r>
        <w:br/>
      </w:r>
      <w:r>
        <w:br/>
      </w:r>
      <w:r>
        <w:rPr>
          <w:rStyle w:val="CommentTok"/>
        </w:rPr>
        <w:t xml:space="preserve"># Save and display</w:t>
      </w:r>
      <w:r>
        <w:br/>
      </w:r>
      <w:r>
        <w:rPr>
          <w:rStyle w:val="FunctionTok"/>
        </w:rPr>
        <w:t xml:space="preserve">saveRDS</w:t>
      </w:r>
      <w:r>
        <w:rPr>
          <w:rStyle w:val="NormalTok"/>
        </w:rPr>
        <w:t xml:space="preserve">(basic_results,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"tables"</w:t>
      </w:r>
      <w:r>
        <w:rPr>
          <w:rStyle w:val="NormalTok"/>
        </w:rPr>
        <w:t xml:space="preserve">, </w:t>
      </w:r>
      <w:r>
        <w:rPr>
          <w:rStyle w:val="StringTok"/>
        </w:rPr>
        <w:t xml:space="preserve">"basic_logreg_results.rds"</w:t>
      </w:r>
      <w:r>
        <w:rPr>
          <w:rStyle w:val="NormalTok"/>
        </w:rPr>
        <w:t xml:space="preserve">))</w:t>
      </w:r>
      <w:r>
        <w:br/>
      </w:r>
      <w:r>
        <w:rPr>
          <w:rStyle w:val="FunctionTok"/>
        </w:rPr>
        <w:t xml:space="preserve">kable</w:t>
      </w:r>
      <w:r>
        <w:rPr>
          <w:rStyle w:val="NormalTok"/>
        </w:rPr>
        <w:t xml:space="preserve">(basic_results)</w:t>
      </w:r>
    </w:p>
    <w:tbl>
      <w:tblPr>
        <w:tblStyle w:val="Table"/>
        <w:tblW w:type="pct" w:w="5000"/>
        <w:tblLayout w:type="fixed"/>
        <w:tblLook w:firstRow="0" w:lastRow="0" w:firstColumn="0" w:lastColumn="0" w:noHBand="0" w:noVBand="0" w:val="0000"/>
      </w:tblPr>
      <w:tblGrid>
        <w:gridCol w:w="7920"/>
      </w:tblGrid>
      <w:tr>
        <w:tc>
          <w:tcPr/>
          <w:bookmarkStart w:id="45" w:name="tbl-basic-logreg"/>
          <w:p>
            <w:pPr>
              <w:jc w:val="center"/>
            </w:pPr>
            <w:pPr>
              <w:jc w:val="left"/>
              <w:spacing w:before="200"/>
              <w:pStyle w:val="ImageCaption"/>
            </w:pPr>
            <w:r>
              <w:t xml:space="preserve">Table 1: Unadjusted odds ratios (95% CI) from single-predictor logistic regression models for 30-day mortality.</w:t>
            </w:r>
          </w:p>
          <w:tbl>
            <w:tblPr>
              <w:tblStyle w:val="Table"/>
              <w:tblW w:type="pct" w:w="5000"/>
              <w:tblLayout w:type="fixed"/>
              <w:tblLook w:firstRow="1" w:lastRow="0" w:firstColumn="0" w:lastColumn="0" w:noHBand="0" w:noVBand="0" w:val="0020"/>
            </w:tblPr>
            <w:tblGrid>
              <w:gridCol w:w="1875"/>
              <w:gridCol w:w="1875"/>
              <w:gridCol w:w="625"/>
              <w:gridCol w:w="1354"/>
              <w:gridCol w:w="1354"/>
              <w:gridCol w:w="833"/>
            </w:tblGrid>
            <w:tr>
              <w:trPr>
                <w:tblHeader w:val="on"/>
              </w:trPr>
              <w:tc>
                <w:tcPr/>
                <w:p>
                  <w:pPr>
                    <w:pStyle w:val="Compact"/>
                    <w:jc w:val="left"/>
                    <w:jc w:val="center"/>
                  </w:pPr>
                  <w:r>
                    <w:t xml:space="preserve">Predictor</w:t>
                  </w:r>
                </w:p>
              </w:tc>
              <w:tc>
                <w:tcPr/>
                <w:p>
                  <w:pPr>
                    <w:pStyle w:val="Compact"/>
                    <w:jc w:val="left"/>
                    <w:jc w:val="center"/>
                  </w:pPr>
                  <w:r>
                    <w:t xml:space="preserve">Term</w:t>
                  </w:r>
                </w:p>
              </w:tc>
              <w:tc>
                <w:tcPr/>
                <w:p>
                  <w:pPr>
                    <w:pStyle w:val="Compact"/>
                    <w:jc w:val="right"/>
                    <w:jc w:val="center"/>
                  </w:pPr>
                  <w:r>
                    <w:t xml:space="preserve">OR</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right"/>
                    <w:jc w:val="center"/>
                  </w:pPr>
                  <w:r>
                    <w:t xml:space="preserve">p-value</w:t>
                  </w:r>
                </w:p>
              </w:tc>
            </w:tr>
            <w:tr>
              <w:tc>
                <w:tcPr/>
                <w:p>
                  <w:pPr>
                    <w:pStyle w:val="Compact"/>
                    <w:jc w:val="left"/>
                    <w:jc w:val="center"/>
                  </w:pPr>
                  <w:r>
                    <w:t xml:space="preserve">med_anticoagulant</w:t>
                  </w:r>
                </w:p>
              </w:tc>
              <w:tc>
                <w:tcPr/>
                <w:p>
                  <w:pPr>
                    <w:pStyle w:val="Compact"/>
                    <w:jc w:val="left"/>
                    <w:jc w:val="center"/>
                  </w:pPr>
                  <w:r>
                    <w:t xml:space="preserve">med_anticoagulant</w:t>
                  </w:r>
                </w:p>
              </w:tc>
              <w:tc>
                <w:tcPr/>
                <w:p>
                  <w:pPr>
                    <w:pStyle w:val="Compact"/>
                    <w:jc w:val="right"/>
                    <w:jc w:val="center"/>
                  </w:pPr>
                  <w:r>
                    <w:t xml:space="preserve">2.889</w:t>
                  </w:r>
                </w:p>
              </w:tc>
              <w:tc>
                <w:tcPr/>
                <w:p>
                  <w:pPr>
                    <w:pStyle w:val="Compact"/>
                    <w:jc w:val="right"/>
                    <w:jc w:val="center"/>
                  </w:pPr>
                  <w:r>
                    <w:t xml:space="preserve">0.883</w:t>
                  </w:r>
                </w:p>
              </w:tc>
              <w:tc>
                <w:tcPr/>
                <w:p>
                  <w:pPr>
                    <w:pStyle w:val="Compact"/>
                    <w:jc w:val="right"/>
                    <w:jc w:val="center"/>
                  </w:pPr>
                  <w:r>
                    <w:t xml:space="preserve">12.891</w:t>
                  </w:r>
                </w:p>
              </w:tc>
              <w:tc>
                <w:tcPr/>
                <w:p>
                  <w:pPr>
                    <w:pStyle w:val="Compact"/>
                    <w:jc w:val="right"/>
                    <w:jc w:val="center"/>
                  </w:pPr>
                  <w:r>
                    <w:t xml:space="preserve">0.1070</w:t>
                  </w:r>
                </w:p>
              </w:tc>
            </w:tr>
            <w:tr>
              <w:tc>
                <w:tcPr/>
                <w:p>
                  <w:pPr>
                    <w:pStyle w:val="Compact"/>
                    <w:jc w:val="left"/>
                    <w:jc w:val="center"/>
                  </w:pPr>
                  <w:r>
                    <w:t xml:space="preserve">med_statin</w:t>
                  </w:r>
                </w:p>
              </w:tc>
              <w:tc>
                <w:tcPr/>
                <w:p>
                  <w:pPr>
                    <w:pStyle w:val="Compact"/>
                    <w:jc w:val="left"/>
                    <w:jc w:val="center"/>
                  </w:pPr>
                  <w:r>
                    <w:t xml:space="preserve">med_statin</w:t>
                  </w:r>
                </w:p>
              </w:tc>
              <w:tc>
                <w:tcPr/>
                <w:p>
                  <w:pPr>
                    <w:pStyle w:val="Compact"/>
                    <w:jc w:val="right"/>
                    <w:jc w:val="center"/>
                  </w:pPr>
                  <w:r>
                    <w:t xml:space="preserve">1.037</w:t>
                  </w:r>
                </w:p>
              </w:tc>
              <w:tc>
                <w:tcPr/>
                <w:p>
                  <w:pPr>
                    <w:pStyle w:val="Compact"/>
                    <w:jc w:val="right"/>
                    <w:jc w:val="center"/>
                  </w:pPr>
                  <w:r>
                    <w:t xml:space="preserve">0.344</w:t>
                  </w:r>
                </w:p>
              </w:tc>
              <w:tc>
                <w:tcPr/>
                <w:p>
                  <w:pPr>
                    <w:pStyle w:val="Compact"/>
                    <w:jc w:val="right"/>
                    <w:jc w:val="center"/>
                  </w:pPr>
                  <w:r>
                    <w:t xml:space="preserve">3.224</w:t>
                  </w:r>
                </w:p>
              </w:tc>
              <w:tc>
                <w:tcPr/>
                <w:p>
                  <w:pPr>
                    <w:pStyle w:val="Compact"/>
                    <w:jc w:val="right"/>
                    <w:jc w:val="center"/>
                  </w:pPr>
                  <w:r>
                    <w:t xml:space="preserve">0.9480</w:t>
                  </w:r>
                </w:p>
              </w:tc>
            </w:tr>
            <w:tr>
              <w:tc>
                <w:tcPr/>
                <w:p>
                  <w:pPr>
                    <w:pStyle w:val="Compact"/>
                    <w:jc w:val="left"/>
                    <w:jc w:val="center"/>
                  </w:pPr>
                  <w:r>
                    <w:t xml:space="preserve">med_insulin</w:t>
                  </w:r>
                </w:p>
              </w:tc>
              <w:tc>
                <w:tcPr/>
                <w:p>
                  <w:pPr>
                    <w:pStyle w:val="Compact"/>
                    <w:jc w:val="left"/>
                    <w:jc w:val="center"/>
                  </w:pPr>
                  <w:r>
                    <w:t xml:space="preserve">med_insulin</w:t>
                  </w:r>
                </w:p>
              </w:tc>
              <w:tc>
                <w:tcPr/>
                <w:p>
                  <w:pPr>
                    <w:pStyle w:val="Compact"/>
                    <w:jc w:val="right"/>
                    <w:jc w:val="center"/>
                  </w:pPr>
                  <w:r>
                    <w:t xml:space="preserve">0.269</w:t>
                  </w:r>
                </w:p>
              </w:tc>
              <w:tc>
                <w:tcPr/>
                <w:p>
                  <w:pPr>
                    <w:pStyle w:val="Compact"/>
                    <w:jc w:val="right"/>
                    <w:jc w:val="center"/>
                  </w:pPr>
                  <w:r>
                    <w:t xml:space="preserve">0.060</w:t>
                  </w:r>
                </w:p>
              </w:tc>
              <w:tc>
                <w:tcPr/>
                <w:p>
                  <w:pPr>
                    <w:pStyle w:val="Compact"/>
                    <w:jc w:val="right"/>
                    <w:jc w:val="center"/>
                  </w:pPr>
                  <w:r>
                    <w:t xml:space="preserve">0.878</w:t>
                  </w:r>
                </w:p>
              </w:tc>
              <w:tc>
                <w:tcPr/>
                <w:p>
                  <w:pPr>
                    <w:pStyle w:val="Compact"/>
                    <w:jc w:val="right"/>
                    <w:jc w:val="center"/>
                  </w:pPr>
                  <w:r>
                    <w:t xml:space="preserve">0.0459</w:t>
                  </w:r>
                </w:p>
              </w:tc>
            </w:tr>
            <w:tr>
              <w:tc>
                <w:tcPr/>
                <w:p>
                  <w:pPr>
                    <w:pStyle w:val="Compact"/>
                    <w:jc w:val="left"/>
                    <w:jc w:val="center"/>
                  </w:pPr>
                  <w:r>
                    <w:t xml:space="preserve">med_antiplatelet</w:t>
                  </w:r>
                </w:p>
              </w:tc>
              <w:tc>
                <w:tcPr/>
                <w:p>
                  <w:pPr>
                    <w:pStyle w:val="Compact"/>
                    <w:jc w:val="left"/>
                    <w:jc w:val="center"/>
                  </w:pPr>
                  <w:r>
                    <w:t xml:space="preserve">med_antiplatelet</w:t>
                  </w:r>
                </w:p>
              </w:tc>
              <w:tc>
                <w:tcPr/>
                <w:p>
                  <w:pPr>
                    <w:pStyle w:val="Compact"/>
                    <w:jc w:val="right"/>
                    <w:jc w:val="center"/>
                  </w:pPr>
                  <w:r>
                    <w:t xml:space="preserve">1.459</w:t>
                  </w:r>
                </w:p>
              </w:tc>
              <w:tc>
                <w:tcPr/>
                <w:p>
                  <w:pPr>
                    <w:pStyle w:val="Compact"/>
                    <w:jc w:val="right"/>
                    <w:jc w:val="center"/>
                  </w:pPr>
                  <w:r>
                    <w:t xml:space="preserve">0.486</w:t>
                  </w:r>
                </w:p>
              </w:tc>
              <w:tc>
                <w:tcPr/>
                <w:p>
                  <w:pPr>
                    <w:pStyle w:val="Compact"/>
                    <w:jc w:val="right"/>
                    <w:jc w:val="center"/>
                  </w:pPr>
                  <w:r>
                    <w:t xml:space="preserve">4.830</w:t>
                  </w:r>
                </w:p>
              </w:tc>
              <w:tc>
                <w:tcPr/>
                <w:p>
                  <w:pPr>
                    <w:pStyle w:val="Compact"/>
                    <w:jc w:val="right"/>
                    <w:jc w:val="center"/>
                  </w:pPr>
                  <w:r>
                    <w:t xml:space="preserve">0.5080</w:t>
                  </w:r>
                </w:p>
              </w:tc>
            </w:tr>
            <w:tr>
              <w:tc>
                <w:tcPr/>
                <w:p>
                  <w:pPr>
                    <w:pStyle w:val="Compact"/>
                    <w:jc w:val="left"/>
                    <w:jc w:val="center"/>
                  </w:pPr>
                  <w:r>
                    <w:t xml:space="preserve">med_diuretic</w:t>
                  </w:r>
                </w:p>
              </w:tc>
              <w:tc>
                <w:tcPr/>
                <w:p>
                  <w:pPr>
                    <w:pStyle w:val="Compact"/>
                    <w:jc w:val="left"/>
                    <w:jc w:val="center"/>
                  </w:pPr>
                  <w:r>
                    <w:t xml:space="preserve">med_diuretic</w:t>
                  </w:r>
                </w:p>
              </w:tc>
              <w:tc>
                <w:tcPr/>
                <w:p>
                  <w:pPr>
                    <w:pStyle w:val="Compact"/>
                    <w:jc w:val="right"/>
                    <w:jc w:val="center"/>
                  </w:pPr>
                  <w:r>
                    <w:t xml:space="preserve">3.053</w:t>
                  </w:r>
                </w:p>
              </w:tc>
              <w:tc>
                <w:tcPr/>
                <w:p>
                  <w:pPr>
                    <w:pStyle w:val="Compact"/>
                    <w:jc w:val="right"/>
                    <w:jc w:val="center"/>
                  </w:pPr>
                  <w:r>
                    <w:t xml:space="preserve">0.933</w:t>
                  </w:r>
                </w:p>
              </w:tc>
              <w:tc>
                <w:tcPr/>
                <w:p>
                  <w:pPr>
                    <w:pStyle w:val="Compact"/>
                    <w:jc w:val="right"/>
                    <w:jc w:val="center"/>
                  </w:pPr>
                  <w:r>
                    <w:t xml:space="preserve">13.621</w:t>
                  </w:r>
                </w:p>
              </w:tc>
              <w:tc>
                <w:tcPr/>
                <w:p>
                  <w:pPr>
                    <w:pStyle w:val="Compact"/>
                    <w:jc w:val="right"/>
                    <w:jc w:val="center"/>
                  </w:pPr>
                  <w:r>
                    <w:t xml:space="preserve">0.0901</w:t>
                  </w:r>
                </w:p>
              </w:tc>
            </w:tr>
            <w:tr>
              <w:tc>
                <w:tcPr/>
                <w:p>
                  <w:pPr>
                    <w:pStyle w:val="Compact"/>
                    <w:jc w:val="left"/>
                    <w:jc w:val="center"/>
                  </w:pPr>
                  <w:r>
                    <w:t xml:space="preserve">med_ace_inhibitor</w:t>
                  </w:r>
                </w:p>
              </w:tc>
              <w:tc>
                <w:tcPr/>
                <w:p>
                  <w:pPr>
                    <w:pStyle w:val="Compact"/>
                    <w:jc w:val="left"/>
                    <w:jc w:val="center"/>
                  </w:pPr>
                  <w:r>
                    <w:t xml:space="preserve">med_ace_inhibitor</w:t>
                  </w:r>
                </w:p>
              </w:tc>
              <w:tc>
                <w:tcPr/>
                <w:p>
                  <w:pPr>
                    <w:pStyle w:val="Compact"/>
                    <w:jc w:val="right"/>
                    <w:jc w:val="center"/>
                  </w:pPr>
                  <w:r>
                    <w:t xml:space="preserve">0.579</w:t>
                  </w:r>
                </w:p>
              </w:tc>
              <w:tc>
                <w:tcPr/>
                <w:p>
                  <w:pPr>
                    <w:pStyle w:val="Compact"/>
                    <w:jc w:val="right"/>
                    <w:jc w:val="center"/>
                  </w:pPr>
                  <w:r>
                    <w:t xml:space="preserve">0.175</w:t>
                  </w:r>
                </w:p>
              </w:tc>
              <w:tc>
                <w:tcPr/>
                <w:p>
                  <w:pPr>
                    <w:pStyle w:val="Compact"/>
                    <w:jc w:val="right"/>
                    <w:jc w:val="center"/>
                  </w:pPr>
                  <w:r>
                    <w:t xml:space="preserve">1.738</w:t>
                  </w:r>
                </w:p>
              </w:tc>
              <w:tc>
                <w:tcPr/>
                <w:p>
                  <w:pPr>
                    <w:pStyle w:val="Compact"/>
                    <w:jc w:val="right"/>
                    <w:jc w:val="center"/>
                  </w:pPr>
                  <w:r>
                    <w:t xml:space="preserve">0.3390</w:t>
                  </w:r>
                </w:p>
              </w:tc>
            </w:tr>
            <w:tr>
              <w:tc>
                <w:tcPr/>
                <w:p>
                  <w:pPr>
                    <w:pStyle w:val="Compact"/>
                    <w:jc w:val="left"/>
                    <w:jc w:val="center"/>
                  </w:pPr>
                  <w:r>
                    <w:t xml:space="preserve">age</w:t>
                  </w:r>
                </w:p>
              </w:tc>
              <w:tc>
                <w:tcPr/>
                <w:p>
                  <w:pPr>
                    <w:pStyle w:val="Compact"/>
                    <w:jc w:val="left"/>
                    <w:jc w:val="center"/>
                  </w:pPr>
                  <w:r>
                    <w:t xml:space="preserve">age</w:t>
                  </w:r>
                </w:p>
              </w:tc>
              <w:tc>
                <w:tcPr/>
                <w:p>
                  <w:pPr>
                    <w:pStyle w:val="Compact"/>
                    <w:jc w:val="right"/>
                    <w:jc w:val="center"/>
                  </w:pPr>
                  <w:r>
                    <w:t xml:space="preserve">0.985</w:t>
                  </w:r>
                </w:p>
              </w:tc>
              <w:tc>
                <w:tcPr/>
                <w:p>
                  <w:pPr>
                    <w:pStyle w:val="Compact"/>
                    <w:jc w:val="right"/>
                    <w:jc w:val="center"/>
                  </w:pPr>
                  <w:r>
                    <w:t xml:space="preserve">0.955</w:t>
                  </w:r>
                </w:p>
              </w:tc>
              <w:tc>
                <w:tcPr/>
                <w:p>
                  <w:pPr>
                    <w:pStyle w:val="Compact"/>
                    <w:jc w:val="right"/>
                    <w:jc w:val="center"/>
                  </w:pPr>
                  <w:r>
                    <w:t xml:space="preserve">1.015</w:t>
                  </w:r>
                </w:p>
              </w:tc>
              <w:tc>
                <w:tcPr/>
                <w:p>
                  <w:pPr>
                    <w:pStyle w:val="Compact"/>
                    <w:jc w:val="right"/>
                    <w:jc w:val="center"/>
                  </w:pPr>
                  <w:r>
                    <w:t xml:space="preserve">0.3120</w:t>
                  </w:r>
                </w:p>
              </w:tc>
            </w:tr>
            <w:tr>
              <w:tc>
                <w:tcPr/>
                <w:p>
                  <w:pPr>
                    <w:pStyle w:val="Compact"/>
                    <w:jc w:val="left"/>
                    <w:jc w:val="center"/>
                  </w:pPr>
                  <w:r>
                    <w:t xml:space="preserve">gender</w:t>
                  </w:r>
                </w:p>
              </w:tc>
              <w:tc>
                <w:tcPr/>
                <w:p>
                  <w:pPr>
                    <w:pStyle w:val="Compact"/>
                    <w:jc w:val="left"/>
                    <w:jc w:val="center"/>
                  </w:pPr>
                  <w:r>
                    <w:t xml:space="preserve">genderM</w:t>
                  </w:r>
                </w:p>
              </w:tc>
              <w:tc>
                <w:tcPr/>
                <w:p>
                  <w:pPr>
                    <w:pStyle w:val="Compact"/>
                    <w:jc w:val="right"/>
                    <w:jc w:val="center"/>
                  </w:pPr>
                  <w:r>
                    <w:t xml:space="preserve">0.447</w:t>
                  </w:r>
                </w:p>
              </w:tc>
              <w:tc>
                <w:tcPr/>
                <w:p>
                  <w:pPr>
                    <w:pStyle w:val="Compact"/>
                    <w:jc w:val="right"/>
                    <w:jc w:val="center"/>
                  </w:pPr>
                  <w:r>
                    <w:t xml:space="preserve">0.121</w:t>
                  </w:r>
                </w:p>
              </w:tc>
              <w:tc>
                <w:tcPr/>
                <w:p>
                  <w:pPr>
                    <w:pStyle w:val="Compact"/>
                    <w:jc w:val="right"/>
                    <w:jc w:val="center"/>
                  </w:pPr>
                  <w:r>
                    <w:t xml:space="preserve">1.372</w:t>
                  </w:r>
                </w:p>
              </w:tc>
              <w:tc>
                <w:tcPr/>
                <w:p>
                  <w:pPr>
                    <w:pStyle w:val="Compact"/>
                    <w:jc w:val="right"/>
                    <w:jc w:val="center"/>
                  </w:pPr>
                  <w:r>
                    <w:t xml:space="preserve">0.1800</w:t>
                  </w:r>
                </w:p>
              </w:tc>
            </w:tr>
            <w:tr>
              <w:tc>
                <w:tcPr/>
                <w:p>
                  <w:pPr>
                    <w:pStyle w:val="Compact"/>
                    <w:jc w:val="left"/>
                    <w:jc w:val="center"/>
                  </w:pPr>
                  <w:r>
                    <w:t xml:space="preserve">n_med_classes</w:t>
                  </w:r>
                </w:p>
              </w:tc>
              <w:tc>
                <w:tcPr/>
                <w:p>
                  <w:pPr>
                    <w:pStyle w:val="Compact"/>
                    <w:jc w:val="left"/>
                    <w:jc w:val="center"/>
                  </w:pPr>
                  <w:r>
                    <w:t xml:space="preserve">n_med_classes</w:t>
                  </w:r>
                </w:p>
              </w:tc>
              <w:tc>
                <w:tcPr/>
                <w:p>
                  <w:pPr>
                    <w:pStyle w:val="Compact"/>
                    <w:jc w:val="right"/>
                    <w:jc w:val="center"/>
                  </w:pPr>
                  <w:r>
                    <w:t xml:space="preserve">1.169</w:t>
                  </w:r>
                </w:p>
              </w:tc>
              <w:tc>
                <w:tcPr/>
                <w:p>
                  <w:pPr>
                    <w:pStyle w:val="Compact"/>
                    <w:jc w:val="right"/>
                    <w:jc w:val="center"/>
                  </w:pPr>
                  <w:r>
                    <w:t xml:space="preserve">0.671</w:t>
                  </w:r>
                </w:p>
              </w:tc>
              <w:tc>
                <w:tcPr/>
                <w:p>
                  <w:pPr>
                    <w:pStyle w:val="Compact"/>
                    <w:jc w:val="right"/>
                    <w:jc w:val="center"/>
                  </w:pPr>
                  <w:r>
                    <w:t xml:space="preserve">2.032</w:t>
                  </w:r>
                </w:p>
              </w:tc>
              <w:tc>
                <w:tcPr/>
                <w:p>
                  <w:pPr>
                    <w:pStyle w:val="Compact"/>
                    <w:jc w:val="right"/>
                    <w:jc w:val="center"/>
                  </w:pPr>
                  <w:r>
                    <w:t xml:space="preserve">0.5800</w:t>
                  </w:r>
                </w:p>
              </w:tc>
            </w:tr>
          </w:tbl>
          <w:bookmarkEnd w:id="45"/>
          <w:p/>
        </w:tc>
      </w:tr>
    </w:tbl>
    <w:p>
      <w:pPr>
        <w:pStyle w:val="SourceCode"/>
      </w:pP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CommentTok"/>
        </w:rPr>
        <w:t xml:space="preserve"># Load and prepare the analytic dataset</w:t>
      </w:r>
      <w:r>
        <w:br/>
      </w:r>
      <w:r>
        <w:rPr>
          <w:rStyle w:val="NormalTok"/>
        </w:rPr>
        <w:t xml:space="preserve">admissions_clean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"processed-data"</w:t>
      </w:r>
      <w:r>
        <w:rPr>
          <w:rStyle w:val="NormalTok"/>
        </w:rPr>
        <w:t xml:space="preserve">, </w:t>
      </w:r>
      <w:r>
        <w:rPr>
          <w:rStyle w:val="StringTok"/>
        </w:rPr>
        <w:t xml:space="preserve">"analysis_dataset.csv"</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age               =</w:t>
      </w:r>
      <w:r>
        <w:rPr>
          <w:rStyle w:val="NormalTok"/>
        </w:rPr>
        <w:t xml:space="preserve"> age_at_admission,</w:t>
      </w:r>
      <w:r>
        <w:br/>
      </w:r>
      <w:r>
        <w:rPr>
          <w:rStyle w:val="NormalTok"/>
        </w:rPr>
        <w:t xml:space="preserve">    </w:t>
      </w:r>
      <w:r>
        <w:rPr>
          <w:rStyle w:val="AttributeTok"/>
        </w:rPr>
        <w:t xml:space="preserve">med_anticoagulant =</w:t>
      </w:r>
      <w:r>
        <w:rPr>
          <w:rStyle w:val="NormalTok"/>
        </w:rPr>
        <w:t xml:space="preserve"> anticoagulant,</w:t>
      </w:r>
      <w:r>
        <w:br/>
      </w:r>
      <w:r>
        <w:rPr>
          <w:rStyle w:val="NormalTok"/>
        </w:rPr>
        <w:t xml:space="preserve">    </w:t>
      </w:r>
      <w:r>
        <w:rPr>
          <w:rStyle w:val="AttributeTok"/>
        </w:rPr>
        <w:t xml:space="preserve">med_statin        =</w:t>
      </w:r>
      <w:r>
        <w:rPr>
          <w:rStyle w:val="NormalTok"/>
        </w:rPr>
        <w:t xml:space="preserve"> statin,</w:t>
      </w:r>
      <w:r>
        <w:br/>
      </w:r>
      <w:r>
        <w:rPr>
          <w:rStyle w:val="NormalTok"/>
        </w:rPr>
        <w:t xml:space="preserve">    </w:t>
      </w:r>
      <w:r>
        <w:rPr>
          <w:rStyle w:val="AttributeTok"/>
        </w:rPr>
        <w:t xml:space="preserve">med_insulin       =</w:t>
      </w:r>
      <w:r>
        <w:rPr>
          <w:rStyle w:val="NormalTok"/>
        </w:rPr>
        <w:t xml:space="preserve"> insulin,</w:t>
      </w:r>
      <w:r>
        <w:br/>
      </w:r>
      <w:r>
        <w:rPr>
          <w:rStyle w:val="NormalTok"/>
        </w:rPr>
        <w:t xml:space="preserve">    </w:t>
      </w:r>
      <w:r>
        <w:rPr>
          <w:rStyle w:val="AttributeTok"/>
        </w:rPr>
        <w:t xml:space="preserve">med_antiplatelet  =</w:t>
      </w:r>
      <w:r>
        <w:rPr>
          <w:rStyle w:val="NormalTok"/>
        </w:rPr>
        <w:t xml:space="preserve"> antiplatelet,</w:t>
      </w:r>
      <w:r>
        <w:br/>
      </w:r>
      <w:r>
        <w:rPr>
          <w:rStyle w:val="NormalTok"/>
        </w:rPr>
        <w:t xml:space="preserve">    </w:t>
      </w:r>
      <w:r>
        <w:rPr>
          <w:rStyle w:val="AttributeTok"/>
        </w:rPr>
        <w:t xml:space="preserve">med_diuretic      =</w:t>
      </w:r>
      <w:r>
        <w:rPr>
          <w:rStyle w:val="NormalTok"/>
        </w:rPr>
        <w:t xml:space="preserve"> diuretic,</w:t>
      </w:r>
      <w:r>
        <w:br/>
      </w:r>
      <w:r>
        <w:rPr>
          <w:rStyle w:val="NormalTok"/>
        </w:rPr>
        <w:t xml:space="preserve">    </w:t>
      </w:r>
      <w:r>
        <w:rPr>
          <w:rStyle w:val="AttributeTok"/>
        </w:rPr>
        <w:t xml:space="preserve">med_ace_inhibitor =</w:t>
      </w:r>
      <w:r>
        <w:rPr>
          <w:rStyle w:val="NormalTok"/>
        </w:rPr>
        <w:t xml:space="preserve"> ace_inhibitor</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n_med_classes =</w:t>
      </w:r>
      <w:r>
        <w:rPr>
          <w:rStyle w:val="NormalTok"/>
        </w:rPr>
        <w:t xml:space="preserve"> med_anticoagulant </w:t>
      </w:r>
      <w:r>
        <w:rPr>
          <w:rStyle w:val="SpecialCharTok"/>
        </w:rPr>
        <w:t xml:space="preserve">+</w:t>
      </w:r>
      <w:r>
        <w:rPr>
          <w:rStyle w:val="NormalTok"/>
        </w:rPr>
        <w:t xml:space="preserve"> med_statin </w:t>
      </w:r>
      <w:r>
        <w:rPr>
          <w:rStyle w:val="SpecialCharTok"/>
        </w:rPr>
        <w:t xml:space="preserve">+</w:t>
      </w:r>
      <w:r>
        <w:rPr>
          <w:rStyle w:val="NormalTok"/>
        </w:rPr>
        <w:t xml:space="preserve"> med_insulin </w:t>
      </w:r>
      <w:r>
        <w:rPr>
          <w:rStyle w:val="SpecialCharTok"/>
        </w:rPr>
        <w:t xml:space="preserve">+</w:t>
      </w:r>
      <w:r>
        <w:br/>
      </w:r>
      <w:r>
        <w:rPr>
          <w:rStyle w:val="NormalTok"/>
        </w:rPr>
        <w:t xml:space="preserve">                    med_antiplatelet </w:t>
      </w:r>
      <w:r>
        <w:rPr>
          <w:rStyle w:val="SpecialCharTok"/>
        </w:rPr>
        <w:t xml:space="preserve">+</w:t>
      </w:r>
      <w:r>
        <w:rPr>
          <w:rStyle w:val="NormalTok"/>
        </w:rPr>
        <w:t xml:space="preserve"> med_diuretic </w:t>
      </w:r>
      <w:r>
        <w:rPr>
          <w:rStyle w:val="SpecialCharTok"/>
        </w:rPr>
        <w:t xml:space="preserve">+</w:t>
      </w:r>
      <w:r>
        <w:rPr>
          <w:rStyle w:val="NormalTok"/>
        </w:rPr>
        <w:t xml:space="preserve"> med_ace_inhibitor</w:t>
      </w:r>
      <w:r>
        <w:br/>
      </w:r>
      <w:r>
        <w:rPr>
          <w:rStyle w:val="NormalTok"/>
        </w:rPr>
        <w:t xml:space="preserve">  )</w:t>
      </w:r>
      <w:r>
        <w:br/>
      </w:r>
      <w:r>
        <w:br/>
      </w:r>
      <w:r>
        <w:rPr>
          <w:rStyle w:val="NormalTok"/>
        </w:rPr>
        <w:t xml:space="preserve">predictors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"med_anticoagulant"</w:t>
      </w:r>
      <w:r>
        <w:rPr>
          <w:rStyle w:val="NormalTok"/>
        </w:rPr>
        <w:t xml:space="preserve">, </w:t>
      </w:r>
      <w:r>
        <w:rPr>
          <w:rStyle w:val="StringTok"/>
        </w:rPr>
        <w:t xml:space="preserve">"med_statin"</w:t>
      </w:r>
      <w:r>
        <w:rPr>
          <w:rStyle w:val="NormalTok"/>
        </w:rPr>
        <w:t xml:space="preserve">, </w:t>
      </w:r>
      <w:r>
        <w:rPr>
          <w:rStyle w:val="StringTok"/>
        </w:rPr>
        <w:t xml:space="preserve">"med_insulin"</w:t>
      </w:r>
      <w:r>
        <w:rPr>
          <w:rStyle w:val="NormalTok"/>
        </w:rPr>
        <w:t xml:space="preserve">,</w:t>
      </w:r>
      <w:r>
        <w:br/>
      </w:r>
      <w:r>
        <w:rPr>
          <w:rStyle w:val="NormalTok"/>
        </w:rPr>
        <w:t xml:space="preserve">  </w:t>
      </w:r>
      <w:r>
        <w:rPr>
          <w:rStyle w:val="StringTok"/>
        </w:rPr>
        <w:t xml:space="preserve">"med_antiplatelet"</w:t>
      </w:r>
      <w:r>
        <w:rPr>
          <w:rStyle w:val="NormalTok"/>
        </w:rPr>
        <w:t xml:space="preserve">, </w:t>
      </w:r>
      <w:r>
        <w:rPr>
          <w:rStyle w:val="StringTok"/>
        </w:rPr>
        <w:t xml:space="preserve">"med_diuretic"</w:t>
      </w:r>
      <w:r>
        <w:rPr>
          <w:rStyle w:val="NormalTok"/>
        </w:rPr>
        <w:t xml:space="preserve">, </w:t>
      </w:r>
      <w:r>
        <w:rPr>
          <w:rStyle w:val="StringTok"/>
        </w:rPr>
        <w:t xml:space="preserve">"med_ace_inhibitor"</w:t>
      </w:r>
      <w:r>
        <w:rPr>
          <w:rStyle w:val="NormalTok"/>
        </w:rPr>
        <w:t xml:space="preserve">,</w:t>
      </w:r>
      <w:r>
        <w:br/>
      </w:r>
      <w:r>
        <w:rPr>
          <w:rStyle w:val="NormalTok"/>
        </w:rPr>
        <w:t xml:space="preserve">  </w:t>
      </w:r>
      <w:r>
        <w:rPr>
          <w:rStyle w:val="StringTok"/>
        </w:rPr>
        <w:t xml:space="preserve">"age"</w:t>
      </w:r>
      <w:r>
        <w:rPr>
          <w:rStyle w:val="NormalTok"/>
        </w:rPr>
        <w:t xml:space="preserve">, </w:t>
      </w:r>
      <w:r>
        <w:rPr>
          <w:rStyle w:val="StringTok"/>
        </w:rPr>
        <w:t xml:space="preserve">"gender"</w:t>
      </w:r>
      <w:r>
        <w:rPr>
          <w:rStyle w:val="NormalTok"/>
        </w:rPr>
        <w:t xml:space="preserve">, </w:t>
      </w:r>
      <w:r>
        <w:rPr>
          <w:rStyle w:val="StringTok"/>
        </w:rPr>
        <w:t xml:space="preserve">"n_med_classes"</w:t>
      </w:r>
      <w:r>
        <w:br/>
      </w:r>
      <w:r>
        <w:rPr>
          <w:rStyle w:val="NormalTok"/>
        </w:rPr>
        <w:t xml:space="preserve">)</w:t>
      </w:r>
      <w:r>
        <w:br/>
      </w:r>
      <w:r>
        <w:br/>
      </w:r>
      <w:r>
        <w:rPr>
          <w:rStyle w:val="NormalTok"/>
        </w:rPr>
        <w:t xml:space="preserve">basic_results </w:t>
      </w:r>
      <w:r>
        <w:rPr>
          <w:rStyle w:val="OtherTok"/>
        </w:rPr>
        <w:t xml:space="preserve">&lt;-</w:t>
      </w:r>
      <w:r>
        <w:rPr>
          <w:rStyle w:val="NormalTok"/>
        </w:rPr>
        <w:t xml:space="preserve"> </w:t>
      </w:r>
      <w:r>
        <w:rPr>
          <w:rStyle w:val="FunctionTok"/>
        </w:rPr>
        <w:t xml:space="preserve">lapply</w:t>
      </w:r>
      <w:r>
        <w:rPr>
          <w:rStyle w:val="NormalTok"/>
        </w:rPr>
        <w:t xml:space="preserve">(predictors, </w:t>
      </w:r>
      <w:r>
        <w:rPr>
          <w:rStyle w:val="ControlFlowTok"/>
        </w:rPr>
        <w:t xml:space="preserve">function</w:t>
      </w:r>
      <w:r>
        <w:rPr>
          <w:rStyle w:val="NormalTok"/>
        </w:rPr>
        <w:t xml:space="preserve">(pred) {</w:t>
      </w:r>
      <w:r>
        <w:br/>
      </w:r>
      <w:r>
        <w:rPr>
          <w:rStyle w:val="NormalTok"/>
        </w:rPr>
        <w:t xml:space="preserve">  formula </w:t>
      </w:r>
      <w:r>
        <w:rPr>
          <w:rStyle w:val="OtherTok"/>
        </w:rPr>
        <w:t xml:space="preserve">&lt;-</w:t>
      </w:r>
      <w:r>
        <w:rPr>
          <w:rStyle w:val="NormalTok"/>
        </w:rPr>
        <w:t xml:space="preserve"> </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"mortality_30day ~"</w:t>
      </w:r>
      <w:r>
        <w:rPr>
          <w:rStyle w:val="NormalTok"/>
        </w:rPr>
        <w:t xml:space="preserve">, pred))</w:t>
      </w:r>
      <w:r>
        <w:br/>
      </w:r>
      <w:r>
        <w:rPr>
          <w:rStyle w:val="NormalTok"/>
        </w:rPr>
        <w:t xml:space="preserve">  fit </w:t>
      </w:r>
      <w:r>
        <w:rPr>
          <w:rStyle w:val="OtherTok"/>
        </w:rPr>
        <w:t xml:space="preserve">&lt;-</w:t>
      </w:r>
      <w:r>
        <w:rPr>
          <w:rStyle w:val="NormalTok"/>
        </w:rPr>
        <w:t xml:space="preserve"> </w:t>
      </w:r>
      <w:r>
        <w:rPr>
          <w:rStyle w:val="FunctionTok"/>
        </w:rPr>
        <w:t xml:space="preserve">glm</w:t>
      </w:r>
      <w:r>
        <w:rPr>
          <w:rStyle w:val="NormalTok"/>
        </w:rPr>
        <w:t xml:space="preserve">(formula, </w:t>
      </w:r>
      <w:r>
        <w:rPr>
          <w:rStyle w:val="AttributeTok"/>
        </w:rPr>
        <w:t xml:space="preserve">data =</w:t>
      </w:r>
      <w:r>
        <w:rPr>
          <w:rStyle w:val="NormalTok"/>
        </w:rPr>
        <w:t xml:space="preserve"> admissions_clean,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FunctionTok"/>
        </w:rPr>
        <w:t xml:space="preserve">tidy</w:t>
      </w:r>
      <w:r>
        <w:rPr>
          <w:rStyle w:val="NormalTok"/>
        </w:rPr>
        <w:t xml:space="preserve">(fit,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predictor =</w:t>
      </w:r>
      <w:r>
        <w:rPr>
          <w:rStyle w:val="NormalTok"/>
        </w:rPr>
        <w:t xml:space="preserve"> pred)</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Predictor =</w:t>
      </w:r>
      <w:r>
        <w:rPr>
          <w:rStyle w:val="NormalTok"/>
        </w:rPr>
        <w:t xml:space="preserve"> predictor, </w:t>
      </w:r>
      <w:r>
        <w:rPr>
          <w:rStyle w:val="AttributeTok"/>
        </w:rPr>
        <w:t xml:space="preserve">Term =</w:t>
      </w:r>
      <w:r>
        <w:rPr>
          <w:rStyle w:val="NormalTok"/>
        </w:rPr>
        <w:t xml:space="preserve"> term,</w:t>
      </w:r>
      <w:r>
        <w:br/>
      </w:r>
      <w:r>
        <w:rPr>
          <w:rStyle w:val="NormalTok"/>
        </w:rPr>
        <w:t xml:space="preserve">         </w:t>
      </w:r>
      <w:r>
        <w:rPr>
          <w:rStyle w:val="AttributeTok"/>
        </w:rPr>
        <w:t xml:space="preserve">OR =</w:t>
      </w:r>
      <w:r>
        <w:rPr>
          <w:rStyle w:val="NormalTok"/>
        </w:rPr>
        <w:t xml:space="preserve"> estimate,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OtherTok"/>
        </w:rPr>
        <w:t xml:space="preserve">=</w:t>
      </w:r>
      <w:r>
        <w:rPr>
          <w:rStyle w:val="NormalTok"/>
        </w:rPr>
        <w:t xml:space="preserve"> conf.low,</w:t>
      </w:r>
      <w:r>
        <w:br/>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w:t>
      </w:r>
      <w:r>
        <w:rPr>
          <w:rStyle w:val="OtherTok"/>
        </w:rPr>
        <w:t xml:space="preserve">=</w:t>
      </w:r>
      <w:r>
        <w:rPr>
          <w:rStyle w:val="NormalTok"/>
        </w:rPr>
        <w:t xml:space="preserve"> conf.high,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(OR,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p-value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w:t>
      </w:r>
      <w:r>
        <w:rPr>
          <w:rStyle w:val="StringTok"/>
        </w:rPr>
        <w:t xml:space="preserve">`</w:t>
      </w:r>
      <w:r>
        <w:rPr>
          <w:rStyle w:val="AttributeTok"/>
        </w:rPr>
        <w:t xml:space="preserve">p-value</w:t>
      </w:r>
      <w:r>
        <w:rPr>
          <w:rStyle w:val="StringTok"/>
        </w:rPr>
        <w:t xml:space="preserve">`</w:t>
      </w:r>
      <w:r>
        <w:rPr>
          <w:rStyle w:val="NormalTok"/>
        </w:rPr>
        <w:t xml:space="preserve">, </w:t>
      </w:r>
      <w:r>
        <w:rPr>
          <w:rStyle w:val="DecValTok"/>
        </w:rPr>
        <w:t xml:space="preserve">3</w:t>
      </w:r>
      <w:r>
        <w:rPr>
          <w:rStyle w:val="NormalTok"/>
        </w:rPr>
        <w:t xml:space="preserve">))</w:t>
      </w:r>
      <w:r>
        <w:br/>
      </w:r>
      <w:r>
        <w:br/>
      </w:r>
      <w:r>
        <w:rPr>
          <w:rStyle w:val="NormalTok"/>
        </w:rPr>
        <w:t xml:space="preserve">basic_results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OR, </w:t>
      </w:r>
      <w:r>
        <w:rPr>
          <w:rStyle w:val="AttributeTok"/>
        </w:rPr>
        <w:t xml:space="preserve">y =</w:t>
      </w:r>
      <w:r>
        <w:rPr>
          <w:rStyle w:val="NormalTok"/>
        </w:rPr>
        <w:t xml:space="preserve"> </w:t>
      </w:r>
      <w:r>
        <w:rPr>
          <w:rStyle w:val="FunctionTok"/>
        </w:rPr>
        <w:t xml:space="preserve">reorder</w:t>
      </w:r>
      <w:r>
        <w:rPr>
          <w:rStyle w:val="NormalTok"/>
        </w:rPr>
        <w:t xml:space="preserve">(Term, OR)))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w:t>
      </w:r>
      <w:r>
        <w:rPr>
          <w:rStyle w:val="StringTok"/>
        </w:rPr>
        <w:t xml:space="preserve">`</w:t>
      </w:r>
      <w:r>
        <w:rPr>
          <w:rStyle w:val="AttributeTok"/>
        </w:rPr>
        <w:t xml:space="preserve">95% CI Lower</w:t>
      </w:r>
      <w:r>
        <w:rPr>
          <w:rStyle w:val="StringTok"/>
        </w:rPr>
        <w:t xml:space="preserve">`</w:t>
      </w:r>
      <w:r>
        <w:rPr>
          <w:rStyle w:val="NormalTok"/>
        </w:rPr>
        <w:t xml:space="preserve">, </w:t>
      </w:r>
      <w:r>
        <w:rPr>
          <w:rStyle w:val="AttributeTok"/>
        </w:rPr>
        <w:t xml:space="preserve">xmax =</w:t>
      </w:r>
      <w:r>
        <w:rPr>
          <w:rStyle w:val="NormalTok"/>
        </w:rPr>
        <w:t xml:space="preserve"> </w:t>
      </w:r>
      <w:r>
        <w:rPr>
          <w:rStyle w:val="StringTok"/>
        </w:rPr>
        <w:t xml:space="preserve">`</w:t>
      </w:r>
      <w:r>
        <w:rPr>
          <w:rStyle w:val="AttributeTok"/>
        </w:rPr>
        <w:t xml:space="preserve">95% CI Upper</w:t>
      </w:r>
      <w:r>
        <w:rPr>
          <w:rStyle w:val="StringTok"/>
        </w:rPr>
        <w:t xml:space="preserv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"gray40"</w:t>
      </w:r>
      <w:r>
        <w:rPr>
          <w:rStyle w:val="NormalTok"/>
        </w:rPr>
        <w:t xml:space="preserve">) </w:t>
      </w:r>
      <w:r>
        <w:rPr>
          <w:rStyle w:val="SpecialCharTok"/>
        </w:rPr>
        <w:t xml:space="preserve">+</w:t>
      </w:r>
      <w:r>
        <w:br/>
      </w:r>
      <w:r>
        <w:rPr>
          <w:rStyle w:val="NormalTok"/>
        </w:rPr>
        <w:t xml:space="preserve">  </w:t>
      </w:r>
      <w:r>
        <w:rPr>
          <w:rStyle w:val="FunctionTok"/>
        </w:rPr>
        <w:t xml:space="preserve">scale_x_log10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"Odds Ratio (log scale)"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"Unadjusted Odds Ratios for 30-Day Mortality"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"basic_logreg_forest.png"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fig-basic-logreg-forest"/>
          <w:p>
            <w:pPr>
              <w:pStyle w:val="Compact"/>
              <w:jc w:val="center"/>
            </w:pPr>
            <w:r>
              <w:drawing>
                <wp:inline>
                  <wp:extent cx="4620126" cy="3696101"/>
                  <wp:effectExtent b="0" l="0" r="0" t="0"/>
                  <wp:docPr descr="" title="" id="47" name="Picture"/>
                  <a:graphic>
                    <a:graphicData uri="http://schemas.openxmlformats.org/drawingml/2006/picture">
                      <pic:pic>
                        <pic:nvPicPr>
                          <pic:cNvPr descr="Manuscript_files/figure-docx/fig-basic-logreg-forest-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Forest plot of unadjusted odds ratios (95% CI) for 30-day mortality by predictor. ORs greater than 1 indicate higher odds of mortality; ORs less than 1 indicate lower odds. The dashed vertical line marks the null (OR = 1).</w:t>
            </w:r>
          </w:p>
          <w:bookmarkEnd w:id="49"/>
        </w:tc>
      </w:tr>
    </w:tbl>
    <w:p>
      <w:pPr>
        <w:pStyle w:val="BodyText"/>
      </w:pPr>
      <w:r>
        <w:t xml:space="preserve">The unadjusted logistic regression results in</w:t>
      </w:r>
      <w:r>
        <w:t xml:space="preserve"> </w:t>
      </w:r>
      <w:hyperlink w:anchor="tbl-basic-logreg">
        <w:r>
          <w:rPr>
            <w:rStyle w:val="Hyperlink"/>
          </w:rPr>
          <w:t xml:space="preserve">Table 1</w:t>
        </w:r>
      </w:hyperlink>
      <w:r>
        <w:t xml:space="preserve"> </w:t>
      </w:r>
      <w:r>
        <w:t xml:space="preserve">and</w:t>
      </w:r>
      <w:r>
        <w:t xml:space="preserve"> </w:t>
      </w:r>
      <w:hyperlink w:anchor="fig-basic-logreg-forest">
        <w:r>
          <w:rPr>
            <w:rStyle w:val="Hyperlink"/>
          </w:rPr>
          <w:t xml:space="preserve">Figure 5</w:t>
        </w:r>
      </w:hyperlink>
      <w:r>
        <w:t xml:space="preserve"> </w:t>
      </w:r>
      <w:r>
        <w:t xml:space="preserve">are broadly consistent with the descriptive analysis. Insulin receipt and ACE inhibitor receipt are associated with odds ratios below 1.0, suggesting lower unadjusted odds of 30-day mortality among recipients, while anticoagulants, diuretics, antiplatelets, and statins are associated with ORs above 1.0. Age shows a positive association with mortality, as expected, and the polypharmacy count captures the non-linear pattern observed descriptively. Wide confidence intervals throughout reflect the small number of mortality events and reinforce that these estimates are unstable. These unadjusted models are exploratory and should not be interpreted causally.</w:t>
      </w:r>
    </w:p>
    <w:bookmarkEnd w:id="50"/>
    <w:bookmarkStart w:id="55" w:name="full-analysis"/>
    <w:p>
      <w:pPr>
        <w:pStyle w:val="Heading2"/>
      </w:pPr>
      <w:r>
        <w:t xml:space="preserve">4.2 Full analysis</w:t>
      </w:r>
    </w:p>
    <w:p>
      <w:pPr>
        <w:pStyle w:val="FirstParagraph"/>
      </w:pPr>
      <w:r>
        <w:t xml:space="preserve">To build on the single-predictor models, a multivariable logistic regression was fit to assess the joint association of all six medication classes with 30-day mortality, adjusting simultaneously for age and sex. This model allows each medication class coefficient to be interpreted while holding the other predictors constant, partially addressing the confounding by indication that complicates the unadjusted comparisons. Polypharmacy count was also included as a separate model to test whether the inverted U-shaped association with mortality persists after adjusting for age and sex. Model performance was evaluated using the area under the receiver operating characteristic curve (AUC-ROC), which is more informative than accuracy for highly imbalanced binary outcomes. Given that only 13 mortality events are present in the synthetic dataset, the multivariable model is severely underpowered—with six medication predictors plus age and sex, the number of events per variable falls well below the recommended threshold of 10. Results should therefore be interpreted as a methodological demonstration of the analytic approach rather than as stable clinical estimates.</w:t>
      </w:r>
    </w:p>
    <w:p>
      <w:pPr>
        <w:pStyle w:val="SourceCode"/>
      </w:pPr>
      <w:r>
        <w:rPr>
          <w:rStyle w:val="FunctionTok"/>
        </w:rPr>
        <w:t xml:space="preserve">library</w:t>
      </w:r>
      <w:r>
        <w:rPr>
          <w:rStyle w:val="NormalTok"/>
        </w:rPr>
        <w:t xml:space="preserve">(pROC)</w:t>
      </w:r>
      <w:r>
        <w:br/>
      </w:r>
      <w:r>
        <w:rPr>
          <w:rStyle w:val="FunctionTok"/>
        </w:rPr>
        <w:t xml:space="preserve">library</w:t>
      </w:r>
      <w:r>
        <w:rPr>
          <w:rStyle w:val="NormalTok"/>
        </w:rPr>
        <w:t xml:space="preserve">(ggplot2)</w:t>
      </w:r>
      <w:r>
        <w:br/>
      </w:r>
      <w:r>
        <w:rPr>
          <w:rStyle w:val="NormalTok"/>
        </w:rPr>
        <w:t xml:space="preserve">mv_model </w:t>
      </w:r>
      <w:r>
        <w:rPr>
          <w:rStyle w:val="OtherTok"/>
        </w:rPr>
        <w:t xml:space="preserve">&lt;-</w:t>
      </w:r>
      <w:r>
        <w:rPr>
          <w:rStyle w:val="NormalTok"/>
        </w:rPr>
        <w:t xml:space="preserve"> </w:t>
      </w:r>
      <w:r>
        <w:rPr>
          <w:rStyle w:val="FunctionTok"/>
        </w:rPr>
        <w:t xml:space="preserve">glm</w:t>
      </w:r>
      <w:r>
        <w:rPr>
          <w:rStyle w:val="NormalTok"/>
        </w:rPr>
        <w:t xml:space="preserve">(mortality_30day </w:t>
      </w:r>
      <w:r>
        <w:rPr>
          <w:rStyle w:val="SpecialCharTok"/>
        </w:rPr>
        <w:t xml:space="preserve">~</w:t>
      </w:r>
      <w:r>
        <w:rPr>
          <w:rStyle w:val="NormalTok"/>
        </w:rPr>
        <w:t xml:space="preserve"> med_anticoagulant </w:t>
      </w:r>
      <w:r>
        <w:rPr>
          <w:rStyle w:val="SpecialCharTok"/>
        </w:rPr>
        <w:t xml:space="preserve">+</w:t>
      </w:r>
      <w:r>
        <w:rPr>
          <w:rStyle w:val="NormalTok"/>
        </w:rPr>
        <w:t xml:space="preserve"> med_statin </w:t>
      </w:r>
      <w:r>
        <w:rPr>
          <w:rStyle w:val="SpecialCharTok"/>
        </w:rPr>
        <w:t xml:space="preserve">+</w:t>
      </w:r>
      <w:r>
        <w:rPr>
          <w:rStyle w:val="NormalTok"/>
        </w:rPr>
        <w:t xml:space="preserve"> med_insulin </w:t>
      </w:r>
      <w:r>
        <w:rPr>
          <w:rStyle w:val="SpecialCharTok"/>
        </w:rPr>
        <w:t xml:space="preserve">+</w:t>
      </w:r>
      <w:r>
        <w:br/>
      </w:r>
      <w:r>
        <w:rPr>
          <w:rStyle w:val="NormalTok"/>
        </w:rPr>
        <w:t xml:space="preserve">                 med_antiplatelet </w:t>
      </w:r>
      <w:r>
        <w:rPr>
          <w:rStyle w:val="SpecialCharTok"/>
        </w:rPr>
        <w:t xml:space="preserve">+</w:t>
      </w:r>
      <w:r>
        <w:rPr>
          <w:rStyle w:val="NormalTok"/>
        </w:rPr>
        <w:t xml:space="preserve"> med_diuretic </w:t>
      </w:r>
      <w:r>
        <w:rPr>
          <w:rStyle w:val="SpecialCharTok"/>
        </w:rPr>
        <w:t xml:space="preserve">+</w:t>
      </w:r>
      <w:r>
        <w:rPr>
          <w:rStyle w:val="NormalTok"/>
        </w:rPr>
        <w:t xml:space="preserve"> med_ace_inhibitor </w:t>
      </w:r>
      <w:r>
        <w:rPr>
          <w:rStyle w:val="SpecialCharTok"/>
        </w:rPr>
        <w:t xml:space="preserve">+</w:t>
      </w:r>
      <w:r>
        <w:rPr>
          <w:rStyle w:val="NormalTok"/>
        </w:rPr>
        <w:t xml:space="preserve"> age </w:t>
      </w:r>
      <w:r>
        <w:rPr>
          <w:rStyle w:val="SpecialCharTok"/>
        </w:rPr>
        <w:t xml:space="preserve">+</w:t>
      </w:r>
      <w:r>
        <w:rPr>
          <w:rStyle w:val="NormalTok"/>
        </w:rPr>
        <w:t xml:space="preserve"> gender,</w:t>
      </w:r>
      <w:r>
        <w:br/>
      </w:r>
      <w:r>
        <w:rPr>
          <w:rStyle w:val="NormalTok"/>
        </w:rPr>
        <w:t xml:space="preserve">                </w:t>
      </w:r>
      <w:r>
        <w:rPr>
          <w:rStyle w:val="AttributeTok"/>
        </w:rPr>
        <w:t xml:space="preserve">data =</w:t>
      </w:r>
      <w:r>
        <w:rPr>
          <w:rStyle w:val="NormalTok"/>
        </w:rPr>
        <w:t xml:space="preserve"> admissions_clean,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rPr>
          <w:rStyle w:val="CommentTok"/>
        </w:rPr>
        <w:t xml:space="preserve"># Generate predicted probabilities (mv_model and admissions_clean carried over from tbl-multivariable)</w:t>
      </w:r>
      <w:r>
        <w:br/>
      </w:r>
      <w:r>
        <w:rPr>
          <w:rStyle w:val="NormalTok"/>
        </w:rPr>
        <w:t xml:space="preserve">admissions_clean</w:t>
      </w:r>
      <w:r>
        <w:rPr>
          <w:rStyle w:val="SpecialCharTok"/>
        </w:rPr>
        <w:t xml:space="preserve">$</w:t>
      </w:r>
      <w:r>
        <w:rPr>
          <w:rStyle w:val="NormalTok"/>
        </w:rPr>
        <w:t xml:space="preserve">pred_prob </w:t>
      </w:r>
      <w:r>
        <w:rPr>
          <w:rStyle w:val="OtherTok"/>
        </w:rPr>
        <w:t xml:space="preserve">&lt;-</w:t>
      </w:r>
      <w:r>
        <w:rPr>
          <w:rStyle w:val="NormalTok"/>
        </w:rPr>
        <w:t xml:space="preserve"> </w:t>
      </w:r>
      <w:r>
        <w:rPr>
          <w:rStyle w:val="FunctionTok"/>
        </w:rPr>
        <w:t xml:space="preserve">predict</w:t>
      </w:r>
      <w:r>
        <w:rPr>
          <w:rStyle w:val="NormalTok"/>
        </w:rPr>
        <w:t xml:space="preserve">(mv_model,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Compute ROC</w:t>
      </w:r>
      <w:r>
        <w:br/>
      </w:r>
      <w:r>
        <w:rPr>
          <w:rStyle w:val="NormalTok"/>
        </w:rPr>
        <w:t xml:space="preserve">roc_obj </w:t>
      </w:r>
      <w:r>
        <w:rPr>
          <w:rStyle w:val="OtherTok"/>
        </w:rPr>
        <w:t xml:space="preserve">&lt;-</w:t>
      </w:r>
      <w:r>
        <w:rPr>
          <w:rStyle w:val="NormalTok"/>
        </w:rPr>
        <w:t xml:space="preserve"> </w:t>
      </w:r>
      <w:r>
        <w:rPr>
          <w:rStyle w:val="FunctionTok"/>
        </w:rPr>
        <w:t xml:space="preserve">roc</w:t>
      </w:r>
      <w:r>
        <w:rPr>
          <w:rStyle w:val="NormalTok"/>
        </w:rPr>
        <w:t xml:space="preserve">(admissions_clean</w:t>
      </w:r>
      <w:r>
        <w:rPr>
          <w:rStyle w:val="SpecialCharTok"/>
        </w:rPr>
        <w:t xml:space="preserve">$</w:t>
      </w:r>
      <w:r>
        <w:rPr>
          <w:rStyle w:val="NormalTok"/>
        </w:rPr>
        <w:t xml:space="preserve">mortality_30day, admissions_clean</w:t>
      </w:r>
      <w:r>
        <w:rPr>
          <w:rStyle w:val="SpecialCharTok"/>
        </w:rPr>
        <w:t xml:space="preserve">$</w:t>
      </w:r>
      <w:r>
        <w:rPr>
          <w:rStyle w:val="NormalTok"/>
        </w:rPr>
        <w:t xml:space="preserve">pred_prob,</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auc_val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auc</w:t>
      </w:r>
      <w:r>
        <w:rPr>
          <w:rStyle w:val="NormalTok"/>
        </w:rPr>
        <w:t xml:space="preserve">(roc_obj), </w:t>
      </w:r>
      <w:r>
        <w:rPr>
          <w:rStyle w:val="DecValTok"/>
        </w:rPr>
        <w:t xml:space="preserve">3</w:t>
      </w:r>
      <w:r>
        <w:rPr>
          <w:rStyle w:val="NormalTok"/>
        </w:rPr>
        <w:t xml:space="preserve">)</w:t>
      </w:r>
      <w:r>
        <w:br/>
      </w:r>
      <w:r>
        <w:br/>
      </w:r>
      <w:r>
        <w:rPr>
          <w:rStyle w:val="CommentTok"/>
        </w:rPr>
        <w:t xml:space="preserve"># Plot</w:t>
      </w:r>
      <w:r>
        <w:br/>
      </w:r>
      <w:r>
        <w:rPr>
          <w:rStyle w:val="NormalTok"/>
        </w:rPr>
        <w:t xml:space="preserve">roc_df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specificity =</w:t>
      </w:r>
      <w:r>
        <w:rPr>
          <w:rStyle w:val="NormalTok"/>
        </w:rPr>
        <w:t xml:space="preserve"> </w:t>
      </w:r>
      <w:r>
        <w:rPr>
          <w:rStyle w:val="FunctionTok"/>
        </w:rPr>
        <w:t xml:space="preserve">rev</w:t>
      </w:r>
      <w:r>
        <w:rPr>
          <w:rStyle w:val="NormalTok"/>
        </w:rPr>
        <w:t xml:space="preserve">(roc_obj</w:t>
      </w:r>
      <w:r>
        <w:rPr>
          <w:rStyle w:val="SpecialCharTok"/>
        </w:rPr>
        <w:t xml:space="preserve">$</w:t>
      </w:r>
      <w:r>
        <w:rPr>
          <w:rStyle w:val="NormalTok"/>
        </w:rPr>
        <w:t xml:space="preserve">specificities),</w:t>
      </w:r>
      <w:r>
        <w:br/>
      </w:r>
      <w:r>
        <w:rPr>
          <w:rStyle w:val="NormalTok"/>
        </w:rPr>
        <w:t xml:space="preserve">  </w:t>
      </w:r>
      <w:r>
        <w:rPr>
          <w:rStyle w:val="AttributeTok"/>
        </w:rPr>
        <w:t xml:space="preserve">sensitivity =</w:t>
      </w:r>
      <w:r>
        <w:rPr>
          <w:rStyle w:val="NormalTok"/>
        </w:rPr>
        <w:t xml:space="preserve"> </w:t>
      </w:r>
      <w:r>
        <w:rPr>
          <w:rStyle w:val="FunctionTok"/>
        </w:rPr>
        <w:t xml:space="preserve">rev</w:t>
      </w:r>
      <w:r>
        <w:rPr>
          <w:rStyle w:val="NormalTok"/>
        </w:rPr>
        <w:t xml:space="preserve">(roc_obj</w:t>
      </w:r>
      <w:r>
        <w:rPr>
          <w:rStyle w:val="SpecialCharTok"/>
        </w:rPr>
        <w:t xml:space="preserve">$</w:t>
      </w:r>
      <w:r>
        <w:rPr>
          <w:rStyle w:val="NormalTok"/>
        </w:rPr>
        <w:t xml:space="preserve">sensitivities)</w:t>
      </w:r>
      <w:r>
        <w:br/>
      </w:r>
      <w:r>
        <w:rPr>
          <w:rStyle w:val="NormalTok"/>
        </w:rPr>
        <w:t xml:space="preserve">)</w:t>
      </w:r>
      <w:r>
        <w:br/>
      </w:r>
      <w:r>
        <w:br/>
      </w:r>
      <w:r>
        <w:rPr>
          <w:rStyle w:val="FunctionTok"/>
        </w:rPr>
        <w:t xml:space="preserve">ggplot</w:t>
      </w:r>
      <w:r>
        <w:rPr>
          <w:rStyle w:val="NormalTok"/>
        </w:rPr>
        <w:t xml:space="preserve">(roc_df,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specificity, </w:t>
      </w:r>
      <w:r>
        <w:rPr>
          <w:rStyle w:val="AttributeTok"/>
        </w:rPr>
        <w:t xml:space="preserve">y =</w:t>
      </w:r>
      <w:r>
        <w:rPr>
          <w:rStyle w:val="NormalTok"/>
        </w:rPr>
        <w:t xml:space="preserve"> sensitivity))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loatTok"/>
        </w:rPr>
        <w:t xml:space="preserve">0.7</w:t>
      </w:r>
      <w:r>
        <w:rPr>
          <w:rStyle w:val="NormalTok"/>
        </w:rPr>
        <w:t xml:space="preserve">, </w:t>
      </w:r>
      <w:r>
        <w:rPr>
          <w:rStyle w:val="AttributeTok"/>
        </w:rPr>
        <w:t xml:space="preserve">y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"AUC = "</w:t>
      </w:r>
      <w:r>
        <w:rPr>
          <w:rStyle w:val="NormalTok"/>
        </w:rPr>
        <w:t xml:space="preserve">, auc_val), </w:t>
      </w:r>
      <w:r>
        <w:rPr>
          <w:rStyle w:val="AttributeTok"/>
        </w:rPr>
        <w:t xml:space="preserve">size =</w:t>
      </w:r>
      <w:r>
        <w:rPr>
          <w:rStyle w:val="NormalTok"/>
        </w:rPr>
        <w:t xml:space="preserve"> </w:t>
      </w:r>
      <w:r>
        <w:rPr>
          <w:rStyle w:val="FloatTok"/>
        </w:rPr>
        <w:t xml:space="preserve">4.5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"1 - Specificity (False Positive Rate)"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"Sensitivity (True Positive Rate)"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"ROC Curve: Multivariable Logistic Regression"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"roc_curve.png"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4" w:name="fig-roc"/>
          <w:p>
            <w:pPr>
              <w:pStyle w:val="Compact"/>
              <w:jc w:val="center"/>
            </w:pPr>
            <w:r>
              <w:drawing>
                <wp:inline>
                  <wp:extent cx="4620126" cy="3696101"/>
                  <wp:effectExtent b="0" l="0" r="0" t="0"/>
                  <wp:docPr descr="" title="" id="52" name="Picture"/>
                  <a:graphic>
                    <a:graphicData uri="http://schemas.openxmlformats.org/drawingml/2006/picture">
                      <pic:pic>
                        <pic:nvPicPr>
                          <pic:cNvPr descr="Manuscript_files/figure-docx/fig-roc-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Receiver operating characteristic (ROC) curve for the multivariable logistic regression model predicting 30-day mortality. The AUC reflects the model’s ability to discriminate between survivors and non-survivors.</w:t>
            </w:r>
          </w:p>
          <w:bookmarkEnd w:id="54"/>
        </w:tc>
      </w:tr>
    </w:tbl>
    <w:p>
      <w:r>
        <w:br w:type="page"/>
      </w:r>
    </w:p>
    <w:bookmarkEnd w:id="55"/>
    <w:bookmarkEnd w:id="56"/>
    <w:bookmarkStart w:id="61" w:name="discussion"/>
    <w:p>
      <w:pPr>
        <w:pStyle w:val="Heading1"/>
      </w:pPr>
      <w:r>
        <w:t xml:space="preserve">5. Discussion</w:t>
      </w:r>
    </w:p>
    <w:bookmarkStart w:id="57"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57"/>
    <w:bookmarkStart w:id="58"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58"/>
    <w:bookmarkStart w:id="60"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(1)</w:t>
      </w:r>
      <w:r>
        <w:t xml:space="preserve"> </w:t>
      </w:r>
      <w:r>
        <w:t xml:space="preserve">discusses types of analyses.</w:t>
      </w:r>
    </w:p>
    <w:p>
      <w:pPr>
        <w:pStyle w:val="BodyText"/>
      </w:pPr>
      <w:r>
        <w:t xml:space="preserve">These papers</w:t>
      </w:r>
      <w:r>
        <w:t xml:space="preserve"> </w:t>
      </w:r>
      <w:r>
        <w:t xml:space="preserve">(2,3)</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59">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60"/>
    <w:bookmarkEnd w:id="61"/>
    <w:bookmarkStart w:id="69" w:name="references"/>
    <w:p>
      <w:pPr>
        <w:pStyle w:val="Heading1"/>
      </w:pPr>
      <w:r>
        <w:t xml:space="preserve">6. References</w:t>
      </w:r>
    </w:p>
    <w:bookmarkStart w:id="68" w:name="refs"/>
    <w:bookmarkStart w:id="63" w:name="ref-leek2015"/>
    <w:p>
      <w:pPr>
        <w:pStyle w:val="Bibliography"/>
      </w:pPr>
      <w:r>
        <w:t xml:space="preserve">1.</w:t>
      </w:r>
      <w:r>
        <w:t xml:space="preserve"> </w:t>
      </w:r>
      <w:r>
        <w:t xml:space="preserve">	</w:t>
      </w:r>
      <w:r>
        <w:t xml:space="preserve">Leek JT, Peng RD.</w:t>
      </w:r>
      <w:r>
        <w:t xml:space="preserve"> </w:t>
      </w:r>
      <w:hyperlink r:id="rId62">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63"/>
    <w:bookmarkStart w:id="65" w:name="ref-mckay2020"/>
    <w:p>
      <w:pPr>
        <w:pStyle w:val="Bibliography"/>
      </w:pPr>
      <w:r>
        <w:t xml:space="preserve">2.</w:t>
      </w:r>
      <w:r>
        <w:t xml:space="preserve"> </w:t>
      </w:r>
      <w:r>
        <w:t xml:space="preserve">	</w:t>
      </w:r>
      <w:r>
        <w:t xml:space="preserve">McKay B, Ebell M, Billings WZ, et al.</w:t>
      </w:r>
      <w:r>
        <w:t xml:space="preserve"> </w:t>
      </w:r>
      <w:hyperlink r:id="rId64">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65"/>
    <w:bookmarkStart w:id="67" w:name="ref-mckay2020a"/>
    <w:p>
      <w:pPr>
        <w:pStyle w:val="Bibliography"/>
      </w:pPr>
      <w:r>
        <w:t xml:space="preserve">3.</w:t>
      </w:r>
      <w:r>
        <w:t xml:space="preserve"> </w:t>
      </w:r>
      <w:r>
        <w:t xml:space="preserve">	</w:t>
      </w:r>
      <w:r>
        <w:t xml:space="preserve">McKay B, Ebell M, Dale AP, et al.</w:t>
      </w:r>
      <w:r>
        <w:t xml:space="preserve"> </w:t>
      </w:r>
      <w:hyperlink r:id="rId66">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hyperlink" Id="rId64" Target="https://doi.org/10.1093/ofid/ofaa494" TargetMode="External" /><Relationship Type="http://schemas.openxmlformats.org/officeDocument/2006/relationships/hyperlink" Id="rId66" Target="https://doi.org/10.1098/rspb.2020.0496" TargetMode="External" /><Relationship Type="http://schemas.openxmlformats.org/officeDocument/2006/relationships/hyperlink" Id="rId62" Target="https://doi.org/10.1126/science.aaa6146" TargetMode="External" /><Relationship Type="http://schemas.openxmlformats.org/officeDocument/2006/relationships/hyperlink" Id="rId59"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93/ofid/ofaa494" TargetMode="External" /><Relationship Type="http://schemas.openxmlformats.org/officeDocument/2006/relationships/hyperlink" Id="rId66" Target="https://doi.org/10.1098/rspb.2020.0496" TargetMode="External" /><Relationship Type="http://schemas.openxmlformats.org/officeDocument/2006/relationships/hyperlink" Id="rId62" Target="https://doi.org/10.1126/science.aaa6146" TargetMode="External" /><Relationship Type="http://schemas.openxmlformats.org/officeDocument/2006/relationships/hyperlink" Id="rId59"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Medications and Medication Regimens relate to Patient Mortality</dc:title>
  <dc:creator>Rebecca Basta and Riley Herber</dc:creator>
  <cp:keywords/>
  <dcterms:created xsi:type="dcterms:W3CDTF">2026-04-06T17:02:50Z</dcterms:created>
  <dcterms:modified xsi:type="dcterms:W3CDTF">2026-04-06T17:02:50Z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