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INL Partnership Strategy Brief: Battery-Critical-Metals Recovery</w:t>
      </w:r>
    </w:p>
    <w:p>
      <w:r>
        <w:rPr>
          <w:b/>
        </w:rPr>
        <w:t>Internal prep for the INL meeting (Ryan Bills, Energy &amp; Environment S&amp;T commercialization manager), week of 2026-07-28</w:t>
      </w:r>
    </w:p>
    <w:p>
      <w:r>
        <w:t>Audience: Andy Johnston, JE leadership. Prepared 2026-07-24 by Riley Jackson. Status: internal, pre-meeting. Not for external distribution. Sources are numbered [n] inline and listed at the end.</w:t>
      </w:r>
    </w:p>
    <w:p>
      <w:pPr>
        <w:pStyle w:val="Heading1"/>
      </w:pPr>
      <w:r>
        <w:rPr>
          <w:color w:val="1F3964"/>
        </w:rPr>
        <w:t>1. The thesis, in one paragraph</w:t>
      </w:r>
    </w:p>
    <w:p>
      <w:r>
        <w:t>Idaho National Laboratory (INL) has a lab-validated (TRL 4) closed-loop electrochemical process for recovering lithium, cobalt, nickel, and manganese from spent battery material, and it is openly seeking a commercialization partner through a license and/or CRADA [2][3]. The process is proven at the beaker scale. It is not yet a machine. Closing that gap, turning validated electrochemistry into a manufacturable, field-deployable recovery skid, is precisely Johnston Engineering's (JE) core business. Our objective for this meeting is to position JE as INL's hardware and scale-up engineering partner, and to open a path in which a battery-recycling client licenses the IP, non-dilutive federal funding pays for the build, and JE engineers and builds the system.</w:t>
      </w:r>
    </w:p>
    <w:p>
      <w:pPr>
        <w:pStyle w:val="Heading1"/>
      </w:pPr>
      <w:r>
        <w:rPr>
          <w:color w:val="1F3964"/>
        </w:rPr>
        <w:t>2. Why this is worth JE's time</w:t>
      </w:r>
    </w:p>
    <w:p>
      <w:pPr>
        <w:pStyle w:val="ListBullet"/>
      </w:pPr>
      <w:r>
        <w:rPr>
          <w:b/>
        </w:rPr>
        <w:t>Federal priority alignment.</w:t>
      </w:r>
      <w:r>
        <w:t xml:space="preserve"> Domestic recovery of battery-critical metals is a stated DOE priority (critical materials) and a Department of War supply-chain priority (reducing foreign dependence on nickel, cobalt, lithium, and rare earths) [3][8].</w:t>
      </w:r>
    </w:p>
    <w:p>
      <w:pPr>
        <w:pStyle w:val="ListBullet"/>
      </w:pPr>
      <w:r>
        <w:rPr>
          <w:b/>
        </w:rPr>
        <w:t>The compelling event exists.</w:t>
      </w:r>
      <w:r>
        <w:t xml:space="preserve"> Several non-dilutive vehicles fund exactly this maturation step (Section 7).</w:t>
      </w:r>
    </w:p>
    <w:p>
      <w:pPr>
        <w:pStyle w:val="ListBullet"/>
      </w:pPr>
      <w:r>
        <w:rPr>
          <w:b/>
        </w:rPr>
        <w:t>It fits our FOAK model exactly.</w:t>
      </w:r>
      <w:r>
        <w:t xml:space="preserve"> INL's IP sits at TRL 4 [2]. Our specialty is TRL 3 to 9. This is the climb we run for a living.</w:t>
      </w:r>
    </w:p>
    <w:p>
      <w:pPr>
        <w:pStyle w:val="ListBullet"/>
      </w:pPr>
      <w:r>
        <w:rPr>
          <w:b/>
        </w:rPr>
        <w:t>Proven template.</w:t>
      </w:r>
      <w:r>
        <w:t xml:space="preserve"> This mirrors the Ames Laboratory to TdVib license-then-fund play that seeded Critical Materials Recycling (Boone, IA) [8]. We are running a known motion, not inventing one.</w:t>
      </w:r>
    </w:p>
    <w:p>
      <w:pPr>
        <w:pStyle w:val="Heading1"/>
      </w:pPr>
      <w:r>
        <w:rPr>
          <w:color w:val="1F3964"/>
        </w:rPr>
        <w:t>3. The technology, in engineering terms</w:t>
      </w:r>
    </w:p>
    <w:p>
      <w:r>
        <w:t>INL's system is two complementary, patented steps that together close the loop.</w:t>
      </w:r>
    </w:p>
    <w:p>
      <w:r>
        <w:rPr>
          <w:b/>
        </w:rPr>
        <w:t>Step 1: Electrochemical leaching (EC-Leach).</w:t>
      </w:r>
      <w:r>
        <w:t xml:space="preserve"> US Patent 12,388,123, granted August 2025, in force to approximately 2042; assignee Battelle Energy Alliance, with only a standard DOE confirmatory license on record and no third-party commercial license found [1]. Spent cathode "black mass" is placed in the cathode chamber of an electrochemical cell. An acid electrolyte carrying a ferric/ferrous redox couple dissolves lithium and cobalt out of the active material under applied current. No roasting, no high-temperature pyrometallurgy [1][3].</w:t>
      </w:r>
    </w:p>
    <w:p>
      <w:r>
        <w:rPr>
          <w:b/>
        </w:rPr>
        <w:t>Step 2: Electrochemical membrane reactor.</w:t>
      </w:r>
      <w:r>
        <w:t xml:space="preserve"> Protected under PCT/US22/72109 and actively marketed by INL on the Lab Partnering Service [2]. The pregnant leach solution enters a membrane reactor where applied current drives a pH swing that plates out copper, rejects aluminum and iron, and recovers more than 95% of the nickel and cobalt. Critically, it regenerates the acid, which returns to Step 1 [2][3].</w:t>
      </w:r>
    </w:p>
    <w:p>
      <w:r>
        <w:rPr>
          <w:b/>
        </w:rPr>
        <w:t>The closed loop:</w:t>
      </w:r>
      <w:r>
        <w:t xml:space="preserve"> black mass in; recovered metal salts and regenerated acid out; using only water, air, and electricity [3]. This is a fundamentally electrified, low-reagent alternative to solvent-extraction hydrometallurgy.</w:t>
      </w:r>
    </w:p>
    <w:p>
      <w:pPr>
        <w:pStyle w:val="Heading1"/>
      </w:pPr>
      <w:r>
        <w:rPr>
          <w:color w:val="1F3964"/>
        </w:rPr>
        <w:t>4. Where JE creates the value, and the core-IP line we will hold</w:t>
      </w:r>
    </w:p>
    <w:p>
      <w:r>
        <w:t>The lab has the chemistry. It does not have the machine. Moving from a validated cell to a pilot-scale skid requires the full stack of JE capability:</w:t>
      </w:r>
    </w:p>
    <w:p>
      <w:pPr>
        <w:pStyle w:val="ListBullet"/>
      </w:pPr>
      <w:r>
        <w:t>Electrochemical cell and stack mechanical design: flow fields, current collectors, sealing, manifolding.</w:t>
      </w:r>
    </w:p>
    <w:p>
      <w:pPr>
        <w:pStyle w:val="ListBullet"/>
      </w:pPr>
      <w:r>
        <w:t>Fluid and process engineering: the acid-regeneration recycle loop, pumps, valves, piping, tankage, and closed mass balance.</w:t>
      </w:r>
    </w:p>
    <w:p>
      <w:pPr>
        <w:pStyle w:val="ListBullet"/>
      </w:pPr>
      <w:r>
        <w:t>Analysis-driven design: CFD on flow and current distribution across scaled electrodes, thermal management, and structural design of the skid.</w:t>
      </w:r>
    </w:p>
    <w:p>
      <w:pPr>
        <w:pStyle w:val="ListBullet"/>
      </w:pPr>
      <w:r>
        <w:t>Safety and controls: acid handling, hydrogen and oxygen venting, and instrumentation and control of current, pH, flow, and temperature.</w:t>
      </w:r>
    </w:p>
    <w:p>
      <w:pPr>
        <w:pStyle w:val="ListBullet"/>
      </w:pPr>
      <w:r>
        <w:t>Design for manufacture and a build: containerized, modular, and serviceable, plus a test campaign to prove throughput, current efficiency, and membrane life at scale.</w:t>
      </w:r>
    </w:p>
    <w:p>
      <w:r>
        <w:t>We hold JE's standard core-IP line clearly in the meeting: INL and the eventual licensee keep the electrochemistry, the redox and membrane recipes, and the process know-how. JE designs, analyzes, builds, and tests the hardware around that science. This is the message that puts INL at ease. We are not there to take their invention. We are there to turn it into a machine.</w:t>
      </w:r>
    </w:p>
    <w:p>
      <w:pPr>
        <w:pStyle w:val="Heading1"/>
      </w:pPr>
      <w:r>
        <w:rPr>
          <w:color w:val="1F3964"/>
        </w:rPr>
        <w:t>5. Deal structures to discuss</w:t>
      </w:r>
    </w:p>
    <w:p>
      <w:pPr>
        <w:pStyle w:val="ListBullet"/>
      </w:pPr>
      <w:r>
        <w:rPr>
          <w:b/>
        </w:rPr>
        <w:t>Commercial license.</w:t>
      </w:r>
      <w:r>
        <w:t xml:space="preserve"> INL's own stated target is a nonexclusive license executed within roughly 90 days of term negotiation, with minimal up-front fees and back-end royalties [4]. This is the path if a client is ready to license directly.</w:t>
      </w:r>
    </w:p>
    <w:p>
      <w:pPr>
        <w:pStyle w:val="ListBullet"/>
      </w:pPr>
      <w:r>
        <w:rPr>
          <w:b/>
        </w:rPr>
        <w:t>CRADA.</w:t>
      </w:r>
      <w:r>
        <w:t xml:space="preserve"> Five-year data protection, the participant may negotiate an exclusive license to lab inventions, and the participant can fund lab effort (the lab cannot fund the participant) [5]. Best fit if JE brings a funded client and we co-mature the skid with INL.</w:t>
      </w:r>
    </w:p>
    <w:p>
      <w:pPr>
        <w:pStyle w:val="ListBullet"/>
      </w:pPr>
      <w:r>
        <w:rPr>
          <w:b/>
        </w:rPr>
        <w:t>Recommended shape.</w:t>
      </w:r>
      <w:r>
        <w:t xml:space="preserve"> A battery-recycling client is the licensee and commercialization lead, INL is the research partner, and JE is the engineering and build partner. JE's revenue is the design-build-test engagement at our normal rates, not the license itself. This keeps JE capital-light and IP-clean.</w:t>
      </w:r>
    </w:p>
    <w:p>
      <w:pPr>
        <w:pStyle w:val="ListBullet"/>
      </w:pPr>
      <w:r>
        <w:rPr>
          <w:b/>
        </w:rPr>
        <w:t>Be ready for INL's nonnegotiables:</w:t>
      </w:r>
      <w:r>
        <w:t xml:space="preserve"> DOE operating-contract clauses and the US-manufacturing preference [4][5]. Neither conflicts with JE's model.</w:t>
      </w:r>
    </w:p>
    <w:p>
      <w:pPr>
        <w:pStyle w:val="Heading1"/>
      </w:pPr>
      <w:r>
        <w:rPr>
          <w:color w:val="1F3964"/>
        </w:rPr>
        <w:t>6. Strategic option: should JE license the IP itself?</w:t>
      </w:r>
    </w:p>
    <w:p>
      <w:r>
        <w:t>JE is open to taking the license directly rather than routing it through a client. This is a genuine fork. It turns JE from the paid engineering partner into the IP holder and commercialization owner. Both models are viable; they carry different upside and different risk.</w:t>
      </w:r>
    </w:p>
    <w:p>
      <w:r>
        <w:rPr>
          <w:b/>
        </w:rPr>
        <w:t>The case for JE licensing it directly (pros):</w:t>
      </w:r>
    </w:p>
    <w:p>
      <w:pPr>
        <w:pStyle w:val="ListBullet"/>
      </w:pPr>
      <w:r>
        <w:rPr>
          <w:b/>
        </w:rPr>
        <w:t>Owns the upside, not just a build fee.</w:t>
      </w:r>
      <w:r>
        <w:t xml:space="preserve"> As the licensee, JE can capture recurring value (equipment sales, recycling-as-a-service, or sublicensing royalties) instead of a one-time design-build engagement. If the skid becomes a product line, JE holds it.</w:t>
      </w:r>
    </w:p>
    <w:p>
      <w:pPr>
        <w:pStyle w:val="ListBullet"/>
      </w:pPr>
      <w:r>
        <w:rPr>
          <w:b/>
        </w:rPr>
        <w:t>Controls the IP position.</w:t>
      </w:r>
      <w:r>
        <w:t xml:space="preserve"> An exclusive or field-of-use license is a moat in a market DOE and DoW are actively funding [3][8]. JE sets the roadmap and picks partners rather than serving someone else's.</w:t>
      </w:r>
    </w:p>
    <w:p>
      <w:pPr>
        <w:pStyle w:val="ListBullet"/>
      </w:pPr>
      <w:r>
        <w:rPr>
          <w:b/>
        </w:rPr>
        <w:t>Unlocks non-dilutive funding as the applicant.</w:t>
      </w:r>
      <w:r>
        <w:t xml:space="preserve"> As a small business and the licensee, JE can prime the funding itself: an STTR pairs a small business with a research institution, a role a national lab can fill, so JE plus INL is a natural STTR team; TCF wants a private-match partner, which JE could be [7]; American-Made prizes are open to companies [8]. (Verify the IP's funding origin before assuming ARPA-E SCALEUP eligibility, which is limited to exclusive licensees of ARPA-E-funded IP [8].)</w:t>
      </w:r>
    </w:p>
    <w:p>
      <w:pPr>
        <w:pStyle w:val="ListBullet"/>
      </w:pPr>
      <w:r>
        <w:rPr>
          <w:b/>
        </w:rPr>
        <w:t>Flagship credibility.</w:t>
      </w:r>
      <w:r>
        <w:t xml:space="preserve"> A JE-owned pilot skid becomes a marketing asset that wins more services work, the way the Capture6 and OCOchem pilots already do.</w:t>
      </w:r>
    </w:p>
    <w:p>
      <w:pPr>
        <w:pStyle w:val="ListBullet"/>
      </w:pPr>
      <w:r>
        <w:rPr>
          <w:b/>
        </w:rPr>
        <w:t>Deepens the INL relationship.</w:t>
      </w:r>
      <w:r>
        <w:t xml:space="preserve"> Being INL's commercialization licensee, not just a vendor, positions JE for the next lab-IP opportunity, the license-then-fund flywheel [5].</w:t>
      </w:r>
    </w:p>
    <w:p>
      <w:r>
        <w:rPr>
          <w:b/>
        </w:rPr>
        <w:t>The case against, and the real risks (cons):</w:t>
      </w:r>
    </w:p>
    <w:p>
      <w:pPr>
        <w:pStyle w:val="ListBullet"/>
      </w:pPr>
      <w:r>
        <w:rPr>
          <w:b/>
        </w:rPr>
        <w:t>Business-model mismatch.</w:t>
      </w:r>
      <w:r>
        <w:t xml:space="preserve"> JE is a 23-person engineering-services firm, not a manufacturer or a chemical-process operator. Owning the license pulls JE toward running a product or a recycling operation, a different business with different capital, sales, and staffing needs.</w:t>
      </w:r>
    </w:p>
    <w:p>
      <w:pPr>
        <w:pStyle w:val="ListBullet"/>
      </w:pPr>
      <w:r>
        <w:rPr>
          <w:b/>
        </w:rPr>
        <w:t>Value-chain gaps: no feedstock, no offtake.</w:t>
      </w:r>
      <w:r>
        <w:t xml:space="preserve"> Battery recycling needs a supply of black mass coming in and a buyer for the recovered metals going out. JE has neither; a recycler client (CMR, Intel-E-Waste) has both [8]. This is the single biggest gap and the main reason the client-licensee model exists.</w:t>
      </w:r>
    </w:p>
    <w:p>
      <w:pPr>
        <w:pStyle w:val="ListBullet"/>
      </w:pPr>
      <w:r>
        <w:rPr>
          <w:b/>
        </w:rPr>
        <w:t>Capital and technical risk on unproven economics.</w:t>
      </w:r>
      <w:r>
        <w:t xml:space="preserve"> As licensee, JE reimburses INL patent costs and pays fees and royalties [4], and would fund the TRL 4-to-6/7 climb unless offset by non-dilutive dollars. Throughput, current efficiency, and membrane life are all unproven at scale [2].</w:t>
      </w:r>
    </w:p>
    <w:p>
      <w:pPr>
        <w:pStyle w:val="ListBullet"/>
      </w:pPr>
      <w:r>
        <w:rPr>
          <w:b/>
        </w:rPr>
        <w:t>The chemistry is not ours.</w:t>
      </w:r>
      <w:r>
        <w:t xml:space="preserve"> JE's own core-IP line is that JE does not own the electrochemistry. Licensing it makes JE responsible for a process it did not develop; ongoing process R&amp;D would depend on INL (a CRADA) or new hires.</w:t>
      </w:r>
    </w:p>
    <w:p>
      <w:pPr>
        <w:pStyle w:val="ListBullet"/>
      </w:pPr>
      <w:r>
        <w:rPr>
          <w:b/>
        </w:rPr>
        <w:t>Client-conflict optics.</w:t>
      </w:r>
      <w:r>
        <w:t xml:space="preserve"> If JE owns a recycling product, the recyclers who are JE's services clients may see JE as a competitor, which can chill those relationships.</w:t>
      </w:r>
    </w:p>
    <w:p>
      <w:pPr>
        <w:pStyle w:val="ListBullet"/>
      </w:pPr>
      <w:r>
        <w:rPr>
          <w:b/>
        </w:rPr>
        <w:t>Exclusivity carries obligations.</w:t>
      </w:r>
      <w:r>
        <w:t xml:space="preserve"> An exclusive license typically comes with diligence and commercialization milestones; miss them and the license can be pulled. Nonexclusive is cheaper but gives no moat.</w:t>
      </w:r>
    </w:p>
    <w:p>
      <w:r>
        <w:rPr>
          <w:b/>
        </w:rPr>
        <w:t>Recommendation: a measured middle path.</w:t>
      </w:r>
      <w:r>
        <w:t xml:space="preserve"> Do not commit to a full exclusive commercialization license at this meeting. Instead:</w:t>
      </w:r>
    </w:p>
    <w:p>
      <w:pPr>
        <w:pStyle w:val="ListNumber"/>
      </w:pPr>
      <w:r>
        <w:t xml:space="preserve">Take a low-cost, time-boxed </w:t>
      </w:r>
      <w:r>
        <w:rPr>
          <w:b/>
        </w:rPr>
        <w:t>option or evaluation license</w:t>
      </w:r>
      <w:r>
        <w:t xml:space="preserve"> [4][5] to hold the door while JE lines up the missing pieces, and/or a </w:t>
      </w:r>
      <w:r>
        <w:rPr>
          <w:b/>
        </w:rPr>
        <w:t>nonexclusive</w:t>
      </w:r>
      <w:r>
        <w:t xml:space="preserve"> license paired with an </w:t>
      </w:r>
      <w:r>
        <w:rPr>
          <w:b/>
        </w:rPr>
        <w:t>STTR (JE as the small business, INL as the research partner)</w:t>
      </w:r>
      <w:r>
        <w:t xml:space="preserve"> to fund the TRL climb non-dilutively.</w:t>
      </w:r>
    </w:p>
    <w:p>
      <w:pPr>
        <w:pStyle w:val="ListNumber"/>
      </w:pPr>
      <w:r>
        <w:t xml:space="preserve">In parallel, secure a </w:t>
      </w:r>
      <w:r>
        <w:rPr>
          <w:b/>
        </w:rPr>
        <w:t>feedstock-and-offtake partner</w:t>
      </w:r>
      <w:r>
        <w:t xml:space="preserve"> (a recycler such as CMR) so JE owns the IP and the build while the partner supplies black mass and buys the metals. That captures the upside without forcing JE to become an operator it is not set up to be.</w:t>
      </w:r>
    </w:p>
    <w:p>
      <w:pPr>
        <w:pStyle w:val="ListNumber"/>
      </w:pPr>
      <w:r>
        <w:t xml:space="preserve">Reserve a </w:t>
      </w:r>
      <w:r>
        <w:rPr>
          <w:b/>
        </w:rPr>
        <w:t>full exclusive license or a spun-out NewCo</w:t>
      </w:r>
      <w:r>
        <w:t xml:space="preserve"> for the point when the economics are proven and the feedstock and offtake partners are signed.</w:t>
      </w:r>
    </w:p>
    <w:p>
      <w:r>
        <w:t>Net: licensing it ourselves is worth pursuing to control the asset and unlock funding, but structured as an option-plus-STTR first, not an exclusive commercialization commitment on day one. Ask INL at the meeting what option, evaluation, nonexclusive, and exclusive terms look like, so leadership can compare both models with real numbers.</w:t>
      </w:r>
    </w:p>
    <w:p>
      <w:pPr>
        <w:pStyle w:val="Heading1"/>
      </w:pPr>
      <w:r>
        <w:rPr>
          <w:color w:val="1F3964"/>
        </w:rPr>
        <w:t>7. The funding architecture (this is the compelling event)</w:t>
      </w:r>
    </w:p>
    <w:p>
      <w:r>
        <w:t>JE does not need to win the funding. JE positions the client to win it, and builds the hardware it pays for.</w:t>
      </w:r>
    </w:p>
    <w:p>
      <w:pPr>
        <w:pStyle w:val="ListBullet"/>
      </w:pPr>
      <w:r>
        <w:rPr>
          <w:b/>
        </w:rPr>
        <w:t>DOE OTT Technology Commercialization Fund (TCF):</w:t>
      </w:r>
      <w:r>
        <w:t xml:space="preserve"> approximately $20M, structured to match private-partner funds to mature national-lab energy IP [7]. The most direct fit: a private match plus TCF co-funds the skid, with INL as the originating lab.</w:t>
      </w:r>
    </w:p>
    <w:p>
      <w:pPr>
        <w:pStyle w:val="ListBullet"/>
      </w:pPr>
      <w:r>
        <w:rPr>
          <w:b/>
        </w:rPr>
        <w:t>ARPA-E SCALEUP (rolling):</w:t>
      </w:r>
      <w:r>
        <w:t xml:space="preserve"> exclusive licensees of ARPA-E-funded patented IP are eligible; the license-then-scale route [8].</w:t>
      </w:r>
    </w:p>
    <w:p>
      <w:pPr>
        <w:pStyle w:val="ListBullet"/>
      </w:pPr>
      <w:r>
        <w:rPr>
          <w:b/>
        </w:rPr>
        <w:t>American-Made prizes:</w:t>
      </w:r>
      <w:r>
        <w:t xml:space="preserve"> Re-X ($4.5M) and E-Scrap ($4M), zero cost share [8].</w:t>
      </w:r>
    </w:p>
    <w:p>
      <w:pPr>
        <w:pStyle w:val="ListBullet"/>
      </w:pPr>
      <w:r>
        <w:rPr>
          <w:b/>
        </w:rPr>
        <w:t>DOE critical-materials programs and SBIR/STTR</w:t>
      </w:r>
      <w:r>
        <w:t xml:space="preserve"> (NSF standard date 9/5; DOE), plus DoW critical-materials supply-chain funding (Defense Production Act Title III style) [8].</w:t>
      </w:r>
    </w:p>
    <w:p>
      <w:pPr>
        <w:pStyle w:val="Heading1"/>
      </w:pPr>
      <w:r>
        <w:rPr>
          <w:color w:val="1F3964"/>
        </w:rPr>
        <w:t>8. What we need to learn in the meeting (intelligence objectives)</w:t>
      </w:r>
    </w:p>
    <w:p>
      <w:pPr>
        <w:pStyle w:val="ListNumber"/>
      </w:pPr>
      <w:r>
        <w:rPr>
          <w:b/>
        </w:rPr>
        <w:t>Availability and exclusivity.</w:t>
      </w:r>
      <w:r>
        <w:t xml:space="preserve"> Is any evaluation, option, or commercial license already out on either patent? Is an exclusive available, or only nonexclusive? How flexible is field-of-use (EV batteries vs. defense cells vs. production scrap)? (Public records show no third-party license, but confirm live [1].)</w:t>
      </w:r>
    </w:p>
    <w:p>
      <w:pPr>
        <w:pStyle w:val="ListNumber"/>
      </w:pPr>
      <w:r>
        <w:rPr>
          <w:b/>
        </w:rPr>
        <w:t>Demonstrated performance and scale-up risk.</w:t>
      </w:r>
      <w:r>
        <w:t xml:space="preserve"> What throughput, current efficiency, and membrane life has INL measured? Which black-mass chemistries have been run? What does INL see as the hardest scale-up problems? These answers define our engagement scope.</w:t>
      </w:r>
    </w:p>
    <w:p>
      <w:pPr>
        <w:pStyle w:val="ListNumber"/>
      </w:pPr>
      <w:r>
        <w:rPr>
          <w:b/>
        </w:rPr>
        <w:t>Appetite for a CRADA</w:t>
      </w:r>
      <w:r>
        <w:t xml:space="preserve"> with JE as the hardware and scale-up partner, not only a license.</w:t>
      </w:r>
    </w:p>
    <w:p>
      <w:pPr>
        <w:pStyle w:val="ListNumber"/>
      </w:pPr>
      <w:r>
        <w:rPr>
          <w:b/>
        </w:rPr>
        <w:t>Technical POC access.</w:t>
      </w:r>
      <w:r>
        <w:t xml:space="preserve"> The inventors (Diaz Aldana, Lister, Klaehn) are the team [1]. Can we get a technical deep-dive?</w:t>
      </w:r>
    </w:p>
    <w:p>
      <w:pPr>
        <w:pStyle w:val="ListNumber"/>
      </w:pPr>
      <w:r>
        <w:rPr>
          <w:b/>
        </w:rPr>
        <w:t>Competitive picture.</w:t>
      </w:r>
      <w:r>
        <w:t xml:space="preserve"> Are other industry partners already circling this IP?</w:t>
      </w:r>
    </w:p>
    <w:p>
      <w:pPr>
        <w:pStyle w:val="ListNumber"/>
      </w:pPr>
      <w:r>
        <w:rPr>
          <w:b/>
        </w:rPr>
        <w:t>Funding posture.</w:t>
      </w:r>
      <w:r>
        <w:t xml:space="preserve"> Does INL expect to co-apply for TCF or similar, and on what terms?</w:t>
      </w:r>
    </w:p>
    <w:p>
      <w:pPr>
        <w:pStyle w:val="Heading1"/>
      </w:pPr>
      <w:r>
        <w:rPr>
          <w:color w:val="1F3964"/>
        </w:rPr>
        <w:t>9. Why INL should choose JE (proof points to land)</w:t>
      </w:r>
    </w:p>
    <w:p>
      <w:pPr>
        <w:pStyle w:val="ListBullet"/>
      </w:pPr>
      <w:r>
        <w:rPr>
          <w:b/>
        </w:rPr>
        <w:t>Analysis-driven design:</w:t>
      </w:r>
      <w:r>
        <w:t xml:space="preserve"> our engineers run the thermal, structural, and fluid simulations before we cut metal, which is exactly what de-risks a scale-up.</w:t>
      </w:r>
    </w:p>
    <w:p>
      <w:pPr>
        <w:pStyle w:val="ListBullet"/>
      </w:pPr>
      <w:r>
        <w:rPr>
          <w:b/>
        </w:rPr>
        <w:t>The engineers are the builders:</w:t>
      </w:r>
      <w:r>
        <w:t xml:space="preserve"> the same team models, analyzes, fabricates, procures, assembles, and tests. Fewer handoffs, faster TRL climb.</w:t>
      </w:r>
    </w:p>
    <w:p>
      <w:pPr>
        <w:pStyle w:val="ListBullet"/>
      </w:pPr>
      <w:r>
        <w:rPr>
          <w:b/>
        </w:rPr>
        <w:t>FOAK track record:</w:t>
      </w:r>
      <w:r>
        <w:t xml:space="preserve"> 190+ first-of-a-kind projects, 25 for the US DOE [9].</w:t>
      </w:r>
    </w:p>
    <w:p>
      <w:pPr>
        <w:pStyle w:val="ListBullet"/>
      </w:pPr>
      <w:r>
        <w:rPr>
          <w:b/>
        </w:rPr>
        <w:t>Leadership credibility:</w:t>
      </w:r>
      <w:r>
        <w:t xml:space="preserve"> Andy's 20+ years in advanced thermal and fluid systems, including 11 years at Parker Aerospace, speaks directly to the cell, loop, and thermal engineering this system needs [9].</w:t>
      </w:r>
    </w:p>
    <w:p>
      <w:pPr>
        <w:pStyle w:val="Heading1"/>
      </w:pPr>
      <w:r>
        <w:rPr>
          <w:color w:val="1F3964"/>
        </w:rPr>
        <w:t>10. Risks and how we frame them</w:t>
      </w:r>
    </w:p>
    <w:p>
      <w:pPr>
        <w:pStyle w:val="ListBullet"/>
      </w:pPr>
      <w:r>
        <w:rPr>
          <w:b/>
        </w:rPr>
        <w:t>TRL 4 means lab-validated only</w:t>
      </w:r>
      <w:r>
        <w:t xml:space="preserve"> [2]; the economics at scale are unproven. We frame the engagement as a pilot build with a test campaign, not a turnkey plant. That is a feature, not a caveat: de-risking scale-up is our value.</w:t>
      </w:r>
    </w:p>
    <w:p>
      <w:pPr>
        <w:pStyle w:val="ListBullet"/>
      </w:pPr>
      <w:r>
        <w:rPr>
          <w:b/>
        </w:rPr>
        <w:t>Chicken-and-egg:</w:t>
      </w:r>
      <w:r>
        <w:t xml:space="preserve"> the CRADA and most funding vehicles want a committed licensee [5][8]. We should identify the client now. Critical Materials Recycling (Boone, IA) is the natural first call given the shared lineage; Intel-E-Waste and American Elements are alternates [8].</w:t>
      </w:r>
    </w:p>
    <w:p>
      <w:pPr>
        <w:pStyle w:val="ListBullet"/>
      </w:pPr>
      <w:r>
        <w:rPr>
          <w:b/>
        </w:rPr>
        <w:t>Keep this thread clean and separate from MARVEL.</w:t>
      </w:r>
      <w:r>
        <w:t xml:space="preserve"> This battery-recovery play is non-nuclear and carries no compliance gate. MARVEL (microreactor) is a separate, Andy-gated conversation. Do not let the two blur in an INL meeting.</w:t>
      </w:r>
    </w:p>
    <w:p>
      <w:pPr>
        <w:pStyle w:val="Heading1"/>
      </w:pPr>
      <w:r>
        <w:rPr>
          <w:color w:val="1F3964"/>
        </w:rPr>
        <w:t>11. Meeting objectives and next steps</w:t>
      </w:r>
    </w:p>
    <w:p>
      <w:r>
        <w:t>Three objectives, in priority order:</w:t>
      </w:r>
    </w:p>
    <w:p>
      <w:pPr>
        <w:pStyle w:val="ListNumber"/>
      </w:pPr>
      <w:r>
        <w:t>Confirm the IP is available, and learn the full menu of terms: option, evaluation, nonexclusive, and exclusive, plus field-of-use flexibility. This is what lets leadership compare the client-licensee model against JE licensing it directly (Section 6).</w:t>
      </w:r>
    </w:p>
    <w:p>
      <w:pPr>
        <w:pStyle w:val="ListNumber"/>
      </w:pPr>
      <w:r>
        <w:t>Secure a technical deep-dive with the inventors and a sample set of license terms.</w:t>
      </w:r>
    </w:p>
    <w:p>
      <w:pPr>
        <w:pStyle w:val="ListNumber"/>
      </w:pPr>
      <w:r>
        <w:t>Float both structures: the CRADA-with-JE-as-builder (JE brings a licensee client) and JE taking an option or nonexclusive license itself paired with an STTR. Signal openness to either.</w:t>
      </w:r>
    </w:p>
    <w:p>
      <w:r>
        <w:t>Leave the meeting with a named next action and an INL owner. Immediately after, brief Andy on availability and exclusivity, and open the client conversation (CMR first).</w:t>
      </w:r>
    </w:p>
    <w:p>
      <w:pPr>
        <w:pStyle w:val="Heading1"/>
      </w:pPr>
      <w:r>
        <w:rPr>
          <w:color w:val="1F3964"/>
        </w:rPr>
        <w:t>Appendix A: Verified contacts (2026-07-24)</w:t>
      </w:r>
    </w:p>
    <w:p>
      <w:pPr>
        <w:pStyle w:val="ListBullet"/>
      </w:pPr>
      <w:r>
        <w:rPr>
          <w:b/>
        </w:rPr>
        <w:t>Ryan Bills</w:t>
      </w:r>
      <w:r>
        <w:t>, Energy &amp; Environment S&amp;T commercialization manager: ryan.bills@inl.gov, 208-526-1896 (primary for this tech) [4].</w:t>
      </w:r>
    </w:p>
    <w:p>
      <w:pPr>
        <w:pStyle w:val="ListBullet"/>
      </w:pPr>
      <w:r>
        <w:rPr>
          <w:b/>
        </w:rPr>
        <w:t>Jason Stolworthy</w:t>
      </w:r>
      <w:r>
        <w:t>, Director of Technology Deployment / commercial licensing: TD@inl.gov, 208-526-3437 [4][5].</w:t>
      </w:r>
    </w:p>
    <w:p>
      <w:pPr>
        <w:pStyle w:val="ListBullet"/>
      </w:pPr>
      <w:r>
        <w:rPr>
          <w:b/>
        </w:rPr>
        <w:t>Stefanie Johnston</w:t>
      </w:r>
      <w:r>
        <w:t>, CRADA / SPP / user-facility agreements: Stefanie.Johnston@inl.gov, 208-526-5063 [5].</w:t>
      </w:r>
    </w:p>
    <w:p>
      <w:pPr>
        <w:pStyle w:val="ListBullet"/>
      </w:pPr>
      <w:r>
        <w:rPr>
          <w:b/>
        </w:rPr>
        <w:t>Chase Egbert</w:t>
      </w:r>
      <w:r>
        <w:t>, small-business supplier procurement: chase.egbert@inl.gov, 208-526-8564 [5].</w:t>
      </w:r>
    </w:p>
    <w:p>
      <w:pPr>
        <w:pStyle w:val="ListBullet"/>
      </w:pPr>
      <w:r>
        <w:t>INL licensing process target: nonexclusive license within ~90 days of term negotiation; INL has executed 2,250+ licenses since 2004 [4][9].</w:t>
      </w:r>
    </w:p>
    <w:p>
      <w:pPr>
        <w:pStyle w:val="Heading1"/>
      </w:pPr>
      <w:r>
        <w:rPr>
          <w:color w:val="1F3964"/>
        </w:rPr>
        <w:t>Sources</w:t>
      </w:r>
    </w:p>
    <w:p>
      <w:pPr>
        <w:pStyle w:val="ListNumber"/>
      </w:pPr>
      <w:r>
        <w:t>US Patent 12,388,123 B2, "Methods of recovering active materials from rechargeable batteries, and related apparatuses" (EC-Leach). Google Patents, verified 2026-07-24: assignee Battelle Energy Alliance, granted 2025-08-12, est. expiry ~2042, inventors Diaz Aldana / Lister / Klaehn / McNally / Reed, only a DOE confirmatory license on record. https://patents.google.com/patent/US12388123B2</w:t>
      </w:r>
    </w:p>
    <w:p>
      <w:pPr>
        <w:pStyle w:val="ListNumber"/>
      </w:pPr>
      <w:r>
        <w:t>INL, "Electrochemical Membrane Reactor for Li-ion Battery Recycling," Lab Partnering Service technology summary (verified 2026-07-24; page JS-rendered, key facts corroborated by [3]): TRL 4, PCT/US22/72109, offered for license and/or CRADA. https://labpartnering.org/technology-summaries/fe40744b-2d6e-4ba3-a5fc-a2f0c00b60f0</w:t>
      </w:r>
    </w:p>
    <w:p>
      <w:pPr>
        <w:pStyle w:val="ListNumber"/>
      </w:pPr>
      <w:r>
        <w:t>INL, "Idaho researchers advance critical materials recycling technologies" (feature story, verified 2026-07-24): &gt;95% Ni/Co recovery using water, air, and electricity; acid regeneration; EC-Leach. https://inl.gov/feature-story/idaho-researchers-advance-critical-materials-recycling-technologies/</w:t>
      </w:r>
    </w:p>
    <w:p>
      <w:pPr>
        <w:pStyle w:val="ListNumber"/>
      </w:pPr>
      <w:r>
        <w:t>INL "Licensing Process" one-pager (context/INL Licensing Process.pdf): 7-step process, ~90-day nonexclusive target, DOE operating-contract nonnegotiables, commercialization managers by area (Ryan Bills, Jason Stolworthy).</w:t>
      </w:r>
    </w:p>
    <w:p>
      <w:pPr>
        <w:pStyle w:val="ListNumber"/>
      </w:pPr>
      <w:r>
        <w:t>INL "Ways to Do Business with INL" one-pager (context/ways-to-do-business-with-inl.pdf): CRADA / SPP / ACT / TAP / license mechanisms and US-competitiveness terms; contacts (Stefanie Johnston CRADA; Chase Egbert procurement).</w:t>
      </w:r>
    </w:p>
    <w:p>
      <w:pPr>
        <w:pStyle w:val="ListNumber"/>
      </w:pPr>
      <w:r>
        <w:t>INL FY-2024 Economic Impact Summary (context/2024-inl-economic-impact-summary.pdf): approximately $1.0B in goods-and-services procurement in FY24 (context for scale).</w:t>
      </w:r>
    </w:p>
    <w:p>
      <w:pPr>
        <w:pStyle w:val="ListNumber"/>
      </w:pPr>
      <w:r>
        <w:t>INL Partnership Opportunities table (context/INL Partnership Opportunities table.pdf): DOE OTT Technology Commercialization Fund, approximately $20M, matches private-partner funds to mature national-lab energy IP.</w:t>
      </w:r>
    </w:p>
    <w:p>
      <w:pPr>
        <w:pStyle w:val="ListNumber"/>
      </w:pPr>
      <w:r>
        <w:t>JE funding-opportunities-pipeline skill, references/funding-sources.md (internal): ARPA-E SCALEUP rolling and licensee-eligible; American-Made Re-X ($4.5M) and E-Scrap ($4M); Ames to TdVib to Critical Materials Recycling template; account clusters (CMR, Intel-E-Waste, American Elements).</w:t>
      </w:r>
    </w:p>
    <w:p>
      <w:pPr>
        <w:pStyle w:val="ListNumber"/>
      </w:pPr>
      <w:r>
        <w:t>INL Technology Deployment (inl.gov/technology-deployment, verified 2026-07-24): 2,250+ licenses since 2004. JE company facts and Andy Johnston bio per CLAUDE.md project record.</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Confidential and Internal to Johnston Engineering, PLLC   |   Page </w:t>
    </w:r>
    <w:r>
      <w:rPr>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